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drawings/drawing1.xml" ContentType="application/vnd.openxmlformats-officedocument.drawingml.chartshapes+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4.xml" ContentType="application/vnd.openxmlformats-officedocument.drawingml.chart+xml"/>
  <Override PartName="/word/theme/themeOverride1.xml" ContentType="application/vnd.openxmlformats-officedocument.themeOverride+xml"/>
  <Override PartName="/word/charts/chart15.xml" ContentType="application/vnd.openxmlformats-officedocument.drawingml.chart+xml"/>
  <Override PartName="/word/charts/chart16.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7.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8.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9.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20.xml" ContentType="application/vnd.openxmlformats-officedocument.drawingml.chart+xml"/>
  <Override PartName="/word/charts/style16.xml" ContentType="application/vnd.ms-office.chartstyle+xml"/>
  <Override PartName="/word/charts/colors16.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AB96A6A" w14:textId="77777777" w:rsidR="001335A6" w:rsidRPr="007434DA" w:rsidRDefault="001335A6" w:rsidP="006B29E1">
      <w:pPr>
        <w:pStyle w:val="Nadpis1"/>
        <w:numPr>
          <w:ilvl w:val="0"/>
          <w:numId w:val="0"/>
        </w:numPr>
        <w:rPr>
          <w:rStyle w:val="normaltextrun"/>
          <w:color w:val="FF0000"/>
        </w:rPr>
      </w:pPr>
      <w:bookmarkStart w:id="0" w:name="_Toc80348396"/>
    </w:p>
    <w:p w14:paraId="4D206FD0" w14:textId="77777777" w:rsidR="001335A6" w:rsidRPr="007434DA" w:rsidRDefault="001335A6" w:rsidP="001335A6">
      <w:pPr>
        <w:rPr>
          <w:lang w:val="cs-CZ"/>
        </w:rPr>
      </w:pPr>
    </w:p>
    <w:p w14:paraId="57169880" w14:textId="038B4A7B" w:rsidR="001335A6" w:rsidRPr="007434DA" w:rsidRDefault="00B431E0" w:rsidP="00B431E0">
      <w:pPr>
        <w:jc w:val="center"/>
        <w:rPr>
          <w:lang w:val="cs-CZ"/>
        </w:rPr>
      </w:pPr>
      <w:r w:rsidRPr="007434DA">
        <w:rPr>
          <w:noProof/>
          <w:lang w:val="cs-CZ" w:eastAsia="cs-CZ"/>
        </w:rPr>
        <w:drawing>
          <wp:inline distT="0" distB="0" distL="0" distR="0" wp14:anchorId="7D6CE704" wp14:editId="55E77E49">
            <wp:extent cx="1878127" cy="774065"/>
            <wp:effectExtent l="0" t="0" r="8255" b="6985"/>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pic:nvPicPr>
                  <pic:blipFill>
                    <a:blip r:embed="rId8" cstate="print">
                      <a:extLst>
                        <a:ext uri="{28A0092B-C50C-407E-A947-70E740481C1C}">
                          <a14:useLocalDpi xmlns:a14="http://schemas.microsoft.com/office/drawing/2010/main" val="0"/>
                        </a:ext>
                      </a:extLst>
                    </a:blip>
                    <a:stretch>
                      <a:fillRect/>
                    </a:stretch>
                  </pic:blipFill>
                  <pic:spPr>
                    <a:xfrm>
                      <a:off x="0" y="0"/>
                      <a:ext cx="1878127" cy="774065"/>
                    </a:xfrm>
                    <a:prstGeom prst="rect">
                      <a:avLst/>
                    </a:prstGeom>
                  </pic:spPr>
                </pic:pic>
              </a:graphicData>
            </a:graphic>
          </wp:inline>
        </w:drawing>
      </w:r>
    </w:p>
    <w:p w14:paraId="0C4A268B" w14:textId="77777777" w:rsidR="00712635" w:rsidRPr="007434DA" w:rsidRDefault="00D81379" w:rsidP="00712635">
      <w:pPr>
        <w:pStyle w:val="UZEI"/>
        <w:rPr>
          <w:rFonts w:ascii="Times New Roman" w:hAnsi="Times New Roman"/>
          <w:lang w:val="cs-CZ"/>
        </w:rPr>
      </w:pPr>
      <w:r w:rsidRPr="007434DA">
        <w:rPr>
          <w:rFonts w:ascii="Times New Roman" w:hAnsi="Times New Roman"/>
          <w:lang w:val="cs-CZ"/>
        </w:rPr>
        <w:t>Ústav zemědělské ekonomiky a informací</w:t>
      </w:r>
    </w:p>
    <w:p w14:paraId="02C849EA" w14:textId="77777777" w:rsidR="007A0B29" w:rsidRPr="007434DA" w:rsidRDefault="007A0B29" w:rsidP="00712635">
      <w:pPr>
        <w:pStyle w:val="UZEI"/>
        <w:rPr>
          <w:lang w:val="cs-CZ"/>
        </w:rPr>
      </w:pPr>
    </w:p>
    <w:p w14:paraId="1533DD2F" w14:textId="77777777" w:rsidR="007A0B29" w:rsidRPr="007434DA" w:rsidRDefault="007A0B29" w:rsidP="00712635">
      <w:pPr>
        <w:pStyle w:val="UZEI"/>
        <w:rPr>
          <w:lang w:val="cs-CZ"/>
        </w:rPr>
      </w:pPr>
    </w:p>
    <w:p w14:paraId="32E7B7F2" w14:textId="77777777" w:rsidR="007A0B29" w:rsidRPr="007434DA" w:rsidRDefault="007A0B29" w:rsidP="00712635">
      <w:pPr>
        <w:pStyle w:val="UZEI"/>
        <w:rPr>
          <w:lang w:val="cs-CZ"/>
        </w:rPr>
      </w:pPr>
    </w:p>
    <w:p w14:paraId="599E09AF" w14:textId="77777777" w:rsidR="007A0B29" w:rsidRPr="007434DA" w:rsidRDefault="007A0B29" w:rsidP="00712635">
      <w:pPr>
        <w:pStyle w:val="UZEI"/>
        <w:rPr>
          <w:lang w:val="cs-CZ"/>
        </w:rPr>
      </w:pPr>
    </w:p>
    <w:p w14:paraId="06DD608B" w14:textId="77777777" w:rsidR="007A0B29" w:rsidRPr="007434DA" w:rsidRDefault="007A0B29" w:rsidP="00712635">
      <w:pPr>
        <w:pStyle w:val="UZEI"/>
        <w:rPr>
          <w:lang w:val="cs-CZ"/>
        </w:rPr>
      </w:pPr>
    </w:p>
    <w:p w14:paraId="13B55680" w14:textId="77777777" w:rsidR="00D81379" w:rsidRPr="007434DA" w:rsidRDefault="00D81379" w:rsidP="00F94185">
      <w:pPr>
        <w:pStyle w:val="UZEI"/>
        <w:rPr>
          <w:rFonts w:ascii="Times New Roman" w:hAnsi="Times New Roman"/>
          <w:sz w:val="32"/>
          <w:szCs w:val="32"/>
          <w:lang w:val="cs-CZ"/>
        </w:rPr>
      </w:pPr>
      <w:r w:rsidRPr="007434DA">
        <w:rPr>
          <w:rFonts w:ascii="Times New Roman" w:hAnsi="Times New Roman"/>
          <w:sz w:val="32"/>
          <w:szCs w:val="32"/>
          <w:lang w:val="cs-CZ"/>
        </w:rPr>
        <w:t>PODKLADOVÉ ANALÝZY PRO PŘÍPRAVU SZP V PROGRAMOVÉM OBDOBÍ 2021+</w:t>
      </w:r>
    </w:p>
    <w:p w14:paraId="37B769E3" w14:textId="77777777" w:rsidR="00CB2594" w:rsidRPr="007434DA" w:rsidRDefault="00CB2594" w:rsidP="00CB2594">
      <w:pPr>
        <w:pStyle w:val="st-rok"/>
        <w:spacing w:before="360"/>
        <w:jc w:val="both"/>
        <w:rPr>
          <w:sz w:val="32"/>
          <w:szCs w:val="28"/>
        </w:rPr>
      </w:pPr>
    </w:p>
    <w:p w14:paraId="3A9D13EF" w14:textId="77777777" w:rsidR="00F90F35" w:rsidRPr="00F90F35" w:rsidRDefault="00CB2594" w:rsidP="00F90F35">
      <w:pPr>
        <w:pStyle w:val="st-rok"/>
        <w:spacing w:before="360"/>
      </w:pPr>
      <w:r w:rsidRPr="007434DA">
        <w:t xml:space="preserve">Specifický cíl I: </w:t>
      </w:r>
      <w:r w:rsidR="00F90F35" w:rsidRPr="00F90F35">
        <w:t>Zlepšovat reakci zemědělství Unie na společenskou poptávku týkající se potravin a zdraví, včetně vysoce kvalitních, bezpečných a výživných potravin vyprodukovaných udržitelným způsobem, omezit plýtvání potravinami, jakož i zlepšit životní podmínky zvířat a eliminovat antimikrobiální rezistenci</w:t>
      </w:r>
    </w:p>
    <w:p w14:paraId="707FAC77" w14:textId="670B6135" w:rsidR="00CB2594" w:rsidRPr="007434DA" w:rsidRDefault="00CB2594" w:rsidP="00CB2594">
      <w:pPr>
        <w:pStyle w:val="st-rok"/>
        <w:spacing w:before="360"/>
      </w:pPr>
    </w:p>
    <w:p w14:paraId="6EFC9190" w14:textId="77777777" w:rsidR="00D81379" w:rsidRPr="007434DA" w:rsidRDefault="00D81379" w:rsidP="003C2914">
      <w:pPr>
        <w:jc w:val="center"/>
        <w:rPr>
          <w:lang w:val="cs-CZ"/>
        </w:rPr>
      </w:pPr>
    </w:p>
    <w:p w14:paraId="6A693CDF" w14:textId="77777777" w:rsidR="00D81379" w:rsidRPr="007434DA" w:rsidRDefault="00D81379" w:rsidP="003C2914">
      <w:pPr>
        <w:jc w:val="center"/>
        <w:rPr>
          <w:lang w:val="cs-CZ"/>
        </w:rPr>
      </w:pPr>
    </w:p>
    <w:p w14:paraId="625115A5" w14:textId="77777777" w:rsidR="00D81379" w:rsidRPr="007434DA" w:rsidRDefault="00D81379" w:rsidP="003C2914">
      <w:pPr>
        <w:jc w:val="center"/>
        <w:rPr>
          <w:lang w:val="cs-CZ"/>
        </w:rPr>
      </w:pPr>
    </w:p>
    <w:p w14:paraId="5BB84497" w14:textId="77777777" w:rsidR="00D81379" w:rsidRPr="007434DA" w:rsidRDefault="00D81379" w:rsidP="003C2914">
      <w:pPr>
        <w:jc w:val="center"/>
        <w:rPr>
          <w:lang w:val="cs-CZ"/>
        </w:rPr>
      </w:pPr>
    </w:p>
    <w:p w14:paraId="472C330A" w14:textId="77777777" w:rsidR="00D81379" w:rsidRPr="007434DA" w:rsidRDefault="00D81379" w:rsidP="00D81379">
      <w:pPr>
        <w:rPr>
          <w:lang w:val="cs-CZ"/>
        </w:rPr>
      </w:pPr>
    </w:p>
    <w:p w14:paraId="05AEECD7" w14:textId="77777777" w:rsidR="00D81379" w:rsidRPr="007434DA" w:rsidRDefault="00D81379" w:rsidP="00D81379">
      <w:pPr>
        <w:rPr>
          <w:lang w:val="cs-CZ"/>
        </w:rPr>
      </w:pPr>
    </w:p>
    <w:p w14:paraId="22C09E4B" w14:textId="77777777" w:rsidR="00D81379" w:rsidRPr="007434DA" w:rsidRDefault="00D81379" w:rsidP="00D81379">
      <w:pPr>
        <w:rPr>
          <w:lang w:val="cs-CZ"/>
        </w:rPr>
      </w:pPr>
    </w:p>
    <w:p w14:paraId="528560D6" w14:textId="4F1D45F2" w:rsidR="00D81379" w:rsidRPr="007434DA" w:rsidRDefault="00CB2594" w:rsidP="00CB2594">
      <w:pPr>
        <w:tabs>
          <w:tab w:val="left" w:pos="2359"/>
        </w:tabs>
        <w:rPr>
          <w:lang w:val="cs-CZ"/>
        </w:rPr>
      </w:pPr>
      <w:r w:rsidRPr="007434DA">
        <w:rPr>
          <w:lang w:val="cs-CZ"/>
        </w:rPr>
        <w:tab/>
      </w:r>
    </w:p>
    <w:p w14:paraId="0EC2B4FB" w14:textId="77777777" w:rsidR="009D7357" w:rsidRPr="007434DA" w:rsidRDefault="009D7357" w:rsidP="00D81379">
      <w:pPr>
        <w:jc w:val="center"/>
        <w:rPr>
          <w:color w:val="000000" w:themeColor="text1"/>
          <w:lang w:val="cs-CZ"/>
        </w:rPr>
      </w:pPr>
    </w:p>
    <w:p w14:paraId="15DFAB45" w14:textId="77777777" w:rsidR="009D7357" w:rsidRPr="007434DA" w:rsidRDefault="009D7357" w:rsidP="00D81379">
      <w:pPr>
        <w:jc w:val="center"/>
        <w:rPr>
          <w:color w:val="000000" w:themeColor="text1"/>
          <w:lang w:val="cs-CZ"/>
        </w:rPr>
      </w:pPr>
    </w:p>
    <w:p w14:paraId="3FC77774" w14:textId="77777777" w:rsidR="009D7357" w:rsidRPr="007434DA" w:rsidRDefault="009D7357" w:rsidP="00D81379">
      <w:pPr>
        <w:jc w:val="center"/>
        <w:rPr>
          <w:color w:val="000000" w:themeColor="text1"/>
          <w:lang w:val="cs-CZ"/>
        </w:rPr>
      </w:pPr>
    </w:p>
    <w:p w14:paraId="1283E00E" w14:textId="77777777" w:rsidR="009D7357" w:rsidRPr="007434DA" w:rsidRDefault="009D7357" w:rsidP="00D81379">
      <w:pPr>
        <w:jc w:val="center"/>
        <w:rPr>
          <w:color w:val="000000" w:themeColor="text1"/>
          <w:lang w:val="cs-CZ"/>
        </w:rPr>
      </w:pPr>
    </w:p>
    <w:p w14:paraId="29BDAA94" w14:textId="77777777" w:rsidR="009D7357" w:rsidRPr="007434DA" w:rsidRDefault="009D7357" w:rsidP="00D81379">
      <w:pPr>
        <w:jc w:val="center"/>
        <w:rPr>
          <w:color w:val="000000" w:themeColor="text1"/>
          <w:lang w:val="cs-CZ"/>
        </w:rPr>
      </w:pPr>
    </w:p>
    <w:p w14:paraId="49B64F1D" w14:textId="77777777" w:rsidR="009D7357" w:rsidRPr="007434DA" w:rsidRDefault="009D7357" w:rsidP="00D81379">
      <w:pPr>
        <w:jc w:val="center"/>
        <w:rPr>
          <w:color w:val="000000" w:themeColor="text1"/>
          <w:lang w:val="cs-CZ"/>
        </w:rPr>
      </w:pPr>
    </w:p>
    <w:p w14:paraId="675A2440" w14:textId="77777777" w:rsidR="009D7357" w:rsidRPr="007434DA" w:rsidRDefault="009D7357" w:rsidP="00D81379">
      <w:pPr>
        <w:jc w:val="center"/>
        <w:rPr>
          <w:color w:val="000000" w:themeColor="text1"/>
          <w:lang w:val="cs-CZ"/>
        </w:rPr>
      </w:pPr>
    </w:p>
    <w:p w14:paraId="5A98D880" w14:textId="77777777" w:rsidR="009D7357" w:rsidRPr="007434DA" w:rsidRDefault="009D7357" w:rsidP="00D81379">
      <w:pPr>
        <w:jc w:val="center"/>
        <w:rPr>
          <w:color w:val="000000" w:themeColor="text1"/>
          <w:lang w:val="cs-CZ"/>
        </w:rPr>
      </w:pPr>
    </w:p>
    <w:p w14:paraId="5C826BF1" w14:textId="77777777" w:rsidR="009D7357" w:rsidRPr="007434DA" w:rsidRDefault="009D7357" w:rsidP="00D81379">
      <w:pPr>
        <w:jc w:val="center"/>
        <w:rPr>
          <w:color w:val="000000" w:themeColor="text1"/>
          <w:lang w:val="cs-CZ"/>
        </w:rPr>
      </w:pPr>
    </w:p>
    <w:p w14:paraId="04D15F84" w14:textId="77777777" w:rsidR="009D7357" w:rsidRPr="007434DA" w:rsidRDefault="009D7357" w:rsidP="00D81379">
      <w:pPr>
        <w:jc w:val="center"/>
        <w:rPr>
          <w:color w:val="000000" w:themeColor="text1"/>
          <w:lang w:val="cs-CZ"/>
        </w:rPr>
      </w:pPr>
    </w:p>
    <w:p w14:paraId="61E0D76B" w14:textId="64AA6CA9" w:rsidR="00D81379" w:rsidRPr="007434DA" w:rsidRDefault="00D81379" w:rsidP="00D81379">
      <w:pPr>
        <w:jc w:val="center"/>
        <w:rPr>
          <w:color w:val="000000" w:themeColor="text1"/>
          <w:lang w:val="cs-CZ"/>
        </w:rPr>
      </w:pPr>
      <w:r w:rsidRPr="007434DA">
        <w:rPr>
          <w:color w:val="000000" w:themeColor="text1"/>
          <w:lang w:val="cs-CZ"/>
        </w:rPr>
        <w:t xml:space="preserve">Praha, </w:t>
      </w:r>
      <w:r w:rsidR="00FA3A37">
        <w:rPr>
          <w:color w:val="000000" w:themeColor="text1"/>
          <w:lang w:val="cs-CZ"/>
        </w:rPr>
        <w:t>leden 2022</w:t>
      </w:r>
      <w:bookmarkStart w:id="1" w:name="_GoBack"/>
      <w:bookmarkEnd w:id="1"/>
    </w:p>
    <w:p w14:paraId="7BC91528" w14:textId="6C3D9EAF" w:rsidR="00CB2594" w:rsidRPr="007434DA" w:rsidRDefault="00CB2594" w:rsidP="00D81379">
      <w:pPr>
        <w:jc w:val="center"/>
        <w:rPr>
          <w:color w:val="000000" w:themeColor="text1"/>
          <w:lang w:val="cs-CZ"/>
        </w:rPr>
      </w:pPr>
    </w:p>
    <w:p w14:paraId="12FD82DB" w14:textId="77777777" w:rsidR="00CB2594" w:rsidRPr="007434DA" w:rsidRDefault="00CB2594" w:rsidP="00D81379">
      <w:pPr>
        <w:jc w:val="center"/>
        <w:rPr>
          <w:b/>
          <w:bCs/>
          <w:color w:val="000000" w:themeColor="text1"/>
          <w:sz w:val="32"/>
          <w:szCs w:val="32"/>
          <w:lang w:val="cs-CZ"/>
        </w:rPr>
      </w:pPr>
    </w:p>
    <w:p w14:paraId="0F780BEE" w14:textId="77777777" w:rsidR="009D7357" w:rsidRPr="007434DA" w:rsidRDefault="009D7357" w:rsidP="001335A6">
      <w:pPr>
        <w:rPr>
          <w:lang w:val="cs-CZ"/>
        </w:rPr>
      </w:pPr>
    </w:p>
    <w:p w14:paraId="503D2132" w14:textId="77777777" w:rsidR="00CB2594" w:rsidRPr="007434DA" w:rsidRDefault="00CB2594" w:rsidP="006B29E1">
      <w:pPr>
        <w:pStyle w:val="UZEINadpis1stbezsla"/>
      </w:pPr>
    </w:p>
    <w:p w14:paraId="74052D9D" w14:textId="77777777" w:rsidR="00CB2594" w:rsidRPr="007434DA" w:rsidRDefault="00CB2594" w:rsidP="006B29E1">
      <w:pPr>
        <w:pStyle w:val="UZEINadpis1stbezsla"/>
      </w:pPr>
      <w:bookmarkStart w:id="2" w:name="_Toc12613392"/>
      <w:bookmarkStart w:id="3" w:name="_Toc80877847"/>
      <w:bookmarkStart w:id="4" w:name="_Toc81755603"/>
      <w:r w:rsidRPr="007434DA">
        <w:t>Seznam zkratek</w:t>
      </w:r>
      <w:bookmarkEnd w:id="2"/>
      <w:bookmarkEnd w:id="3"/>
      <w:bookmarkEnd w:id="4"/>
    </w:p>
    <w:tbl>
      <w:tblPr>
        <w:tblW w:w="8505" w:type="dxa"/>
        <w:tblInd w:w="-10" w:type="dxa"/>
        <w:tblCellMar>
          <w:left w:w="70" w:type="dxa"/>
          <w:right w:w="70" w:type="dxa"/>
        </w:tblCellMar>
        <w:tblLook w:val="04A0" w:firstRow="1" w:lastRow="0" w:firstColumn="1" w:lastColumn="0" w:noHBand="0" w:noVBand="1"/>
      </w:tblPr>
      <w:tblGrid>
        <w:gridCol w:w="1920"/>
        <w:gridCol w:w="6585"/>
      </w:tblGrid>
      <w:tr w:rsidR="00CB2594" w:rsidRPr="007434DA" w14:paraId="52170EEC" w14:textId="77777777" w:rsidTr="004A57B3">
        <w:trPr>
          <w:cantSplit/>
          <w:trHeight w:val="300"/>
        </w:trPr>
        <w:tc>
          <w:tcPr>
            <w:tcW w:w="192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5B3E796"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AMR</w:t>
            </w:r>
          </w:p>
        </w:tc>
        <w:tc>
          <w:tcPr>
            <w:tcW w:w="6585" w:type="dxa"/>
            <w:tcBorders>
              <w:top w:val="single" w:sz="8" w:space="0" w:color="auto"/>
              <w:left w:val="nil"/>
              <w:bottom w:val="single" w:sz="8" w:space="0" w:color="auto"/>
              <w:right w:val="single" w:sz="8" w:space="0" w:color="auto"/>
            </w:tcBorders>
            <w:shd w:val="clear" w:color="auto" w:fill="auto"/>
            <w:vAlign w:val="center"/>
            <w:hideMark/>
          </w:tcPr>
          <w:p w14:paraId="61C8093B"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Antimikrobiální rezistence</w:t>
            </w:r>
          </w:p>
        </w:tc>
      </w:tr>
      <w:tr w:rsidR="00CB2594" w:rsidRPr="007434DA" w14:paraId="61CBCDAD" w14:textId="77777777" w:rsidTr="004A57B3">
        <w:trPr>
          <w:cantSplit/>
          <w:trHeight w:val="300"/>
        </w:trPr>
        <w:tc>
          <w:tcPr>
            <w:tcW w:w="1920" w:type="dxa"/>
            <w:tcBorders>
              <w:top w:val="nil"/>
              <w:left w:val="single" w:sz="8" w:space="0" w:color="auto"/>
              <w:bottom w:val="single" w:sz="8" w:space="0" w:color="auto"/>
              <w:right w:val="single" w:sz="8" w:space="0" w:color="auto"/>
            </w:tcBorders>
            <w:shd w:val="clear" w:color="auto" w:fill="auto"/>
            <w:vAlign w:val="center"/>
            <w:hideMark/>
          </w:tcPr>
          <w:p w14:paraId="59A4628D"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AP</w:t>
            </w:r>
          </w:p>
        </w:tc>
        <w:tc>
          <w:tcPr>
            <w:tcW w:w="6585" w:type="dxa"/>
            <w:tcBorders>
              <w:top w:val="nil"/>
              <w:left w:val="nil"/>
              <w:bottom w:val="single" w:sz="8" w:space="0" w:color="auto"/>
              <w:right w:val="single" w:sz="8" w:space="0" w:color="auto"/>
            </w:tcBorders>
            <w:shd w:val="clear" w:color="auto" w:fill="auto"/>
            <w:vAlign w:val="center"/>
            <w:hideMark/>
          </w:tcPr>
          <w:p w14:paraId="1265ADDE"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Akční plán</w:t>
            </w:r>
          </w:p>
        </w:tc>
      </w:tr>
      <w:tr w:rsidR="00CB2594" w:rsidRPr="00FA3A37" w14:paraId="4032E7E6" w14:textId="77777777" w:rsidTr="004A57B3">
        <w:trPr>
          <w:cantSplit/>
          <w:trHeight w:val="300"/>
        </w:trPr>
        <w:tc>
          <w:tcPr>
            <w:tcW w:w="1920" w:type="dxa"/>
            <w:tcBorders>
              <w:top w:val="nil"/>
              <w:left w:val="single" w:sz="8" w:space="0" w:color="auto"/>
              <w:bottom w:val="single" w:sz="8" w:space="0" w:color="auto"/>
              <w:right w:val="single" w:sz="8" w:space="0" w:color="auto"/>
            </w:tcBorders>
            <w:shd w:val="clear" w:color="auto" w:fill="auto"/>
            <w:vAlign w:val="center"/>
            <w:hideMark/>
          </w:tcPr>
          <w:p w14:paraId="629E503E"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AP NAP</w:t>
            </w:r>
          </w:p>
        </w:tc>
        <w:tc>
          <w:tcPr>
            <w:tcW w:w="6585" w:type="dxa"/>
            <w:tcBorders>
              <w:top w:val="nil"/>
              <w:left w:val="nil"/>
              <w:bottom w:val="single" w:sz="8" w:space="0" w:color="auto"/>
              <w:right w:val="single" w:sz="8" w:space="0" w:color="auto"/>
            </w:tcBorders>
            <w:shd w:val="clear" w:color="auto" w:fill="auto"/>
            <w:vAlign w:val="center"/>
            <w:hideMark/>
          </w:tcPr>
          <w:p w14:paraId="6E795807"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Akční plán národního antibiotického programu</w:t>
            </w:r>
          </w:p>
        </w:tc>
      </w:tr>
      <w:tr w:rsidR="00CB2594" w:rsidRPr="007434DA" w14:paraId="3716C133" w14:textId="77777777" w:rsidTr="004A57B3">
        <w:trPr>
          <w:cantSplit/>
          <w:trHeight w:val="300"/>
        </w:trPr>
        <w:tc>
          <w:tcPr>
            <w:tcW w:w="1920" w:type="dxa"/>
            <w:tcBorders>
              <w:top w:val="nil"/>
              <w:left w:val="single" w:sz="8" w:space="0" w:color="auto"/>
              <w:bottom w:val="single" w:sz="8" w:space="0" w:color="auto"/>
              <w:right w:val="single" w:sz="8" w:space="0" w:color="auto"/>
            </w:tcBorders>
            <w:shd w:val="clear" w:color="auto" w:fill="auto"/>
            <w:vAlign w:val="center"/>
            <w:hideMark/>
          </w:tcPr>
          <w:p w14:paraId="7BF736FF"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ATB</w:t>
            </w:r>
          </w:p>
        </w:tc>
        <w:tc>
          <w:tcPr>
            <w:tcW w:w="6585" w:type="dxa"/>
            <w:tcBorders>
              <w:top w:val="nil"/>
              <w:left w:val="nil"/>
              <w:bottom w:val="single" w:sz="8" w:space="0" w:color="auto"/>
              <w:right w:val="single" w:sz="8" w:space="0" w:color="auto"/>
            </w:tcBorders>
            <w:shd w:val="clear" w:color="auto" w:fill="auto"/>
            <w:vAlign w:val="center"/>
            <w:hideMark/>
          </w:tcPr>
          <w:p w14:paraId="5605C9AC"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antibiotika </w:t>
            </w:r>
          </w:p>
        </w:tc>
      </w:tr>
      <w:tr w:rsidR="00CB2594" w:rsidRPr="007434DA" w14:paraId="0D14D9BB" w14:textId="77777777" w:rsidTr="004A57B3">
        <w:trPr>
          <w:cantSplit/>
          <w:trHeight w:val="300"/>
        </w:trPr>
        <w:tc>
          <w:tcPr>
            <w:tcW w:w="1920" w:type="dxa"/>
            <w:tcBorders>
              <w:top w:val="nil"/>
              <w:left w:val="single" w:sz="8" w:space="0" w:color="auto"/>
              <w:bottom w:val="single" w:sz="8" w:space="0" w:color="auto"/>
              <w:right w:val="single" w:sz="8" w:space="0" w:color="auto"/>
            </w:tcBorders>
            <w:shd w:val="clear" w:color="auto" w:fill="auto"/>
            <w:vAlign w:val="center"/>
            <w:hideMark/>
          </w:tcPr>
          <w:p w14:paraId="7EFE82B6"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ATM</w:t>
            </w:r>
          </w:p>
        </w:tc>
        <w:tc>
          <w:tcPr>
            <w:tcW w:w="6585" w:type="dxa"/>
            <w:tcBorders>
              <w:top w:val="nil"/>
              <w:left w:val="nil"/>
              <w:bottom w:val="single" w:sz="8" w:space="0" w:color="auto"/>
              <w:right w:val="single" w:sz="8" w:space="0" w:color="auto"/>
            </w:tcBorders>
            <w:shd w:val="clear" w:color="auto" w:fill="auto"/>
            <w:vAlign w:val="center"/>
            <w:hideMark/>
          </w:tcPr>
          <w:p w14:paraId="04E9815F"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 xml:space="preserve">antimikrobiotika/antimikrobika  </w:t>
            </w:r>
          </w:p>
        </w:tc>
      </w:tr>
      <w:tr w:rsidR="00CB2594" w:rsidRPr="007434DA" w14:paraId="58EF2716" w14:textId="77777777" w:rsidTr="004A57B3">
        <w:trPr>
          <w:cantSplit/>
          <w:trHeight w:val="300"/>
        </w:trPr>
        <w:tc>
          <w:tcPr>
            <w:tcW w:w="1920" w:type="dxa"/>
            <w:tcBorders>
              <w:top w:val="nil"/>
              <w:left w:val="single" w:sz="8" w:space="0" w:color="auto"/>
              <w:bottom w:val="single" w:sz="8" w:space="0" w:color="auto"/>
              <w:right w:val="single" w:sz="8" w:space="0" w:color="auto"/>
            </w:tcBorders>
            <w:shd w:val="clear" w:color="auto" w:fill="auto"/>
            <w:vAlign w:val="center"/>
          </w:tcPr>
          <w:p w14:paraId="73F18198"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AW</w:t>
            </w:r>
          </w:p>
        </w:tc>
        <w:tc>
          <w:tcPr>
            <w:tcW w:w="6585" w:type="dxa"/>
            <w:tcBorders>
              <w:top w:val="nil"/>
              <w:left w:val="nil"/>
              <w:bottom w:val="single" w:sz="8" w:space="0" w:color="auto"/>
              <w:right w:val="single" w:sz="8" w:space="0" w:color="auto"/>
            </w:tcBorders>
            <w:shd w:val="clear" w:color="auto" w:fill="auto"/>
            <w:vAlign w:val="center"/>
          </w:tcPr>
          <w:p w14:paraId="130599EF"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Animal welfare = dobré životní podmínky zvířat (DŽPZ)</w:t>
            </w:r>
          </w:p>
        </w:tc>
      </w:tr>
      <w:tr w:rsidR="00CB2594" w:rsidRPr="007434DA" w14:paraId="33ED876A" w14:textId="77777777" w:rsidTr="004A57B3">
        <w:trPr>
          <w:cantSplit/>
          <w:trHeight w:val="300"/>
        </w:trPr>
        <w:tc>
          <w:tcPr>
            <w:tcW w:w="1920" w:type="dxa"/>
            <w:tcBorders>
              <w:top w:val="nil"/>
              <w:left w:val="single" w:sz="8" w:space="0" w:color="auto"/>
              <w:bottom w:val="single" w:sz="8" w:space="0" w:color="auto"/>
              <w:right w:val="single" w:sz="8" w:space="0" w:color="auto"/>
            </w:tcBorders>
            <w:shd w:val="clear" w:color="auto" w:fill="auto"/>
            <w:vAlign w:val="center"/>
          </w:tcPr>
          <w:p w14:paraId="69BB58D9"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 xml:space="preserve">CZ </w:t>
            </w:r>
          </w:p>
        </w:tc>
        <w:tc>
          <w:tcPr>
            <w:tcW w:w="6585" w:type="dxa"/>
            <w:tcBorders>
              <w:top w:val="nil"/>
              <w:left w:val="nil"/>
              <w:bottom w:val="single" w:sz="8" w:space="0" w:color="auto"/>
              <w:right w:val="single" w:sz="8" w:space="0" w:color="auto"/>
            </w:tcBorders>
            <w:shd w:val="clear" w:color="auto" w:fill="auto"/>
            <w:vAlign w:val="center"/>
          </w:tcPr>
          <w:p w14:paraId="534C5F36"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Česká republika</w:t>
            </w:r>
          </w:p>
        </w:tc>
      </w:tr>
      <w:tr w:rsidR="00CB2594" w:rsidRPr="007434DA" w14:paraId="17A62D30" w14:textId="77777777" w:rsidTr="004A57B3">
        <w:trPr>
          <w:trHeight w:val="300"/>
        </w:trPr>
        <w:tc>
          <w:tcPr>
            <w:tcW w:w="1920" w:type="dxa"/>
            <w:tcBorders>
              <w:top w:val="nil"/>
              <w:left w:val="single" w:sz="8" w:space="0" w:color="auto"/>
              <w:bottom w:val="single" w:sz="8" w:space="0" w:color="auto"/>
              <w:right w:val="single" w:sz="8" w:space="0" w:color="auto"/>
            </w:tcBorders>
            <w:shd w:val="clear" w:color="auto" w:fill="auto"/>
            <w:vAlign w:val="center"/>
            <w:hideMark/>
          </w:tcPr>
          <w:p w14:paraId="3A70BD75"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ČMSCH</w:t>
            </w:r>
          </w:p>
        </w:tc>
        <w:tc>
          <w:tcPr>
            <w:tcW w:w="6585" w:type="dxa"/>
            <w:tcBorders>
              <w:top w:val="nil"/>
              <w:left w:val="nil"/>
              <w:bottom w:val="single" w:sz="8" w:space="0" w:color="auto"/>
              <w:right w:val="single" w:sz="8" w:space="0" w:color="auto"/>
            </w:tcBorders>
            <w:shd w:val="clear" w:color="auto" w:fill="auto"/>
            <w:vAlign w:val="center"/>
            <w:hideMark/>
          </w:tcPr>
          <w:p w14:paraId="12210414"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Českomoravský svaz chovatelů</w:t>
            </w:r>
          </w:p>
        </w:tc>
      </w:tr>
      <w:tr w:rsidR="00CB2594" w:rsidRPr="007434DA" w14:paraId="0CED5EC1" w14:textId="77777777" w:rsidTr="004A57B3">
        <w:trPr>
          <w:cantSplit/>
          <w:trHeight w:val="300"/>
        </w:trPr>
        <w:tc>
          <w:tcPr>
            <w:tcW w:w="1920" w:type="dxa"/>
            <w:tcBorders>
              <w:top w:val="nil"/>
              <w:left w:val="single" w:sz="8" w:space="0" w:color="auto"/>
              <w:bottom w:val="single" w:sz="8" w:space="0" w:color="auto"/>
              <w:right w:val="single" w:sz="8" w:space="0" w:color="auto"/>
            </w:tcBorders>
            <w:shd w:val="clear" w:color="auto" w:fill="auto"/>
            <w:vAlign w:val="center"/>
            <w:hideMark/>
          </w:tcPr>
          <w:p w14:paraId="5D204D92"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ČS</w:t>
            </w:r>
          </w:p>
        </w:tc>
        <w:tc>
          <w:tcPr>
            <w:tcW w:w="6585" w:type="dxa"/>
            <w:tcBorders>
              <w:top w:val="nil"/>
              <w:left w:val="nil"/>
              <w:bottom w:val="single" w:sz="8" w:space="0" w:color="auto"/>
              <w:right w:val="single" w:sz="8" w:space="0" w:color="auto"/>
            </w:tcBorders>
            <w:shd w:val="clear" w:color="auto" w:fill="auto"/>
            <w:vAlign w:val="center"/>
            <w:hideMark/>
          </w:tcPr>
          <w:p w14:paraId="3B4CD0A7"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Členský stát</w:t>
            </w:r>
          </w:p>
        </w:tc>
      </w:tr>
      <w:tr w:rsidR="00CB2594" w:rsidRPr="007434DA" w14:paraId="5C35BE15" w14:textId="77777777" w:rsidTr="004A57B3">
        <w:trPr>
          <w:trHeight w:val="300"/>
        </w:trPr>
        <w:tc>
          <w:tcPr>
            <w:tcW w:w="1920" w:type="dxa"/>
            <w:tcBorders>
              <w:top w:val="nil"/>
              <w:left w:val="single" w:sz="8" w:space="0" w:color="auto"/>
              <w:bottom w:val="single" w:sz="8" w:space="0" w:color="auto"/>
              <w:right w:val="single" w:sz="8" w:space="0" w:color="auto"/>
            </w:tcBorders>
            <w:shd w:val="clear" w:color="auto" w:fill="auto"/>
            <w:vAlign w:val="center"/>
          </w:tcPr>
          <w:p w14:paraId="0958BB8D"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ČHMÚ</w:t>
            </w:r>
          </w:p>
        </w:tc>
        <w:tc>
          <w:tcPr>
            <w:tcW w:w="6585" w:type="dxa"/>
            <w:tcBorders>
              <w:top w:val="nil"/>
              <w:left w:val="nil"/>
              <w:bottom w:val="single" w:sz="8" w:space="0" w:color="auto"/>
              <w:right w:val="single" w:sz="8" w:space="0" w:color="auto"/>
            </w:tcBorders>
            <w:shd w:val="clear" w:color="auto" w:fill="auto"/>
            <w:vAlign w:val="center"/>
          </w:tcPr>
          <w:p w14:paraId="2C1FD4DC"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Český hydrometeorologický ústav</w:t>
            </w:r>
          </w:p>
        </w:tc>
      </w:tr>
      <w:tr w:rsidR="00CB2594" w:rsidRPr="007434DA" w14:paraId="73C0C055" w14:textId="77777777" w:rsidTr="004A57B3">
        <w:trPr>
          <w:trHeight w:val="300"/>
        </w:trPr>
        <w:tc>
          <w:tcPr>
            <w:tcW w:w="1920" w:type="dxa"/>
            <w:tcBorders>
              <w:top w:val="nil"/>
              <w:left w:val="single" w:sz="8" w:space="0" w:color="auto"/>
              <w:bottom w:val="single" w:sz="8" w:space="0" w:color="auto"/>
              <w:right w:val="single" w:sz="8" w:space="0" w:color="auto"/>
            </w:tcBorders>
            <w:shd w:val="clear" w:color="auto" w:fill="auto"/>
            <w:vAlign w:val="center"/>
          </w:tcPr>
          <w:p w14:paraId="14CA1462"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ČIŽP</w:t>
            </w:r>
          </w:p>
        </w:tc>
        <w:tc>
          <w:tcPr>
            <w:tcW w:w="6585" w:type="dxa"/>
            <w:tcBorders>
              <w:top w:val="nil"/>
              <w:left w:val="nil"/>
              <w:bottom w:val="single" w:sz="8" w:space="0" w:color="auto"/>
              <w:right w:val="single" w:sz="8" w:space="0" w:color="auto"/>
            </w:tcBorders>
            <w:shd w:val="clear" w:color="auto" w:fill="auto"/>
            <w:vAlign w:val="center"/>
          </w:tcPr>
          <w:p w14:paraId="277CA488"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Česká inspekce životního prostředí</w:t>
            </w:r>
          </w:p>
        </w:tc>
      </w:tr>
      <w:tr w:rsidR="00CB2594" w:rsidRPr="007434DA" w14:paraId="6F780759" w14:textId="77777777" w:rsidTr="004A57B3">
        <w:trPr>
          <w:trHeight w:val="300"/>
        </w:trPr>
        <w:tc>
          <w:tcPr>
            <w:tcW w:w="1920" w:type="dxa"/>
            <w:tcBorders>
              <w:top w:val="nil"/>
              <w:left w:val="single" w:sz="8" w:space="0" w:color="auto"/>
              <w:bottom w:val="single" w:sz="8" w:space="0" w:color="auto"/>
              <w:right w:val="single" w:sz="8" w:space="0" w:color="auto"/>
            </w:tcBorders>
            <w:shd w:val="clear" w:color="auto" w:fill="auto"/>
            <w:vAlign w:val="center"/>
          </w:tcPr>
          <w:p w14:paraId="449F6F4B"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CZ Q</w:t>
            </w:r>
          </w:p>
        </w:tc>
        <w:tc>
          <w:tcPr>
            <w:tcW w:w="6585" w:type="dxa"/>
            <w:tcBorders>
              <w:top w:val="nil"/>
              <w:left w:val="nil"/>
              <w:bottom w:val="single" w:sz="8" w:space="0" w:color="auto"/>
              <w:right w:val="single" w:sz="8" w:space="0" w:color="auto"/>
            </w:tcBorders>
            <w:shd w:val="clear" w:color="auto" w:fill="auto"/>
            <w:vAlign w:val="center"/>
          </w:tcPr>
          <w:p w14:paraId="337D782C"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Systém kvality pro mléko</w:t>
            </w:r>
          </w:p>
        </w:tc>
      </w:tr>
      <w:tr w:rsidR="00CB2594" w:rsidRPr="007434DA" w14:paraId="5B47CDE6" w14:textId="77777777" w:rsidTr="004A57B3">
        <w:trPr>
          <w:trHeight w:val="300"/>
        </w:trPr>
        <w:tc>
          <w:tcPr>
            <w:tcW w:w="1920" w:type="dxa"/>
            <w:tcBorders>
              <w:top w:val="nil"/>
              <w:left w:val="single" w:sz="8" w:space="0" w:color="auto"/>
              <w:bottom w:val="single" w:sz="8" w:space="0" w:color="auto"/>
              <w:right w:val="single" w:sz="8" w:space="0" w:color="auto"/>
            </w:tcBorders>
            <w:shd w:val="clear" w:color="auto" w:fill="auto"/>
            <w:vAlign w:val="center"/>
          </w:tcPr>
          <w:p w14:paraId="6ABED997"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DE</w:t>
            </w:r>
          </w:p>
        </w:tc>
        <w:tc>
          <w:tcPr>
            <w:tcW w:w="6585" w:type="dxa"/>
            <w:tcBorders>
              <w:top w:val="nil"/>
              <w:left w:val="nil"/>
              <w:bottom w:val="single" w:sz="8" w:space="0" w:color="auto"/>
              <w:right w:val="single" w:sz="8" w:space="0" w:color="auto"/>
            </w:tcBorders>
            <w:shd w:val="clear" w:color="auto" w:fill="auto"/>
            <w:vAlign w:val="center"/>
          </w:tcPr>
          <w:p w14:paraId="36AE643A"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Německá spolková republika</w:t>
            </w:r>
          </w:p>
        </w:tc>
      </w:tr>
      <w:tr w:rsidR="00CB2594" w:rsidRPr="007434DA" w14:paraId="7E1A8045" w14:textId="77777777" w:rsidTr="004A57B3">
        <w:trPr>
          <w:trHeight w:val="300"/>
        </w:trPr>
        <w:tc>
          <w:tcPr>
            <w:tcW w:w="1920" w:type="dxa"/>
            <w:tcBorders>
              <w:top w:val="nil"/>
              <w:left w:val="single" w:sz="8" w:space="0" w:color="auto"/>
              <w:bottom w:val="single" w:sz="8" w:space="0" w:color="auto"/>
              <w:right w:val="single" w:sz="8" w:space="0" w:color="auto"/>
            </w:tcBorders>
            <w:shd w:val="clear" w:color="auto" w:fill="auto"/>
            <w:vAlign w:val="center"/>
            <w:hideMark/>
          </w:tcPr>
          <w:p w14:paraId="6CB2DFAC"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DDT</w:t>
            </w:r>
          </w:p>
        </w:tc>
        <w:tc>
          <w:tcPr>
            <w:tcW w:w="6585" w:type="dxa"/>
            <w:tcBorders>
              <w:top w:val="nil"/>
              <w:left w:val="nil"/>
              <w:bottom w:val="single" w:sz="8" w:space="0" w:color="auto"/>
              <w:right w:val="single" w:sz="8" w:space="0" w:color="auto"/>
            </w:tcBorders>
            <w:shd w:val="clear" w:color="auto" w:fill="auto"/>
            <w:vAlign w:val="center"/>
            <w:hideMark/>
          </w:tcPr>
          <w:p w14:paraId="253BB1A3"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Dichlordifenyltrichloretan (insekticid)</w:t>
            </w:r>
          </w:p>
        </w:tc>
      </w:tr>
      <w:tr w:rsidR="00CB2594" w:rsidRPr="007434DA" w14:paraId="593A1A15" w14:textId="77777777" w:rsidTr="004A57B3">
        <w:trPr>
          <w:trHeight w:val="300"/>
        </w:trPr>
        <w:tc>
          <w:tcPr>
            <w:tcW w:w="1920" w:type="dxa"/>
            <w:tcBorders>
              <w:top w:val="nil"/>
              <w:left w:val="single" w:sz="8" w:space="0" w:color="auto"/>
              <w:bottom w:val="single" w:sz="8" w:space="0" w:color="auto"/>
              <w:right w:val="single" w:sz="8" w:space="0" w:color="auto"/>
            </w:tcBorders>
            <w:shd w:val="clear" w:color="auto" w:fill="auto"/>
            <w:vAlign w:val="center"/>
            <w:hideMark/>
          </w:tcPr>
          <w:p w14:paraId="59B7D0E6"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DPB</w:t>
            </w:r>
          </w:p>
        </w:tc>
        <w:tc>
          <w:tcPr>
            <w:tcW w:w="6585" w:type="dxa"/>
            <w:tcBorders>
              <w:top w:val="nil"/>
              <w:left w:val="nil"/>
              <w:bottom w:val="single" w:sz="8" w:space="0" w:color="auto"/>
              <w:right w:val="single" w:sz="8" w:space="0" w:color="auto"/>
            </w:tcBorders>
            <w:shd w:val="clear" w:color="auto" w:fill="auto"/>
            <w:vAlign w:val="center"/>
            <w:hideMark/>
          </w:tcPr>
          <w:p w14:paraId="7BD5EEE1"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Díly půdních bloků</w:t>
            </w:r>
          </w:p>
        </w:tc>
      </w:tr>
      <w:tr w:rsidR="00CB2594" w:rsidRPr="007434DA" w14:paraId="2465375B" w14:textId="77777777" w:rsidTr="004A57B3">
        <w:trPr>
          <w:trHeight w:val="300"/>
        </w:trPr>
        <w:tc>
          <w:tcPr>
            <w:tcW w:w="1920" w:type="dxa"/>
            <w:tcBorders>
              <w:top w:val="nil"/>
              <w:left w:val="single" w:sz="8" w:space="0" w:color="auto"/>
              <w:bottom w:val="single" w:sz="8" w:space="0" w:color="auto"/>
              <w:right w:val="single" w:sz="8" w:space="0" w:color="auto"/>
            </w:tcBorders>
            <w:shd w:val="clear" w:color="auto" w:fill="auto"/>
            <w:vAlign w:val="center"/>
            <w:hideMark/>
          </w:tcPr>
          <w:p w14:paraId="25078AA5"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DŽPZ</w:t>
            </w:r>
          </w:p>
        </w:tc>
        <w:tc>
          <w:tcPr>
            <w:tcW w:w="6585" w:type="dxa"/>
            <w:tcBorders>
              <w:top w:val="nil"/>
              <w:left w:val="nil"/>
              <w:bottom w:val="single" w:sz="8" w:space="0" w:color="auto"/>
              <w:right w:val="single" w:sz="8" w:space="0" w:color="auto"/>
            </w:tcBorders>
            <w:shd w:val="clear" w:color="auto" w:fill="auto"/>
            <w:vAlign w:val="center"/>
            <w:hideMark/>
          </w:tcPr>
          <w:p w14:paraId="2D5EAED0"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Dobré životní podmínky zvířat = AW – animal welfare</w:t>
            </w:r>
          </w:p>
        </w:tc>
      </w:tr>
      <w:tr w:rsidR="00CB2594" w:rsidRPr="00FA3A37" w14:paraId="3A5BF1AA" w14:textId="77777777" w:rsidTr="004A57B3">
        <w:trPr>
          <w:trHeight w:val="300"/>
        </w:trPr>
        <w:tc>
          <w:tcPr>
            <w:tcW w:w="1920" w:type="dxa"/>
            <w:tcBorders>
              <w:top w:val="nil"/>
              <w:left w:val="single" w:sz="8" w:space="0" w:color="auto"/>
              <w:bottom w:val="single" w:sz="8" w:space="0" w:color="auto"/>
              <w:right w:val="single" w:sz="8" w:space="0" w:color="auto"/>
            </w:tcBorders>
            <w:shd w:val="clear" w:color="auto" w:fill="auto"/>
            <w:vAlign w:val="center"/>
            <w:hideMark/>
          </w:tcPr>
          <w:p w14:paraId="5A097712"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ECDC</w:t>
            </w:r>
          </w:p>
        </w:tc>
        <w:tc>
          <w:tcPr>
            <w:tcW w:w="6585" w:type="dxa"/>
            <w:tcBorders>
              <w:top w:val="nil"/>
              <w:left w:val="nil"/>
              <w:bottom w:val="single" w:sz="8" w:space="0" w:color="auto"/>
              <w:right w:val="single" w:sz="8" w:space="0" w:color="auto"/>
            </w:tcBorders>
            <w:shd w:val="clear" w:color="auto" w:fill="auto"/>
            <w:vAlign w:val="center"/>
            <w:hideMark/>
          </w:tcPr>
          <w:p w14:paraId="3829E5A6"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Evropské středisko pro prevenci a kontrolu nemocí</w:t>
            </w:r>
          </w:p>
        </w:tc>
      </w:tr>
      <w:tr w:rsidR="00CB2594" w:rsidRPr="007434DA" w14:paraId="741BFCF6" w14:textId="77777777" w:rsidTr="004A57B3">
        <w:trPr>
          <w:trHeight w:val="300"/>
        </w:trPr>
        <w:tc>
          <w:tcPr>
            <w:tcW w:w="1920" w:type="dxa"/>
            <w:tcBorders>
              <w:top w:val="nil"/>
              <w:left w:val="single" w:sz="8" w:space="0" w:color="auto"/>
              <w:bottom w:val="single" w:sz="8" w:space="0" w:color="auto"/>
              <w:right w:val="single" w:sz="8" w:space="0" w:color="auto"/>
            </w:tcBorders>
            <w:shd w:val="clear" w:color="auto" w:fill="auto"/>
            <w:vAlign w:val="center"/>
            <w:hideMark/>
          </w:tcPr>
          <w:p w14:paraId="7452D0DC"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EFSA</w:t>
            </w:r>
          </w:p>
        </w:tc>
        <w:tc>
          <w:tcPr>
            <w:tcW w:w="6585" w:type="dxa"/>
            <w:tcBorders>
              <w:top w:val="nil"/>
              <w:left w:val="nil"/>
              <w:bottom w:val="single" w:sz="8" w:space="0" w:color="auto"/>
              <w:right w:val="single" w:sz="8" w:space="0" w:color="auto"/>
            </w:tcBorders>
            <w:shd w:val="clear" w:color="auto" w:fill="auto"/>
            <w:vAlign w:val="center"/>
            <w:hideMark/>
          </w:tcPr>
          <w:p w14:paraId="28237A6A"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Evropský úřad pro bezpečnost potravin</w:t>
            </w:r>
          </w:p>
        </w:tc>
      </w:tr>
      <w:tr w:rsidR="00CB2594" w:rsidRPr="007434DA" w14:paraId="08271C1E" w14:textId="77777777" w:rsidTr="004A57B3">
        <w:trPr>
          <w:trHeight w:val="300"/>
        </w:trPr>
        <w:tc>
          <w:tcPr>
            <w:tcW w:w="1920" w:type="dxa"/>
            <w:tcBorders>
              <w:top w:val="nil"/>
              <w:left w:val="single" w:sz="8" w:space="0" w:color="auto"/>
              <w:bottom w:val="single" w:sz="8" w:space="0" w:color="auto"/>
              <w:right w:val="single" w:sz="8" w:space="0" w:color="auto"/>
            </w:tcBorders>
            <w:shd w:val="clear" w:color="auto" w:fill="auto"/>
            <w:vAlign w:val="center"/>
            <w:hideMark/>
          </w:tcPr>
          <w:p w14:paraId="70C45C01"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EHS</w:t>
            </w:r>
          </w:p>
        </w:tc>
        <w:tc>
          <w:tcPr>
            <w:tcW w:w="6585" w:type="dxa"/>
            <w:tcBorders>
              <w:top w:val="nil"/>
              <w:left w:val="nil"/>
              <w:bottom w:val="single" w:sz="8" w:space="0" w:color="auto"/>
              <w:right w:val="single" w:sz="8" w:space="0" w:color="auto"/>
            </w:tcBorders>
            <w:shd w:val="clear" w:color="auto" w:fill="auto"/>
            <w:vAlign w:val="center"/>
            <w:hideMark/>
          </w:tcPr>
          <w:p w14:paraId="380A8F45"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 xml:space="preserve">Evropské hospodářské společenství </w:t>
            </w:r>
          </w:p>
        </w:tc>
      </w:tr>
      <w:tr w:rsidR="00CB2594" w:rsidRPr="007434DA" w14:paraId="34359A0B" w14:textId="77777777" w:rsidTr="004A57B3">
        <w:trPr>
          <w:trHeight w:val="300"/>
        </w:trPr>
        <w:tc>
          <w:tcPr>
            <w:tcW w:w="1920" w:type="dxa"/>
            <w:tcBorders>
              <w:top w:val="nil"/>
              <w:left w:val="single" w:sz="8" w:space="0" w:color="auto"/>
              <w:bottom w:val="single" w:sz="8" w:space="0" w:color="auto"/>
              <w:right w:val="single" w:sz="8" w:space="0" w:color="auto"/>
            </w:tcBorders>
            <w:shd w:val="clear" w:color="auto" w:fill="auto"/>
            <w:vAlign w:val="center"/>
            <w:hideMark/>
          </w:tcPr>
          <w:p w14:paraId="5F6E5A67"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EK</w:t>
            </w:r>
          </w:p>
        </w:tc>
        <w:tc>
          <w:tcPr>
            <w:tcW w:w="6585" w:type="dxa"/>
            <w:tcBorders>
              <w:top w:val="nil"/>
              <w:left w:val="nil"/>
              <w:bottom w:val="single" w:sz="8" w:space="0" w:color="auto"/>
              <w:right w:val="single" w:sz="8" w:space="0" w:color="auto"/>
            </w:tcBorders>
            <w:shd w:val="clear" w:color="auto" w:fill="auto"/>
            <w:vAlign w:val="center"/>
            <w:hideMark/>
          </w:tcPr>
          <w:p w14:paraId="278F0167"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Evropská komise</w:t>
            </w:r>
          </w:p>
        </w:tc>
      </w:tr>
      <w:tr w:rsidR="00CB2594" w:rsidRPr="007434DA" w14:paraId="4BEBF9D6" w14:textId="77777777" w:rsidTr="004A57B3">
        <w:trPr>
          <w:trHeight w:val="300"/>
        </w:trPr>
        <w:tc>
          <w:tcPr>
            <w:tcW w:w="1920" w:type="dxa"/>
            <w:tcBorders>
              <w:top w:val="nil"/>
              <w:left w:val="single" w:sz="8" w:space="0" w:color="auto"/>
              <w:bottom w:val="single" w:sz="8" w:space="0" w:color="auto"/>
              <w:right w:val="single" w:sz="8" w:space="0" w:color="auto"/>
            </w:tcBorders>
            <w:shd w:val="clear" w:color="auto" w:fill="auto"/>
            <w:vAlign w:val="center"/>
            <w:hideMark/>
          </w:tcPr>
          <w:p w14:paraId="076378BB"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EP</w:t>
            </w:r>
          </w:p>
        </w:tc>
        <w:tc>
          <w:tcPr>
            <w:tcW w:w="6585" w:type="dxa"/>
            <w:tcBorders>
              <w:top w:val="nil"/>
              <w:left w:val="nil"/>
              <w:bottom w:val="single" w:sz="8" w:space="0" w:color="auto"/>
              <w:right w:val="single" w:sz="8" w:space="0" w:color="auto"/>
            </w:tcBorders>
            <w:shd w:val="clear" w:color="auto" w:fill="auto"/>
            <w:vAlign w:val="center"/>
            <w:hideMark/>
          </w:tcPr>
          <w:p w14:paraId="0E1B6485"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Evropský parlament</w:t>
            </w:r>
          </w:p>
        </w:tc>
      </w:tr>
      <w:tr w:rsidR="00CB2594" w:rsidRPr="007434DA" w14:paraId="76398B83" w14:textId="77777777" w:rsidTr="004A57B3">
        <w:trPr>
          <w:trHeight w:val="300"/>
        </w:trPr>
        <w:tc>
          <w:tcPr>
            <w:tcW w:w="1920" w:type="dxa"/>
            <w:tcBorders>
              <w:top w:val="nil"/>
              <w:left w:val="single" w:sz="8" w:space="0" w:color="auto"/>
              <w:bottom w:val="single" w:sz="8" w:space="0" w:color="auto"/>
              <w:right w:val="single" w:sz="8" w:space="0" w:color="auto"/>
            </w:tcBorders>
            <w:shd w:val="clear" w:color="auto" w:fill="auto"/>
            <w:vAlign w:val="center"/>
            <w:hideMark/>
          </w:tcPr>
          <w:p w14:paraId="36DC776F"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EU</w:t>
            </w:r>
          </w:p>
        </w:tc>
        <w:tc>
          <w:tcPr>
            <w:tcW w:w="6585" w:type="dxa"/>
            <w:tcBorders>
              <w:top w:val="nil"/>
              <w:left w:val="nil"/>
              <w:bottom w:val="single" w:sz="8" w:space="0" w:color="auto"/>
              <w:right w:val="single" w:sz="8" w:space="0" w:color="auto"/>
            </w:tcBorders>
            <w:shd w:val="clear" w:color="auto" w:fill="auto"/>
            <w:vAlign w:val="center"/>
            <w:hideMark/>
          </w:tcPr>
          <w:p w14:paraId="42DEBE5B"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Evropská unie</w:t>
            </w:r>
          </w:p>
        </w:tc>
      </w:tr>
      <w:tr w:rsidR="00CB2594" w:rsidRPr="007434DA" w14:paraId="3A6D6148" w14:textId="77777777" w:rsidTr="004A57B3">
        <w:trPr>
          <w:trHeight w:val="300"/>
        </w:trPr>
        <w:tc>
          <w:tcPr>
            <w:tcW w:w="1920" w:type="dxa"/>
            <w:tcBorders>
              <w:top w:val="nil"/>
              <w:left w:val="single" w:sz="8" w:space="0" w:color="auto"/>
              <w:bottom w:val="single" w:sz="8" w:space="0" w:color="auto"/>
              <w:right w:val="single" w:sz="8" w:space="0" w:color="auto"/>
            </w:tcBorders>
            <w:shd w:val="clear" w:color="auto" w:fill="auto"/>
            <w:vAlign w:val="center"/>
            <w:hideMark/>
          </w:tcPr>
          <w:p w14:paraId="18AA145B"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EZ</w:t>
            </w:r>
          </w:p>
        </w:tc>
        <w:tc>
          <w:tcPr>
            <w:tcW w:w="6585" w:type="dxa"/>
            <w:tcBorders>
              <w:top w:val="nil"/>
              <w:left w:val="nil"/>
              <w:bottom w:val="single" w:sz="8" w:space="0" w:color="auto"/>
              <w:right w:val="single" w:sz="8" w:space="0" w:color="auto"/>
            </w:tcBorders>
            <w:shd w:val="clear" w:color="auto" w:fill="auto"/>
            <w:vAlign w:val="center"/>
            <w:hideMark/>
          </w:tcPr>
          <w:p w14:paraId="4FDBB2F6"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Ekologické zemědělství</w:t>
            </w:r>
          </w:p>
        </w:tc>
      </w:tr>
      <w:tr w:rsidR="00CB2594" w:rsidRPr="00FA3A37" w14:paraId="0C3CD9D7" w14:textId="77777777" w:rsidTr="004A57B3">
        <w:trPr>
          <w:trHeight w:val="300"/>
        </w:trPr>
        <w:tc>
          <w:tcPr>
            <w:tcW w:w="1920" w:type="dxa"/>
            <w:tcBorders>
              <w:top w:val="nil"/>
              <w:left w:val="single" w:sz="8" w:space="0" w:color="auto"/>
              <w:bottom w:val="single" w:sz="8" w:space="0" w:color="auto"/>
              <w:right w:val="single" w:sz="8" w:space="0" w:color="auto"/>
            </w:tcBorders>
            <w:shd w:val="clear" w:color="auto" w:fill="auto"/>
            <w:vAlign w:val="center"/>
            <w:hideMark/>
          </w:tcPr>
          <w:p w14:paraId="1139DFCD"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EZFRV</w:t>
            </w:r>
          </w:p>
        </w:tc>
        <w:tc>
          <w:tcPr>
            <w:tcW w:w="6585" w:type="dxa"/>
            <w:tcBorders>
              <w:top w:val="nil"/>
              <w:left w:val="nil"/>
              <w:bottom w:val="single" w:sz="8" w:space="0" w:color="auto"/>
              <w:right w:val="single" w:sz="8" w:space="0" w:color="auto"/>
            </w:tcBorders>
            <w:shd w:val="clear" w:color="auto" w:fill="auto"/>
            <w:vAlign w:val="center"/>
            <w:hideMark/>
          </w:tcPr>
          <w:p w14:paraId="744B6A60"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Evropský zemědělský fond pro rozvoj venkova</w:t>
            </w:r>
          </w:p>
        </w:tc>
      </w:tr>
      <w:tr w:rsidR="00CB2594" w:rsidRPr="007434DA" w14:paraId="6560C077" w14:textId="77777777" w:rsidTr="004A57B3">
        <w:trPr>
          <w:trHeight w:val="300"/>
        </w:trPr>
        <w:tc>
          <w:tcPr>
            <w:tcW w:w="1920" w:type="dxa"/>
            <w:tcBorders>
              <w:top w:val="nil"/>
              <w:left w:val="single" w:sz="8" w:space="0" w:color="auto"/>
              <w:bottom w:val="single" w:sz="8" w:space="0" w:color="auto"/>
              <w:right w:val="single" w:sz="8" w:space="0" w:color="auto"/>
            </w:tcBorders>
            <w:shd w:val="clear" w:color="auto" w:fill="auto"/>
            <w:vAlign w:val="center"/>
            <w:hideMark/>
          </w:tcPr>
          <w:p w14:paraId="157DD56A"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FAME</w:t>
            </w:r>
          </w:p>
        </w:tc>
        <w:tc>
          <w:tcPr>
            <w:tcW w:w="6585" w:type="dxa"/>
            <w:tcBorders>
              <w:top w:val="nil"/>
              <w:left w:val="nil"/>
              <w:bottom w:val="single" w:sz="8" w:space="0" w:color="auto"/>
              <w:right w:val="single" w:sz="8" w:space="0" w:color="auto"/>
            </w:tcBorders>
            <w:shd w:val="clear" w:color="auto" w:fill="auto"/>
            <w:vAlign w:val="center"/>
            <w:hideMark/>
          </w:tcPr>
          <w:p w14:paraId="177101DA"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Methylester řepkového oleje</w:t>
            </w:r>
          </w:p>
        </w:tc>
      </w:tr>
      <w:tr w:rsidR="00CB2594" w:rsidRPr="007434DA" w14:paraId="758752EF" w14:textId="77777777" w:rsidTr="004A57B3">
        <w:trPr>
          <w:cantSplit/>
          <w:trHeight w:val="300"/>
        </w:trPr>
        <w:tc>
          <w:tcPr>
            <w:tcW w:w="1920" w:type="dxa"/>
            <w:tcBorders>
              <w:top w:val="nil"/>
              <w:left w:val="single" w:sz="8" w:space="0" w:color="auto"/>
              <w:bottom w:val="single" w:sz="8" w:space="0" w:color="auto"/>
              <w:right w:val="single" w:sz="8" w:space="0" w:color="auto"/>
            </w:tcBorders>
            <w:shd w:val="clear" w:color="auto" w:fill="auto"/>
            <w:vAlign w:val="center"/>
            <w:hideMark/>
          </w:tcPr>
          <w:p w14:paraId="4BC47EE1"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FAO</w:t>
            </w:r>
          </w:p>
        </w:tc>
        <w:tc>
          <w:tcPr>
            <w:tcW w:w="6585" w:type="dxa"/>
            <w:tcBorders>
              <w:top w:val="nil"/>
              <w:left w:val="nil"/>
              <w:bottom w:val="single" w:sz="8" w:space="0" w:color="auto"/>
              <w:right w:val="single" w:sz="8" w:space="0" w:color="auto"/>
            </w:tcBorders>
            <w:shd w:val="clear" w:color="auto" w:fill="auto"/>
            <w:vAlign w:val="center"/>
            <w:hideMark/>
          </w:tcPr>
          <w:p w14:paraId="4C445BEC"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Organizace pro výživu a zemědělství</w:t>
            </w:r>
          </w:p>
        </w:tc>
      </w:tr>
      <w:tr w:rsidR="00CB2594" w:rsidRPr="007434DA" w14:paraId="005005CD" w14:textId="77777777" w:rsidTr="004A57B3">
        <w:trPr>
          <w:trHeight w:val="300"/>
        </w:trPr>
        <w:tc>
          <w:tcPr>
            <w:tcW w:w="1920" w:type="dxa"/>
            <w:tcBorders>
              <w:top w:val="nil"/>
              <w:left w:val="single" w:sz="8" w:space="0" w:color="auto"/>
              <w:bottom w:val="single" w:sz="8" w:space="0" w:color="auto"/>
              <w:right w:val="single" w:sz="8" w:space="0" w:color="auto"/>
            </w:tcBorders>
            <w:shd w:val="clear" w:color="auto" w:fill="auto"/>
            <w:vAlign w:val="center"/>
          </w:tcPr>
          <w:p w14:paraId="638591BC"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HCB</w:t>
            </w:r>
          </w:p>
        </w:tc>
        <w:tc>
          <w:tcPr>
            <w:tcW w:w="6585" w:type="dxa"/>
            <w:tcBorders>
              <w:top w:val="nil"/>
              <w:left w:val="nil"/>
              <w:bottom w:val="single" w:sz="8" w:space="0" w:color="auto"/>
              <w:right w:val="single" w:sz="8" w:space="0" w:color="auto"/>
            </w:tcBorders>
            <w:shd w:val="clear" w:color="auto" w:fill="auto"/>
            <w:vAlign w:val="center"/>
          </w:tcPr>
          <w:p w14:paraId="1634BD54"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Hexachlorbenzen (fungicid)</w:t>
            </w:r>
          </w:p>
        </w:tc>
      </w:tr>
      <w:tr w:rsidR="00CB2594" w:rsidRPr="007434DA" w14:paraId="38C01BD3" w14:textId="77777777" w:rsidTr="004A57B3">
        <w:trPr>
          <w:trHeight w:val="300"/>
        </w:trPr>
        <w:tc>
          <w:tcPr>
            <w:tcW w:w="1920" w:type="dxa"/>
            <w:tcBorders>
              <w:top w:val="nil"/>
              <w:left w:val="single" w:sz="8" w:space="0" w:color="auto"/>
              <w:bottom w:val="single" w:sz="8" w:space="0" w:color="auto"/>
              <w:right w:val="single" w:sz="8" w:space="0" w:color="auto"/>
            </w:tcBorders>
            <w:shd w:val="clear" w:color="auto" w:fill="auto"/>
            <w:vAlign w:val="center"/>
            <w:hideMark/>
          </w:tcPr>
          <w:p w14:paraId="18FB4B7D"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HCH</w:t>
            </w:r>
          </w:p>
        </w:tc>
        <w:tc>
          <w:tcPr>
            <w:tcW w:w="6585" w:type="dxa"/>
            <w:tcBorders>
              <w:top w:val="nil"/>
              <w:left w:val="nil"/>
              <w:bottom w:val="single" w:sz="8" w:space="0" w:color="auto"/>
              <w:right w:val="single" w:sz="8" w:space="0" w:color="auto"/>
            </w:tcBorders>
            <w:shd w:val="clear" w:color="auto" w:fill="auto"/>
            <w:vAlign w:val="center"/>
            <w:hideMark/>
          </w:tcPr>
          <w:p w14:paraId="7B8BAEDC"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Hexachlorhexan (insekticid)</w:t>
            </w:r>
          </w:p>
        </w:tc>
      </w:tr>
      <w:tr w:rsidR="00CB2594" w:rsidRPr="007434DA" w14:paraId="7059372B" w14:textId="77777777" w:rsidTr="004A57B3">
        <w:trPr>
          <w:cantSplit/>
          <w:trHeight w:val="300"/>
        </w:trPr>
        <w:tc>
          <w:tcPr>
            <w:tcW w:w="1920" w:type="dxa"/>
            <w:tcBorders>
              <w:top w:val="nil"/>
              <w:left w:val="single" w:sz="8" w:space="0" w:color="auto"/>
              <w:bottom w:val="single" w:sz="8" w:space="0" w:color="auto"/>
              <w:right w:val="single" w:sz="8" w:space="0" w:color="auto"/>
            </w:tcBorders>
            <w:shd w:val="clear" w:color="auto" w:fill="auto"/>
            <w:vAlign w:val="center"/>
            <w:hideMark/>
          </w:tcPr>
          <w:p w14:paraId="3CF83AE7"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HU</w:t>
            </w:r>
          </w:p>
        </w:tc>
        <w:tc>
          <w:tcPr>
            <w:tcW w:w="6585" w:type="dxa"/>
            <w:tcBorders>
              <w:top w:val="nil"/>
              <w:left w:val="nil"/>
              <w:bottom w:val="single" w:sz="8" w:space="0" w:color="auto"/>
              <w:right w:val="single" w:sz="8" w:space="0" w:color="auto"/>
            </w:tcBorders>
            <w:shd w:val="clear" w:color="auto" w:fill="auto"/>
            <w:vAlign w:val="center"/>
            <w:hideMark/>
          </w:tcPr>
          <w:p w14:paraId="19F8942D"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Maďarsko</w:t>
            </w:r>
          </w:p>
        </w:tc>
      </w:tr>
      <w:tr w:rsidR="00CB2594" w:rsidRPr="007434DA" w14:paraId="363EC45F" w14:textId="77777777" w:rsidTr="004A57B3">
        <w:trPr>
          <w:trHeight w:val="300"/>
        </w:trPr>
        <w:tc>
          <w:tcPr>
            <w:tcW w:w="1920" w:type="dxa"/>
            <w:tcBorders>
              <w:top w:val="nil"/>
              <w:left w:val="single" w:sz="8" w:space="0" w:color="auto"/>
              <w:bottom w:val="single" w:sz="8" w:space="0" w:color="auto"/>
              <w:right w:val="single" w:sz="8" w:space="0" w:color="auto"/>
            </w:tcBorders>
            <w:shd w:val="clear" w:color="auto" w:fill="auto"/>
            <w:vAlign w:val="center"/>
            <w:hideMark/>
          </w:tcPr>
          <w:p w14:paraId="29A66EFF"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IBR</w:t>
            </w:r>
          </w:p>
        </w:tc>
        <w:tc>
          <w:tcPr>
            <w:tcW w:w="6585" w:type="dxa"/>
            <w:tcBorders>
              <w:top w:val="nil"/>
              <w:left w:val="nil"/>
              <w:bottom w:val="single" w:sz="8" w:space="0" w:color="auto"/>
              <w:right w:val="single" w:sz="8" w:space="0" w:color="auto"/>
            </w:tcBorders>
            <w:shd w:val="clear" w:color="auto" w:fill="auto"/>
            <w:vAlign w:val="center"/>
            <w:hideMark/>
          </w:tcPr>
          <w:p w14:paraId="70FD0892"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Infekční bovinní rinotracheitida</w:t>
            </w:r>
          </w:p>
        </w:tc>
      </w:tr>
      <w:tr w:rsidR="00CB2594" w:rsidRPr="007434DA" w14:paraId="3EE6106A" w14:textId="77777777" w:rsidTr="004A57B3">
        <w:trPr>
          <w:trHeight w:val="300"/>
        </w:trPr>
        <w:tc>
          <w:tcPr>
            <w:tcW w:w="1920" w:type="dxa"/>
            <w:tcBorders>
              <w:top w:val="nil"/>
              <w:left w:val="single" w:sz="8" w:space="0" w:color="auto"/>
              <w:bottom w:val="single" w:sz="8" w:space="0" w:color="auto"/>
              <w:right w:val="single" w:sz="8" w:space="0" w:color="auto"/>
            </w:tcBorders>
            <w:shd w:val="clear" w:color="auto" w:fill="auto"/>
            <w:vAlign w:val="center"/>
            <w:hideMark/>
          </w:tcPr>
          <w:p w14:paraId="210049C1"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IP</w:t>
            </w:r>
          </w:p>
        </w:tc>
        <w:tc>
          <w:tcPr>
            <w:tcW w:w="6585" w:type="dxa"/>
            <w:tcBorders>
              <w:top w:val="nil"/>
              <w:left w:val="nil"/>
              <w:bottom w:val="single" w:sz="8" w:space="0" w:color="auto"/>
              <w:right w:val="single" w:sz="8" w:space="0" w:color="auto"/>
            </w:tcBorders>
            <w:shd w:val="clear" w:color="auto" w:fill="auto"/>
            <w:vAlign w:val="center"/>
            <w:hideMark/>
          </w:tcPr>
          <w:p w14:paraId="231A3167"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Integrovaná produkce</w:t>
            </w:r>
          </w:p>
        </w:tc>
      </w:tr>
      <w:tr w:rsidR="00CB2594" w:rsidRPr="007434DA" w14:paraId="4134CB13" w14:textId="77777777" w:rsidTr="004A57B3">
        <w:trPr>
          <w:trHeight w:val="300"/>
        </w:trPr>
        <w:tc>
          <w:tcPr>
            <w:tcW w:w="1920" w:type="dxa"/>
            <w:tcBorders>
              <w:top w:val="nil"/>
              <w:left w:val="single" w:sz="8" w:space="0" w:color="auto"/>
              <w:bottom w:val="single" w:sz="8" w:space="0" w:color="auto"/>
              <w:right w:val="single" w:sz="8" w:space="0" w:color="auto"/>
            </w:tcBorders>
            <w:shd w:val="clear" w:color="auto" w:fill="auto"/>
            <w:vAlign w:val="center"/>
            <w:hideMark/>
          </w:tcPr>
          <w:p w14:paraId="1B107DBD"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IPZ</w:t>
            </w:r>
          </w:p>
        </w:tc>
        <w:tc>
          <w:tcPr>
            <w:tcW w:w="6585" w:type="dxa"/>
            <w:tcBorders>
              <w:top w:val="nil"/>
              <w:left w:val="nil"/>
              <w:bottom w:val="single" w:sz="8" w:space="0" w:color="auto"/>
              <w:right w:val="single" w:sz="8" w:space="0" w:color="auto"/>
            </w:tcBorders>
            <w:shd w:val="clear" w:color="auto" w:fill="auto"/>
            <w:vAlign w:val="center"/>
            <w:hideMark/>
          </w:tcPr>
          <w:p w14:paraId="62B47D38"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Integrovaná produkce zeleniny</w:t>
            </w:r>
          </w:p>
        </w:tc>
      </w:tr>
      <w:tr w:rsidR="00CB2594" w:rsidRPr="007434DA" w14:paraId="6A5848A4" w14:textId="77777777" w:rsidTr="004A57B3">
        <w:trPr>
          <w:trHeight w:val="300"/>
        </w:trPr>
        <w:tc>
          <w:tcPr>
            <w:tcW w:w="1920" w:type="dxa"/>
            <w:tcBorders>
              <w:top w:val="nil"/>
              <w:left w:val="single" w:sz="8" w:space="0" w:color="auto"/>
              <w:bottom w:val="single" w:sz="8" w:space="0" w:color="auto"/>
              <w:right w:val="single" w:sz="8" w:space="0" w:color="auto"/>
            </w:tcBorders>
            <w:shd w:val="clear" w:color="auto" w:fill="auto"/>
            <w:vAlign w:val="center"/>
          </w:tcPr>
          <w:p w14:paraId="215F69CD"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IZR</w:t>
            </w:r>
          </w:p>
        </w:tc>
        <w:tc>
          <w:tcPr>
            <w:tcW w:w="6585" w:type="dxa"/>
            <w:tcBorders>
              <w:top w:val="nil"/>
              <w:left w:val="nil"/>
              <w:bottom w:val="single" w:sz="8" w:space="0" w:color="auto"/>
              <w:right w:val="single" w:sz="8" w:space="0" w:color="auto"/>
            </w:tcBorders>
            <w:shd w:val="clear" w:color="auto" w:fill="auto"/>
            <w:vAlign w:val="center"/>
          </w:tcPr>
          <w:p w14:paraId="646AA567"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Integrovaný registr zvířat</w:t>
            </w:r>
          </w:p>
        </w:tc>
      </w:tr>
      <w:tr w:rsidR="00CB2594" w:rsidRPr="00FA3A37" w14:paraId="6D0C15D1" w14:textId="77777777" w:rsidTr="004A57B3">
        <w:trPr>
          <w:trHeight w:val="300"/>
        </w:trPr>
        <w:tc>
          <w:tcPr>
            <w:tcW w:w="1920" w:type="dxa"/>
            <w:tcBorders>
              <w:top w:val="nil"/>
              <w:left w:val="single" w:sz="8" w:space="0" w:color="auto"/>
              <w:bottom w:val="single" w:sz="8" w:space="0" w:color="auto"/>
              <w:right w:val="single" w:sz="8" w:space="0" w:color="auto"/>
            </w:tcBorders>
            <w:shd w:val="clear" w:color="auto" w:fill="auto"/>
            <w:vAlign w:val="center"/>
          </w:tcPr>
          <w:p w14:paraId="57E7AED1"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KBTPM</w:t>
            </w:r>
          </w:p>
        </w:tc>
        <w:tc>
          <w:tcPr>
            <w:tcW w:w="6585" w:type="dxa"/>
            <w:tcBorders>
              <w:top w:val="nil"/>
              <w:left w:val="nil"/>
              <w:bottom w:val="single" w:sz="8" w:space="0" w:color="auto"/>
              <w:right w:val="single" w:sz="8" w:space="0" w:color="auto"/>
            </w:tcBorders>
            <w:shd w:val="clear" w:color="auto" w:fill="auto"/>
            <w:vAlign w:val="center"/>
          </w:tcPr>
          <w:p w14:paraId="6E2A6FB3"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Krávy bez tržní produkce mléka</w:t>
            </w:r>
          </w:p>
        </w:tc>
      </w:tr>
      <w:tr w:rsidR="00CB2594" w:rsidRPr="007434DA" w14:paraId="69A35637" w14:textId="77777777" w:rsidTr="004A57B3">
        <w:trPr>
          <w:trHeight w:val="300"/>
        </w:trPr>
        <w:tc>
          <w:tcPr>
            <w:tcW w:w="1920" w:type="dxa"/>
            <w:tcBorders>
              <w:top w:val="nil"/>
              <w:left w:val="single" w:sz="8" w:space="0" w:color="auto"/>
              <w:bottom w:val="single" w:sz="8" w:space="0" w:color="auto"/>
              <w:right w:val="single" w:sz="8" w:space="0" w:color="auto"/>
            </w:tcBorders>
            <w:shd w:val="clear" w:color="auto" w:fill="auto"/>
            <w:vAlign w:val="center"/>
            <w:hideMark/>
          </w:tcPr>
          <w:p w14:paraId="03ADF36F"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 xml:space="preserve">KVS </w:t>
            </w:r>
          </w:p>
        </w:tc>
        <w:tc>
          <w:tcPr>
            <w:tcW w:w="6585" w:type="dxa"/>
            <w:tcBorders>
              <w:top w:val="nil"/>
              <w:left w:val="nil"/>
              <w:bottom w:val="single" w:sz="8" w:space="0" w:color="auto"/>
              <w:right w:val="single" w:sz="8" w:space="0" w:color="auto"/>
            </w:tcBorders>
            <w:shd w:val="clear" w:color="auto" w:fill="auto"/>
            <w:vAlign w:val="center"/>
            <w:hideMark/>
          </w:tcPr>
          <w:p w14:paraId="43608A38"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Krajská veterinární správa</w:t>
            </w:r>
          </w:p>
        </w:tc>
      </w:tr>
      <w:tr w:rsidR="00CB2594" w:rsidRPr="007434DA" w14:paraId="4D9A298D" w14:textId="77777777" w:rsidTr="004A57B3">
        <w:trPr>
          <w:trHeight w:val="300"/>
        </w:trPr>
        <w:tc>
          <w:tcPr>
            <w:tcW w:w="1920" w:type="dxa"/>
            <w:tcBorders>
              <w:top w:val="nil"/>
              <w:left w:val="single" w:sz="8" w:space="0" w:color="auto"/>
              <w:bottom w:val="single" w:sz="8" w:space="0" w:color="auto"/>
              <w:right w:val="single" w:sz="8" w:space="0" w:color="auto"/>
            </w:tcBorders>
            <w:shd w:val="clear" w:color="auto" w:fill="auto"/>
            <w:vAlign w:val="center"/>
            <w:hideMark/>
          </w:tcPr>
          <w:p w14:paraId="3A2F6DF2"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LAKR</w:t>
            </w:r>
          </w:p>
        </w:tc>
        <w:tc>
          <w:tcPr>
            <w:tcW w:w="6585" w:type="dxa"/>
            <w:tcBorders>
              <w:top w:val="nil"/>
              <w:left w:val="nil"/>
              <w:bottom w:val="single" w:sz="8" w:space="0" w:color="auto"/>
              <w:right w:val="single" w:sz="8" w:space="0" w:color="auto"/>
            </w:tcBorders>
            <w:shd w:val="clear" w:color="auto" w:fill="auto"/>
            <w:vAlign w:val="center"/>
            <w:hideMark/>
          </w:tcPr>
          <w:p w14:paraId="4899C151"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Léčivé, aromatické a kořeninové rostliny</w:t>
            </w:r>
          </w:p>
        </w:tc>
      </w:tr>
      <w:tr w:rsidR="00CB2594" w:rsidRPr="007434DA" w14:paraId="3590C84B" w14:textId="77777777" w:rsidTr="004A57B3">
        <w:trPr>
          <w:trHeight w:val="300"/>
        </w:trPr>
        <w:tc>
          <w:tcPr>
            <w:tcW w:w="1920" w:type="dxa"/>
            <w:tcBorders>
              <w:top w:val="nil"/>
              <w:left w:val="single" w:sz="8" w:space="0" w:color="auto"/>
              <w:bottom w:val="single" w:sz="8" w:space="0" w:color="auto"/>
              <w:right w:val="single" w:sz="8" w:space="0" w:color="auto"/>
            </w:tcBorders>
            <w:shd w:val="clear" w:color="auto" w:fill="auto"/>
            <w:vAlign w:val="center"/>
            <w:hideMark/>
          </w:tcPr>
          <w:p w14:paraId="2E38D9FE"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MLR</w:t>
            </w:r>
          </w:p>
        </w:tc>
        <w:tc>
          <w:tcPr>
            <w:tcW w:w="6585" w:type="dxa"/>
            <w:tcBorders>
              <w:top w:val="nil"/>
              <w:left w:val="nil"/>
              <w:bottom w:val="single" w:sz="8" w:space="0" w:color="auto"/>
              <w:right w:val="single" w:sz="8" w:space="0" w:color="auto"/>
            </w:tcBorders>
            <w:shd w:val="clear" w:color="auto" w:fill="auto"/>
            <w:vAlign w:val="center"/>
            <w:hideMark/>
          </w:tcPr>
          <w:p w14:paraId="560FC1F5"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Maximální limity reziduí</w:t>
            </w:r>
          </w:p>
        </w:tc>
      </w:tr>
      <w:tr w:rsidR="00CB2594" w:rsidRPr="007434DA" w14:paraId="5F13F865" w14:textId="77777777" w:rsidTr="004A57B3">
        <w:trPr>
          <w:trHeight w:val="300"/>
        </w:trPr>
        <w:tc>
          <w:tcPr>
            <w:tcW w:w="1920" w:type="dxa"/>
            <w:tcBorders>
              <w:top w:val="nil"/>
              <w:left w:val="single" w:sz="8" w:space="0" w:color="auto"/>
              <w:bottom w:val="single" w:sz="8" w:space="0" w:color="auto"/>
              <w:right w:val="single" w:sz="8" w:space="0" w:color="auto"/>
            </w:tcBorders>
            <w:shd w:val="clear" w:color="auto" w:fill="auto"/>
            <w:vAlign w:val="center"/>
            <w:hideMark/>
          </w:tcPr>
          <w:p w14:paraId="0E60BB7E"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MZe</w:t>
            </w:r>
          </w:p>
        </w:tc>
        <w:tc>
          <w:tcPr>
            <w:tcW w:w="6585" w:type="dxa"/>
            <w:tcBorders>
              <w:top w:val="nil"/>
              <w:left w:val="nil"/>
              <w:bottom w:val="single" w:sz="8" w:space="0" w:color="auto"/>
              <w:right w:val="single" w:sz="8" w:space="0" w:color="auto"/>
            </w:tcBorders>
            <w:shd w:val="clear" w:color="auto" w:fill="auto"/>
            <w:vAlign w:val="center"/>
            <w:hideMark/>
          </w:tcPr>
          <w:p w14:paraId="300586DF"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Ministerstvo zemědělství</w:t>
            </w:r>
          </w:p>
        </w:tc>
      </w:tr>
      <w:tr w:rsidR="00CB2594" w:rsidRPr="007434DA" w14:paraId="1D0878DD" w14:textId="77777777" w:rsidTr="004A57B3">
        <w:trPr>
          <w:cantSplit/>
          <w:trHeight w:val="300"/>
        </w:trPr>
        <w:tc>
          <w:tcPr>
            <w:tcW w:w="1920" w:type="dxa"/>
            <w:tcBorders>
              <w:top w:val="nil"/>
              <w:left w:val="single" w:sz="8" w:space="0" w:color="auto"/>
              <w:bottom w:val="single" w:sz="8" w:space="0" w:color="auto"/>
              <w:right w:val="single" w:sz="8" w:space="0" w:color="auto"/>
            </w:tcBorders>
            <w:shd w:val="clear" w:color="auto" w:fill="auto"/>
            <w:vAlign w:val="center"/>
            <w:hideMark/>
          </w:tcPr>
          <w:p w14:paraId="1C2D1D4D"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MŽP</w:t>
            </w:r>
          </w:p>
        </w:tc>
        <w:tc>
          <w:tcPr>
            <w:tcW w:w="6585" w:type="dxa"/>
            <w:tcBorders>
              <w:top w:val="nil"/>
              <w:left w:val="nil"/>
              <w:bottom w:val="single" w:sz="8" w:space="0" w:color="auto"/>
              <w:right w:val="single" w:sz="8" w:space="0" w:color="auto"/>
            </w:tcBorders>
            <w:shd w:val="clear" w:color="auto" w:fill="auto"/>
            <w:vAlign w:val="center"/>
            <w:hideMark/>
          </w:tcPr>
          <w:p w14:paraId="09C9C7F3"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Ministerstvo životního prostředí</w:t>
            </w:r>
          </w:p>
        </w:tc>
      </w:tr>
      <w:tr w:rsidR="00CB2594" w:rsidRPr="00FA3A37" w14:paraId="21586AF7" w14:textId="77777777" w:rsidTr="004A57B3">
        <w:trPr>
          <w:trHeight w:val="300"/>
        </w:trPr>
        <w:tc>
          <w:tcPr>
            <w:tcW w:w="1920" w:type="dxa"/>
            <w:tcBorders>
              <w:top w:val="nil"/>
              <w:left w:val="single" w:sz="8" w:space="0" w:color="auto"/>
              <w:bottom w:val="single" w:sz="8" w:space="0" w:color="auto"/>
              <w:right w:val="single" w:sz="8" w:space="0" w:color="auto"/>
            </w:tcBorders>
            <w:shd w:val="clear" w:color="auto" w:fill="auto"/>
            <w:vAlign w:val="center"/>
            <w:hideMark/>
          </w:tcPr>
          <w:p w14:paraId="691189FA"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NAP</w:t>
            </w:r>
          </w:p>
        </w:tc>
        <w:tc>
          <w:tcPr>
            <w:tcW w:w="6585" w:type="dxa"/>
            <w:tcBorders>
              <w:top w:val="nil"/>
              <w:left w:val="nil"/>
              <w:bottom w:val="single" w:sz="8" w:space="0" w:color="auto"/>
              <w:right w:val="single" w:sz="8" w:space="0" w:color="auto"/>
            </w:tcBorders>
            <w:shd w:val="clear" w:color="auto" w:fill="auto"/>
            <w:vAlign w:val="center"/>
            <w:hideMark/>
          </w:tcPr>
          <w:p w14:paraId="60E737E6"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Národní akční plán k bezpečnému používání pesticidů</w:t>
            </w:r>
          </w:p>
        </w:tc>
      </w:tr>
      <w:tr w:rsidR="00CB2594" w:rsidRPr="007434DA" w14:paraId="6D74744D" w14:textId="77777777" w:rsidTr="004A57B3">
        <w:trPr>
          <w:cantSplit/>
          <w:trHeight w:val="300"/>
        </w:trPr>
        <w:tc>
          <w:tcPr>
            <w:tcW w:w="1920" w:type="dxa"/>
            <w:tcBorders>
              <w:top w:val="nil"/>
              <w:left w:val="single" w:sz="8" w:space="0" w:color="auto"/>
              <w:bottom w:val="single" w:sz="8" w:space="0" w:color="auto"/>
              <w:right w:val="single" w:sz="8" w:space="0" w:color="auto"/>
            </w:tcBorders>
            <w:shd w:val="clear" w:color="auto" w:fill="auto"/>
            <w:vAlign w:val="center"/>
            <w:hideMark/>
          </w:tcPr>
          <w:p w14:paraId="580C5B99"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OIE</w:t>
            </w:r>
          </w:p>
        </w:tc>
        <w:tc>
          <w:tcPr>
            <w:tcW w:w="6585" w:type="dxa"/>
            <w:tcBorders>
              <w:top w:val="nil"/>
              <w:left w:val="nil"/>
              <w:bottom w:val="single" w:sz="8" w:space="0" w:color="auto"/>
              <w:right w:val="single" w:sz="8" w:space="0" w:color="auto"/>
            </w:tcBorders>
            <w:shd w:val="clear" w:color="auto" w:fill="auto"/>
            <w:vAlign w:val="center"/>
            <w:hideMark/>
          </w:tcPr>
          <w:p w14:paraId="6D22DC90"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Světová organizace pro zdraví zvířat</w:t>
            </w:r>
          </w:p>
        </w:tc>
      </w:tr>
      <w:tr w:rsidR="00CB2594" w:rsidRPr="007434DA" w14:paraId="0112AD01" w14:textId="77777777" w:rsidTr="004A57B3">
        <w:trPr>
          <w:trHeight w:val="300"/>
        </w:trPr>
        <w:tc>
          <w:tcPr>
            <w:tcW w:w="1920" w:type="dxa"/>
            <w:tcBorders>
              <w:top w:val="nil"/>
              <w:left w:val="single" w:sz="8" w:space="0" w:color="auto"/>
              <w:bottom w:val="single" w:sz="8" w:space="0" w:color="auto"/>
              <w:right w:val="single" w:sz="8" w:space="0" w:color="auto"/>
            </w:tcBorders>
            <w:shd w:val="clear" w:color="auto" w:fill="auto"/>
            <w:vAlign w:val="center"/>
            <w:hideMark/>
          </w:tcPr>
          <w:p w14:paraId="279E8EB5"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OP</w:t>
            </w:r>
          </w:p>
        </w:tc>
        <w:tc>
          <w:tcPr>
            <w:tcW w:w="6585" w:type="dxa"/>
            <w:tcBorders>
              <w:top w:val="nil"/>
              <w:left w:val="nil"/>
              <w:bottom w:val="single" w:sz="8" w:space="0" w:color="auto"/>
              <w:right w:val="single" w:sz="8" w:space="0" w:color="auto"/>
            </w:tcBorders>
            <w:shd w:val="clear" w:color="auto" w:fill="auto"/>
            <w:vAlign w:val="center"/>
            <w:hideMark/>
          </w:tcPr>
          <w:p w14:paraId="08D57C6A"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Osevní postup</w:t>
            </w:r>
          </w:p>
        </w:tc>
      </w:tr>
      <w:tr w:rsidR="00CB2594" w:rsidRPr="007434DA" w14:paraId="219D5ECB" w14:textId="77777777" w:rsidTr="004A57B3">
        <w:trPr>
          <w:trHeight w:val="300"/>
        </w:trPr>
        <w:tc>
          <w:tcPr>
            <w:tcW w:w="1920" w:type="dxa"/>
            <w:tcBorders>
              <w:top w:val="nil"/>
              <w:left w:val="single" w:sz="8" w:space="0" w:color="auto"/>
              <w:bottom w:val="single" w:sz="8" w:space="0" w:color="auto"/>
              <w:right w:val="single" w:sz="8" w:space="0" w:color="auto"/>
            </w:tcBorders>
            <w:shd w:val="clear" w:color="auto" w:fill="auto"/>
            <w:vAlign w:val="center"/>
            <w:hideMark/>
          </w:tcPr>
          <w:p w14:paraId="44839F35"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OSN</w:t>
            </w:r>
          </w:p>
        </w:tc>
        <w:tc>
          <w:tcPr>
            <w:tcW w:w="6585" w:type="dxa"/>
            <w:tcBorders>
              <w:top w:val="nil"/>
              <w:left w:val="nil"/>
              <w:bottom w:val="single" w:sz="8" w:space="0" w:color="auto"/>
              <w:right w:val="single" w:sz="8" w:space="0" w:color="auto"/>
            </w:tcBorders>
            <w:shd w:val="clear" w:color="auto" w:fill="auto"/>
            <w:vAlign w:val="center"/>
            <w:hideMark/>
          </w:tcPr>
          <w:p w14:paraId="087F95AA"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Organizace spojených národů</w:t>
            </w:r>
          </w:p>
        </w:tc>
      </w:tr>
      <w:tr w:rsidR="00CB2594" w:rsidRPr="007434DA" w14:paraId="07B3DF96" w14:textId="77777777" w:rsidTr="004A57B3">
        <w:trPr>
          <w:cantSplit/>
          <w:trHeight w:val="300"/>
        </w:trPr>
        <w:tc>
          <w:tcPr>
            <w:tcW w:w="1920" w:type="dxa"/>
            <w:tcBorders>
              <w:top w:val="nil"/>
              <w:left w:val="single" w:sz="8" w:space="0" w:color="auto"/>
              <w:bottom w:val="single" w:sz="8" w:space="0" w:color="auto"/>
              <w:right w:val="single" w:sz="8" w:space="0" w:color="auto"/>
            </w:tcBorders>
            <w:shd w:val="clear" w:color="auto" w:fill="auto"/>
            <w:vAlign w:val="center"/>
            <w:hideMark/>
          </w:tcPr>
          <w:p w14:paraId="2D4A68E4"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PCU</w:t>
            </w:r>
          </w:p>
        </w:tc>
        <w:tc>
          <w:tcPr>
            <w:tcW w:w="6585" w:type="dxa"/>
            <w:tcBorders>
              <w:top w:val="nil"/>
              <w:left w:val="nil"/>
              <w:bottom w:val="single" w:sz="8" w:space="0" w:color="auto"/>
              <w:right w:val="single" w:sz="8" w:space="0" w:color="auto"/>
            </w:tcBorders>
            <w:shd w:val="clear" w:color="auto" w:fill="auto"/>
            <w:vAlign w:val="center"/>
            <w:hideMark/>
          </w:tcPr>
          <w:p w14:paraId="1AA6AFD3"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The Population Correction Unit = Populačně korekční jednotka</w:t>
            </w:r>
          </w:p>
        </w:tc>
      </w:tr>
      <w:tr w:rsidR="00CB2594" w:rsidRPr="007434DA" w14:paraId="79D64E3D" w14:textId="77777777" w:rsidTr="004A57B3">
        <w:trPr>
          <w:trHeight w:val="300"/>
        </w:trPr>
        <w:tc>
          <w:tcPr>
            <w:tcW w:w="1920" w:type="dxa"/>
            <w:tcBorders>
              <w:top w:val="nil"/>
              <w:left w:val="single" w:sz="8" w:space="0" w:color="auto"/>
              <w:bottom w:val="single" w:sz="8" w:space="0" w:color="auto"/>
              <w:right w:val="single" w:sz="8" w:space="0" w:color="auto"/>
            </w:tcBorders>
            <w:shd w:val="clear" w:color="auto" w:fill="auto"/>
            <w:vAlign w:val="center"/>
            <w:hideMark/>
          </w:tcPr>
          <w:p w14:paraId="1A953E3C"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POR</w:t>
            </w:r>
          </w:p>
        </w:tc>
        <w:tc>
          <w:tcPr>
            <w:tcW w:w="6585" w:type="dxa"/>
            <w:tcBorders>
              <w:top w:val="nil"/>
              <w:left w:val="nil"/>
              <w:bottom w:val="single" w:sz="8" w:space="0" w:color="auto"/>
              <w:right w:val="single" w:sz="8" w:space="0" w:color="auto"/>
            </w:tcBorders>
            <w:shd w:val="clear" w:color="auto" w:fill="auto"/>
            <w:vAlign w:val="center"/>
            <w:hideMark/>
          </w:tcPr>
          <w:p w14:paraId="6A8134DF"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Přípravky na ochranu rostlin</w:t>
            </w:r>
          </w:p>
        </w:tc>
      </w:tr>
      <w:tr w:rsidR="00CB2594" w:rsidRPr="007434DA" w14:paraId="58B78CE8" w14:textId="77777777" w:rsidTr="004A57B3">
        <w:trPr>
          <w:trHeight w:val="300"/>
        </w:trPr>
        <w:tc>
          <w:tcPr>
            <w:tcW w:w="1920" w:type="dxa"/>
            <w:tcBorders>
              <w:top w:val="nil"/>
              <w:left w:val="single" w:sz="8" w:space="0" w:color="auto"/>
              <w:bottom w:val="single" w:sz="8" w:space="0" w:color="auto"/>
              <w:right w:val="single" w:sz="8" w:space="0" w:color="auto"/>
            </w:tcBorders>
            <w:shd w:val="clear" w:color="auto" w:fill="auto"/>
            <w:vAlign w:val="center"/>
          </w:tcPr>
          <w:p w14:paraId="2D846456"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PL</w:t>
            </w:r>
          </w:p>
        </w:tc>
        <w:tc>
          <w:tcPr>
            <w:tcW w:w="6585" w:type="dxa"/>
            <w:tcBorders>
              <w:top w:val="nil"/>
              <w:left w:val="nil"/>
              <w:bottom w:val="single" w:sz="8" w:space="0" w:color="auto"/>
              <w:right w:val="single" w:sz="8" w:space="0" w:color="auto"/>
            </w:tcBorders>
            <w:shd w:val="clear" w:color="auto" w:fill="auto"/>
            <w:vAlign w:val="center"/>
          </w:tcPr>
          <w:p w14:paraId="4B09F98E"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Pesticidní látky</w:t>
            </w:r>
          </w:p>
        </w:tc>
      </w:tr>
      <w:tr w:rsidR="00CB2594" w:rsidRPr="007434DA" w14:paraId="744389FA" w14:textId="77777777" w:rsidTr="004A57B3">
        <w:trPr>
          <w:cantSplit/>
          <w:trHeight w:val="300"/>
        </w:trPr>
        <w:tc>
          <w:tcPr>
            <w:tcW w:w="1920" w:type="dxa"/>
            <w:tcBorders>
              <w:top w:val="nil"/>
              <w:left w:val="single" w:sz="8" w:space="0" w:color="auto"/>
              <w:bottom w:val="single" w:sz="8" w:space="0" w:color="auto"/>
              <w:right w:val="single" w:sz="8" w:space="0" w:color="auto"/>
            </w:tcBorders>
            <w:shd w:val="clear" w:color="auto" w:fill="auto"/>
            <w:vAlign w:val="center"/>
            <w:hideMark/>
          </w:tcPr>
          <w:p w14:paraId="14A595B2"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PRRS</w:t>
            </w:r>
          </w:p>
        </w:tc>
        <w:tc>
          <w:tcPr>
            <w:tcW w:w="6585" w:type="dxa"/>
            <w:tcBorders>
              <w:top w:val="nil"/>
              <w:left w:val="nil"/>
              <w:bottom w:val="single" w:sz="8" w:space="0" w:color="auto"/>
              <w:right w:val="single" w:sz="8" w:space="0" w:color="auto"/>
            </w:tcBorders>
            <w:shd w:val="clear" w:color="auto" w:fill="auto"/>
            <w:vAlign w:val="center"/>
            <w:hideMark/>
          </w:tcPr>
          <w:p w14:paraId="2F6C9958"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Reprodukční a respirační syndrom prasat</w:t>
            </w:r>
          </w:p>
        </w:tc>
      </w:tr>
      <w:tr w:rsidR="00CB2594" w:rsidRPr="007434DA" w14:paraId="734EF545" w14:textId="77777777" w:rsidTr="004A57B3">
        <w:trPr>
          <w:trHeight w:val="300"/>
        </w:trPr>
        <w:tc>
          <w:tcPr>
            <w:tcW w:w="1920" w:type="dxa"/>
            <w:tcBorders>
              <w:top w:val="nil"/>
              <w:left w:val="single" w:sz="8" w:space="0" w:color="auto"/>
              <w:bottom w:val="single" w:sz="8" w:space="0" w:color="auto"/>
              <w:right w:val="single" w:sz="8" w:space="0" w:color="auto"/>
            </w:tcBorders>
            <w:shd w:val="clear" w:color="auto" w:fill="auto"/>
            <w:vAlign w:val="center"/>
            <w:hideMark/>
          </w:tcPr>
          <w:p w14:paraId="5E1120D2"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PRV</w:t>
            </w:r>
          </w:p>
        </w:tc>
        <w:tc>
          <w:tcPr>
            <w:tcW w:w="6585" w:type="dxa"/>
            <w:tcBorders>
              <w:top w:val="nil"/>
              <w:left w:val="nil"/>
              <w:bottom w:val="single" w:sz="8" w:space="0" w:color="auto"/>
              <w:right w:val="single" w:sz="8" w:space="0" w:color="auto"/>
            </w:tcBorders>
            <w:shd w:val="clear" w:color="auto" w:fill="auto"/>
            <w:vAlign w:val="center"/>
            <w:hideMark/>
          </w:tcPr>
          <w:p w14:paraId="522512CC"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Program rozvoje venkova</w:t>
            </w:r>
          </w:p>
        </w:tc>
      </w:tr>
      <w:tr w:rsidR="00CB2594" w:rsidRPr="007434DA" w14:paraId="447AEF64" w14:textId="77777777" w:rsidTr="004A57B3">
        <w:trPr>
          <w:trHeight w:val="510"/>
        </w:trPr>
        <w:tc>
          <w:tcPr>
            <w:tcW w:w="1920" w:type="dxa"/>
            <w:tcBorders>
              <w:top w:val="nil"/>
              <w:left w:val="single" w:sz="8" w:space="0" w:color="auto"/>
              <w:bottom w:val="single" w:sz="8" w:space="0" w:color="auto"/>
              <w:right w:val="single" w:sz="8" w:space="0" w:color="auto"/>
            </w:tcBorders>
            <w:shd w:val="clear" w:color="auto" w:fill="auto"/>
            <w:vAlign w:val="center"/>
            <w:hideMark/>
          </w:tcPr>
          <w:p w14:paraId="37245E1D"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RASFF</w:t>
            </w:r>
          </w:p>
        </w:tc>
        <w:tc>
          <w:tcPr>
            <w:tcW w:w="6585" w:type="dxa"/>
            <w:tcBorders>
              <w:top w:val="nil"/>
              <w:left w:val="nil"/>
              <w:bottom w:val="single" w:sz="8" w:space="0" w:color="auto"/>
              <w:right w:val="single" w:sz="8" w:space="0" w:color="auto"/>
            </w:tcBorders>
            <w:shd w:val="clear" w:color="auto" w:fill="auto"/>
            <w:vAlign w:val="center"/>
            <w:hideMark/>
          </w:tcPr>
          <w:p w14:paraId="093B56BB"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Systému rychlého varování pro potraviny a krmiva (RASFF - „Rapid Alert System for Food and Feed“)</w:t>
            </w:r>
          </w:p>
        </w:tc>
      </w:tr>
      <w:tr w:rsidR="00CB2594" w:rsidRPr="00FA3A37" w14:paraId="348392F5" w14:textId="77777777" w:rsidTr="004A57B3">
        <w:trPr>
          <w:trHeight w:val="300"/>
        </w:trPr>
        <w:tc>
          <w:tcPr>
            <w:tcW w:w="1920" w:type="dxa"/>
            <w:tcBorders>
              <w:top w:val="nil"/>
              <w:left w:val="single" w:sz="8" w:space="0" w:color="auto"/>
              <w:bottom w:val="single" w:sz="8" w:space="0" w:color="auto"/>
              <w:right w:val="single" w:sz="8" w:space="0" w:color="auto"/>
            </w:tcBorders>
            <w:shd w:val="clear" w:color="auto" w:fill="auto"/>
            <w:vAlign w:val="center"/>
            <w:hideMark/>
          </w:tcPr>
          <w:p w14:paraId="3B3EB6A8"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SISPO</w:t>
            </w:r>
          </w:p>
        </w:tc>
        <w:tc>
          <w:tcPr>
            <w:tcW w:w="6585" w:type="dxa"/>
            <w:tcBorders>
              <w:top w:val="nil"/>
              <w:left w:val="nil"/>
              <w:bottom w:val="single" w:sz="8" w:space="0" w:color="auto"/>
              <w:right w:val="single" w:sz="8" w:space="0" w:color="auto"/>
            </w:tcBorders>
            <w:shd w:val="clear" w:color="auto" w:fill="auto"/>
            <w:vAlign w:val="center"/>
            <w:hideMark/>
          </w:tcPr>
          <w:p w14:paraId="6FF21103"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Svaz pro integrované systémy pěstování ovoce</w:t>
            </w:r>
          </w:p>
        </w:tc>
      </w:tr>
      <w:tr w:rsidR="00CB2594" w:rsidRPr="007434DA" w14:paraId="77019ADC" w14:textId="77777777" w:rsidTr="004A57B3">
        <w:trPr>
          <w:trHeight w:val="300"/>
        </w:trPr>
        <w:tc>
          <w:tcPr>
            <w:tcW w:w="1920" w:type="dxa"/>
            <w:tcBorders>
              <w:top w:val="nil"/>
              <w:left w:val="single" w:sz="8" w:space="0" w:color="auto"/>
              <w:bottom w:val="single" w:sz="8" w:space="0" w:color="auto"/>
              <w:right w:val="single" w:sz="8" w:space="0" w:color="auto"/>
            </w:tcBorders>
            <w:shd w:val="clear" w:color="auto" w:fill="auto"/>
            <w:vAlign w:val="center"/>
          </w:tcPr>
          <w:p w14:paraId="36A98604"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SK</w:t>
            </w:r>
          </w:p>
        </w:tc>
        <w:tc>
          <w:tcPr>
            <w:tcW w:w="6585" w:type="dxa"/>
            <w:tcBorders>
              <w:top w:val="nil"/>
              <w:left w:val="nil"/>
              <w:bottom w:val="single" w:sz="8" w:space="0" w:color="auto"/>
              <w:right w:val="single" w:sz="8" w:space="0" w:color="auto"/>
            </w:tcBorders>
            <w:shd w:val="clear" w:color="auto" w:fill="auto"/>
            <w:vAlign w:val="center"/>
          </w:tcPr>
          <w:p w14:paraId="20870618"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Slovensko</w:t>
            </w:r>
          </w:p>
        </w:tc>
      </w:tr>
      <w:tr w:rsidR="00CB2594" w:rsidRPr="007434DA" w14:paraId="7DE006B9" w14:textId="77777777" w:rsidTr="004A57B3">
        <w:trPr>
          <w:trHeight w:val="300"/>
        </w:trPr>
        <w:tc>
          <w:tcPr>
            <w:tcW w:w="1920" w:type="dxa"/>
            <w:tcBorders>
              <w:top w:val="nil"/>
              <w:left w:val="single" w:sz="8" w:space="0" w:color="auto"/>
              <w:bottom w:val="single" w:sz="8" w:space="0" w:color="auto"/>
              <w:right w:val="single" w:sz="8" w:space="0" w:color="auto"/>
            </w:tcBorders>
            <w:shd w:val="clear" w:color="auto" w:fill="auto"/>
            <w:vAlign w:val="center"/>
            <w:hideMark/>
          </w:tcPr>
          <w:p w14:paraId="139EE974"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SVS</w:t>
            </w:r>
          </w:p>
        </w:tc>
        <w:tc>
          <w:tcPr>
            <w:tcW w:w="6585" w:type="dxa"/>
            <w:tcBorders>
              <w:top w:val="nil"/>
              <w:left w:val="nil"/>
              <w:bottom w:val="single" w:sz="8" w:space="0" w:color="auto"/>
              <w:right w:val="single" w:sz="8" w:space="0" w:color="auto"/>
            </w:tcBorders>
            <w:shd w:val="clear" w:color="auto" w:fill="auto"/>
            <w:vAlign w:val="center"/>
            <w:hideMark/>
          </w:tcPr>
          <w:p w14:paraId="526EC09C"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Státní veterinární správa</w:t>
            </w:r>
          </w:p>
        </w:tc>
      </w:tr>
      <w:tr w:rsidR="00CB2594" w:rsidRPr="007434DA" w14:paraId="7ED66914" w14:textId="77777777" w:rsidTr="004A57B3">
        <w:trPr>
          <w:trHeight w:val="300"/>
        </w:trPr>
        <w:tc>
          <w:tcPr>
            <w:tcW w:w="1920" w:type="dxa"/>
            <w:tcBorders>
              <w:top w:val="nil"/>
              <w:left w:val="single" w:sz="8" w:space="0" w:color="auto"/>
              <w:bottom w:val="single" w:sz="8" w:space="0" w:color="auto"/>
              <w:right w:val="single" w:sz="8" w:space="0" w:color="auto"/>
            </w:tcBorders>
            <w:shd w:val="clear" w:color="auto" w:fill="auto"/>
            <w:vAlign w:val="center"/>
            <w:hideMark/>
          </w:tcPr>
          <w:p w14:paraId="166ED02F"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SZP</w:t>
            </w:r>
          </w:p>
        </w:tc>
        <w:tc>
          <w:tcPr>
            <w:tcW w:w="6585" w:type="dxa"/>
            <w:tcBorders>
              <w:top w:val="nil"/>
              <w:left w:val="nil"/>
              <w:bottom w:val="single" w:sz="8" w:space="0" w:color="auto"/>
              <w:right w:val="single" w:sz="8" w:space="0" w:color="auto"/>
            </w:tcBorders>
            <w:shd w:val="clear" w:color="auto" w:fill="auto"/>
            <w:vAlign w:val="center"/>
            <w:hideMark/>
          </w:tcPr>
          <w:p w14:paraId="343560FC"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Společná zemědělská politika</w:t>
            </w:r>
          </w:p>
        </w:tc>
      </w:tr>
      <w:tr w:rsidR="00CB2594" w:rsidRPr="00FA3A37" w14:paraId="6125FF75" w14:textId="77777777" w:rsidTr="004A57B3">
        <w:trPr>
          <w:trHeight w:val="300"/>
        </w:trPr>
        <w:tc>
          <w:tcPr>
            <w:tcW w:w="1920" w:type="dxa"/>
            <w:tcBorders>
              <w:top w:val="nil"/>
              <w:left w:val="single" w:sz="8" w:space="0" w:color="auto"/>
              <w:bottom w:val="single" w:sz="8" w:space="0" w:color="auto"/>
              <w:right w:val="single" w:sz="8" w:space="0" w:color="auto"/>
            </w:tcBorders>
            <w:shd w:val="clear" w:color="auto" w:fill="auto"/>
            <w:vAlign w:val="center"/>
            <w:hideMark/>
          </w:tcPr>
          <w:p w14:paraId="028A13B0"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SZPI</w:t>
            </w:r>
          </w:p>
        </w:tc>
        <w:tc>
          <w:tcPr>
            <w:tcW w:w="6585" w:type="dxa"/>
            <w:tcBorders>
              <w:top w:val="nil"/>
              <w:left w:val="nil"/>
              <w:bottom w:val="single" w:sz="8" w:space="0" w:color="auto"/>
              <w:right w:val="single" w:sz="8" w:space="0" w:color="auto"/>
            </w:tcBorders>
            <w:shd w:val="clear" w:color="auto" w:fill="auto"/>
            <w:vAlign w:val="center"/>
            <w:hideMark/>
          </w:tcPr>
          <w:p w14:paraId="0621FE50"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Státní zemědělská a potravinářská inspekce</w:t>
            </w:r>
          </w:p>
        </w:tc>
      </w:tr>
      <w:tr w:rsidR="00CB2594" w:rsidRPr="007434DA" w14:paraId="49653FAC" w14:textId="77777777" w:rsidTr="004A57B3">
        <w:trPr>
          <w:trHeight w:val="300"/>
        </w:trPr>
        <w:tc>
          <w:tcPr>
            <w:tcW w:w="1920" w:type="dxa"/>
            <w:tcBorders>
              <w:top w:val="nil"/>
              <w:left w:val="single" w:sz="8" w:space="0" w:color="auto"/>
              <w:bottom w:val="single" w:sz="8" w:space="0" w:color="auto"/>
              <w:right w:val="single" w:sz="8" w:space="0" w:color="auto"/>
            </w:tcBorders>
            <w:shd w:val="clear" w:color="auto" w:fill="auto"/>
            <w:vAlign w:val="center"/>
            <w:hideMark/>
          </w:tcPr>
          <w:p w14:paraId="09C6056A"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SZÚ</w:t>
            </w:r>
          </w:p>
        </w:tc>
        <w:tc>
          <w:tcPr>
            <w:tcW w:w="6585" w:type="dxa"/>
            <w:tcBorders>
              <w:top w:val="nil"/>
              <w:left w:val="nil"/>
              <w:bottom w:val="single" w:sz="8" w:space="0" w:color="auto"/>
              <w:right w:val="single" w:sz="8" w:space="0" w:color="auto"/>
            </w:tcBorders>
            <w:shd w:val="clear" w:color="auto" w:fill="auto"/>
            <w:vAlign w:val="center"/>
            <w:hideMark/>
          </w:tcPr>
          <w:p w14:paraId="0CCA5681"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Státní zdravotní ústav</w:t>
            </w:r>
          </w:p>
        </w:tc>
      </w:tr>
      <w:tr w:rsidR="00CB2594" w:rsidRPr="007434DA" w14:paraId="4C48B141" w14:textId="77777777" w:rsidTr="004A57B3">
        <w:trPr>
          <w:trHeight w:val="300"/>
        </w:trPr>
        <w:tc>
          <w:tcPr>
            <w:tcW w:w="1920" w:type="dxa"/>
            <w:tcBorders>
              <w:top w:val="nil"/>
              <w:left w:val="single" w:sz="8" w:space="0" w:color="auto"/>
              <w:bottom w:val="single" w:sz="8" w:space="0" w:color="auto"/>
              <w:right w:val="single" w:sz="8" w:space="0" w:color="auto"/>
            </w:tcBorders>
            <w:shd w:val="clear" w:color="auto" w:fill="auto"/>
            <w:vAlign w:val="center"/>
            <w:hideMark/>
          </w:tcPr>
          <w:p w14:paraId="4C4874C9"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ŠO</w:t>
            </w:r>
          </w:p>
        </w:tc>
        <w:tc>
          <w:tcPr>
            <w:tcW w:w="6585" w:type="dxa"/>
            <w:tcBorders>
              <w:top w:val="nil"/>
              <w:left w:val="nil"/>
              <w:bottom w:val="single" w:sz="8" w:space="0" w:color="auto"/>
              <w:right w:val="single" w:sz="8" w:space="0" w:color="auto"/>
            </w:tcBorders>
            <w:shd w:val="clear" w:color="auto" w:fill="auto"/>
            <w:vAlign w:val="center"/>
            <w:hideMark/>
          </w:tcPr>
          <w:p w14:paraId="12B531EB"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Škodlivé organismy</w:t>
            </w:r>
          </w:p>
        </w:tc>
      </w:tr>
      <w:tr w:rsidR="00CB2594" w:rsidRPr="00FA3A37" w14:paraId="34D9C8FF" w14:textId="77777777" w:rsidTr="004A57B3">
        <w:trPr>
          <w:trHeight w:val="300"/>
        </w:trPr>
        <w:tc>
          <w:tcPr>
            <w:tcW w:w="1920" w:type="dxa"/>
            <w:tcBorders>
              <w:top w:val="nil"/>
              <w:left w:val="single" w:sz="8" w:space="0" w:color="auto"/>
              <w:bottom w:val="single" w:sz="8" w:space="0" w:color="auto"/>
              <w:right w:val="single" w:sz="8" w:space="0" w:color="auto"/>
            </w:tcBorders>
            <w:shd w:val="clear" w:color="auto" w:fill="auto"/>
            <w:vAlign w:val="center"/>
            <w:hideMark/>
          </w:tcPr>
          <w:p w14:paraId="1BC4DCE3"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ÚKZÚZ</w:t>
            </w:r>
          </w:p>
        </w:tc>
        <w:tc>
          <w:tcPr>
            <w:tcW w:w="6585" w:type="dxa"/>
            <w:tcBorders>
              <w:top w:val="nil"/>
              <w:left w:val="nil"/>
              <w:bottom w:val="single" w:sz="8" w:space="0" w:color="auto"/>
              <w:right w:val="single" w:sz="8" w:space="0" w:color="auto"/>
            </w:tcBorders>
            <w:shd w:val="clear" w:color="auto" w:fill="auto"/>
            <w:vAlign w:val="center"/>
            <w:hideMark/>
          </w:tcPr>
          <w:p w14:paraId="6A5AB4DF"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Ústřední kontrolní a zkušební ústav zemědělský</w:t>
            </w:r>
          </w:p>
        </w:tc>
      </w:tr>
      <w:tr w:rsidR="00CB2594" w:rsidRPr="00FA3A37" w14:paraId="54E83ED8" w14:textId="77777777" w:rsidTr="004A57B3">
        <w:trPr>
          <w:trHeight w:val="300"/>
        </w:trPr>
        <w:tc>
          <w:tcPr>
            <w:tcW w:w="1920" w:type="dxa"/>
            <w:tcBorders>
              <w:top w:val="nil"/>
              <w:left w:val="single" w:sz="8" w:space="0" w:color="auto"/>
              <w:bottom w:val="single" w:sz="8" w:space="0" w:color="auto"/>
              <w:right w:val="single" w:sz="8" w:space="0" w:color="auto"/>
            </w:tcBorders>
            <w:shd w:val="clear" w:color="auto" w:fill="auto"/>
            <w:vAlign w:val="center"/>
            <w:hideMark/>
          </w:tcPr>
          <w:p w14:paraId="2200AD63"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ÚSKVBL</w:t>
            </w:r>
          </w:p>
        </w:tc>
        <w:tc>
          <w:tcPr>
            <w:tcW w:w="6585" w:type="dxa"/>
            <w:tcBorders>
              <w:top w:val="nil"/>
              <w:left w:val="nil"/>
              <w:bottom w:val="single" w:sz="8" w:space="0" w:color="auto"/>
              <w:right w:val="single" w:sz="8" w:space="0" w:color="auto"/>
            </w:tcBorders>
            <w:shd w:val="clear" w:color="auto" w:fill="auto"/>
            <w:vAlign w:val="center"/>
            <w:hideMark/>
          </w:tcPr>
          <w:p w14:paraId="0F088523"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Ústav pro státní kontrolu veterinárních biopreparátů a léčiv</w:t>
            </w:r>
          </w:p>
        </w:tc>
      </w:tr>
      <w:tr w:rsidR="00CB2594" w:rsidRPr="007434DA" w14:paraId="614DA7DF" w14:textId="77777777" w:rsidTr="004A57B3">
        <w:trPr>
          <w:trHeight w:val="300"/>
        </w:trPr>
        <w:tc>
          <w:tcPr>
            <w:tcW w:w="1920" w:type="dxa"/>
            <w:tcBorders>
              <w:top w:val="nil"/>
              <w:left w:val="single" w:sz="8" w:space="0" w:color="auto"/>
              <w:bottom w:val="single" w:sz="8" w:space="0" w:color="auto"/>
              <w:right w:val="single" w:sz="8" w:space="0" w:color="auto"/>
            </w:tcBorders>
            <w:shd w:val="clear" w:color="auto" w:fill="auto"/>
            <w:vAlign w:val="center"/>
            <w:hideMark/>
          </w:tcPr>
          <w:p w14:paraId="6CBFC7F9"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VDJ</w:t>
            </w:r>
          </w:p>
        </w:tc>
        <w:tc>
          <w:tcPr>
            <w:tcW w:w="6585" w:type="dxa"/>
            <w:tcBorders>
              <w:top w:val="nil"/>
              <w:left w:val="nil"/>
              <w:bottom w:val="single" w:sz="8" w:space="0" w:color="auto"/>
              <w:right w:val="single" w:sz="8" w:space="0" w:color="auto"/>
            </w:tcBorders>
            <w:shd w:val="clear" w:color="auto" w:fill="auto"/>
            <w:vAlign w:val="center"/>
            <w:hideMark/>
          </w:tcPr>
          <w:p w14:paraId="14677DB1"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Velká dobytčí jednotka</w:t>
            </w:r>
          </w:p>
        </w:tc>
      </w:tr>
      <w:tr w:rsidR="00CB2594" w:rsidRPr="007434DA" w14:paraId="42272F5A" w14:textId="77777777" w:rsidTr="004A57B3">
        <w:trPr>
          <w:cantSplit/>
          <w:trHeight w:val="300"/>
        </w:trPr>
        <w:tc>
          <w:tcPr>
            <w:tcW w:w="1920" w:type="dxa"/>
            <w:tcBorders>
              <w:top w:val="nil"/>
              <w:left w:val="single" w:sz="8" w:space="0" w:color="auto"/>
              <w:bottom w:val="single" w:sz="8" w:space="0" w:color="auto"/>
              <w:right w:val="single" w:sz="8" w:space="0" w:color="auto"/>
            </w:tcBorders>
            <w:shd w:val="clear" w:color="auto" w:fill="auto"/>
            <w:vAlign w:val="center"/>
            <w:hideMark/>
          </w:tcPr>
          <w:p w14:paraId="7B2DF52B"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VLP</w:t>
            </w:r>
          </w:p>
        </w:tc>
        <w:tc>
          <w:tcPr>
            <w:tcW w:w="6585" w:type="dxa"/>
            <w:tcBorders>
              <w:top w:val="nil"/>
              <w:left w:val="nil"/>
              <w:bottom w:val="single" w:sz="8" w:space="0" w:color="auto"/>
              <w:right w:val="single" w:sz="8" w:space="0" w:color="auto"/>
            </w:tcBorders>
            <w:shd w:val="clear" w:color="auto" w:fill="auto"/>
            <w:vAlign w:val="center"/>
            <w:hideMark/>
          </w:tcPr>
          <w:p w14:paraId="2D2366B0"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Veterinární léčivé přípravky</w:t>
            </w:r>
          </w:p>
        </w:tc>
      </w:tr>
      <w:tr w:rsidR="00CB2594" w:rsidRPr="007434DA" w14:paraId="1ADBF876" w14:textId="77777777" w:rsidTr="004A57B3">
        <w:trPr>
          <w:trHeight w:val="300"/>
        </w:trPr>
        <w:tc>
          <w:tcPr>
            <w:tcW w:w="1920" w:type="dxa"/>
            <w:tcBorders>
              <w:top w:val="nil"/>
              <w:left w:val="single" w:sz="8" w:space="0" w:color="auto"/>
              <w:bottom w:val="single" w:sz="8" w:space="0" w:color="auto"/>
              <w:right w:val="single" w:sz="8" w:space="0" w:color="auto"/>
            </w:tcBorders>
            <w:shd w:val="clear" w:color="auto" w:fill="auto"/>
            <w:vAlign w:val="center"/>
            <w:hideMark/>
          </w:tcPr>
          <w:p w14:paraId="7450591F"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VÚŽV</w:t>
            </w:r>
          </w:p>
        </w:tc>
        <w:tc>
          <w:tcPr>
            <w:tcW w:w="6585" w:type="dxa"/>
            <w:tcBorders>
              <w:top w:val="nil"/>
              <w:left w:val="nil"/>
              <w:bottom w:val="single" w:sz="8" w:space="0" w:color="auto"/>
              <w:right w:val="single" w:sz="8" w:space="0" w:color="auto"/>
            </w:tcBorders>
            <w:shd w:val="clear" w:color="auto" w:fill="auto"/>
            <w:vAlign w:val="center"/>
            <w:hideMark/>
          </w:tcPr>
          <w:p w14:paraId="4977FAC3"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Výzkumný ústav živočišné výroby</w:t>
            </w:r>
          </w:p>
        </w:tc>
      </w:tr>
      <w:tr w:rsidR="00CB2594" w:rsidRPr="007434DA" w14:paraId="313D5888" w14:textId="77777777" w:rsidTr="004A57B3">
        <w:trPr>
          <w:cantSplit/>
          <w:trHeight w:val="300"/>
        </w:trPr>
        <w:tc>
          <w:tcPr>
            <w:tcW w:w="1920" w:type="dxa"/>
            <w:tcBorders>
              <w:top w:val="nil"/>
              <w:left w:val="single" w:sz="8" w:space="0" w:color="auto"/>
              <w:bottom w:val="single" w:sz="8" w:space="0" w:color="auto"/>
              <w:right w:val="single" w:sz="8" w:space="0" w:color="auto"/>
            </w:tcBorders>
            <w:shd w:val="clear" w:color="auto" w:fill="auto"/>
            <w:vAlign w:val="center"/>
            <w:hideMark/>
          </w:tcPr>
          <w:p w14:paraId="03D796BF"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WHO</w:t>
            </w:r>
          </w:p>
        </w:tc>
        <w:tc>
          <w:tcPr>
            <w:tcW w:w="6585" w:type="dxa"/>
            <w:tcBorders>
              <w:top w:val="nil"/>
              <w:left w:val="nil"/>
              <w:bottom w:val="single" w:sz="8" w:space="0" w:color="auto"/>
              <w:right w:val="single" w:sz="8" w:space="0" w:color="auto"/>
            </w:tcBorders>
            <w:shd w:val="clear" w:color="auto" w:fill="auto"/>
            <w:vAlign w:val="center"/>
            <w:hideMark/>
          </w:tcPr>
          <w:p w14:paraId="00BEC2A1" w14:textId="77777777" w:rsidR="00CB2594" w:rsidRPr="007434DA" w:rsidRDefault="00CB2594" w:rsidP="004A57B3">
            <w:pPr>
              <w:rPr>
                <w:rFonts w:cs="Times New Roman"/>
                <w:color w:val="000000"/>
                <w:szCs w:val="24"/>
                <w:lang w:val="cs-CZ"/>
              </w:rPr>
            </w:pPr>
            <w:r w:rsidRPr="007434DA">
              <w:rPr>
                <w:rFonts w:cs="Times New Roman"/>
                <w:color w:val="000000"/>
                <w:szCs w:val="24"/>
                <w:lang w:val="cs-CZ"/>
              </w:rPr>
              <w:t>Světová zdravotnická organizace</w:t>
            </w:r>
          </w:p>
        </w:tc>
      </w:tr>
    </w:tbl>
    <w:p w14:paraId="197A1C2C" w14:textId="77777777" w:rsidR="00CB2594" w:rsidRPr="007434DA" w:rsidRDefault="00CB2594" w:rsidP="00CB2594">
      <w:pPr>
        <w:rPr>
          <w:lang w:val="cs-CZ"/>
        </w:rPr>
      </w:pPr>
    </w:p>
    <w:p w14:paraId="1E812A9D" w14:textId="77777777" w:rsidR="001A2E4E" w:rsidRDefault="001A2E4E">
      <w:pPr>
        <w:spacing w:after="160" w:line="259" w:lineRule="auto"/>
        <w:jc w:val="left"/>
        <w:rPr>
          <w:rFonts w:eastAsiaTheme="majorEastAsia" w:cstheme="majorBidi"/>
          <w:b/>
          <w:color w:val="000000" w:themeColor="text1"/>
          <w:sz w:val="28"/>
          <w:szCs w:val="32"/>
          <w:lang w:val="cs-CZ" w:eastAsia="cs-CZ"/>
        </w:rPr>
      </w:pPr>
      <w:bookmarkStart w:id="5" w:name="_Toc80877848"/>
      <w:bookmarkStart w:id="6" w:name="_Toc81755604"/>
      <w:r>
        <w:br w:type="page"/>
      </w:r>
    </w:p>
    <w:p w14:paraId="000A0B49" w14:textId="6B43F73F" w:rsidR="006826AD" w:rsidRDefault="00CB2594" w:rsidP="00933812">
      <w:pPr>
        <w:pStyle w:val="UZEINadpis1stbezsla"/>
      </w:pPr>
      <w:r w:rsidRPr="007434DA">
        <w:t>Seznam tabulek</w:t>
      </w:r>
      <w:bookmarkEnd w:id="5"/>
      <w:bookmarkEnd w:id="6"/>
    </w:p>
    <w:p w14:paraId="29711935" w14:textId="77777777" w:rsidR="005C75D3" w:rsidRPr="00933812" w:rsidRDefault="005C75D3" w:rsidP="00933812">
      <w:pPr>
        <w:pStyle w:val="UZEINadpis1stbezsla"/>
      </w:pPr>
    </w:p>
    <w:p w14:paraId="1A643261" w14:textId="11648534" w:rsidR="0005469C" w:rsidRDefault="00EC5EF3">
      <w:pPr>
        <w:pStyle w:val="Obsah4"/>
        <w:rPr>
          <w:rFonts w:asciiTheme="minorHAnsi" w:eastAsiaTheme="minorEastAsia" w:hAnsiTheme="minorHAnsi"/>
          <w:noProof/>
          <w:sz w:val="22"/>
          <w:szCs w:val="22"/>
          <w:lang w:val="cs-CZ" w:eastAsia="cs-CZ"/>
        </w:rPr>
      </w:pPr>
      <w:r w:rsidRPr="007434DA">
        <w:rPr>
          <w:rFonts w:asciiTheme="minorHAnsi" w:hAnsiTheme="minorHAnsi"/>
          <w:b/>
          <w:bCs/>
          <w:szCs w:val="20"/>
          <w:lang w:val="cs-CZ"/>
        </w:rPr>
        <w:fldChar w:fldCharType="begin"/>
      </w:r>
      <w:r w:rsidRPr="007434DA">
        <w:rPr>
          <w:rFonts w:asciiTheme="minorHAnsi" w:hAnsiTheme="minorHAnsi"/>
          <w:b/>
          <w:bCs/>
          <w:szCs w:val="20"/>
          <w:lang w:val="cs-CZ"/>
        </w:rPr>
        <w:instrText xml:space="preserve"> TOC \h \z \t "UZEI TaB;4" </w:instrText>
      </w:r>
      <w:r w:rsidRPr="007434DA">
        <w:rPr>
          <w:rFonts w:asciiTheme="minorHAnsi" w:hAnsiTheme="minorHAnsi"/>
          <w:b/>
          <w:bCs/>
          <w:szCs w:val="20"/>
          <w:lang w:val="cs-CZ"/>
        </w:rPr>
        <w:fldChar w:fldCharType="separate"/>
      </w:r>
      <w:hyperlink w:anchor="_Toc94095274" w:history="1">
        <w:r w:rsidR="0005469C" w:rsidRPr="00804FAA">
          <w:rPr>
            <w:rStyle w:val="Hypertextovodkaz"/>
            <w:noProof/>
          </w:rPr>
          <w:t>Tabulka 1</w:t>
        </w:r>
        <w:r w:rsidR="0005469C">
          <w:rPr>
            <w:rFonts w:asciiTheme="minorHAnsi" w:eastAsiaTheme="minorEastAsia" w:hAnsiTheme="minorHAnsi"/>
            <w:noProof/>
            <w:sz w:val="22"/>
            <w:szCs w:val="22"/>
            <w:lang w:val="cs-CZ" w:eastAsia="cs-CZ"/>
          </w:rPr>
          <w:tab/>
        </w:r>
        <w:r w:rsidR="0005469C" w:rsidRPr="00804FAA">
          <w:rPr>
            <w:rStyle w:val="Hypertextovodkaz"/>
            <w:noProof/>
          </w:rPr>
          <w:t>Výměra ploch osetých kukuřicí a řepkou vícekrát za období 2015-2018</w:t>
        </w:r>
        <w:r w:rsidR="0005469C">
          <w:rPr>
            <w:noProof/>
            <w:webHidden/>
          </w:rPr>
          <w:tab/>
        </w:r>
        <w:r w:rsidR="0005469C">
          <w:rPr>
            <w:noProof/>
            <w:webHidden/>
          </w:rPr>
          <w:fldChar w:fldCharType="begin"/>
        </w:r>
        <w:r w:rsidR="0005469C">
          <w:rPr>
            <w:noProof/>
            <w:webHidden/>
          </w:rPr>
          <w:instrText xml:space="preserve"> PAGEREF _Toc94095274 \h </w:instrText>
        </w:r>
        <w:r w:rsidR="0005469C">
          <w:rPr>
            <w:noProof/>
            <w:webHidden/>
          </w:rPr>
        </w:r>
        <w:r w:rsidR="0005469C">
          <w:rPr>
            <w:noProof/>
            <w:webHidden/>
          </w:rPr>
          <w:fldChar w:fldCharType="separate"/>
        </w:r>
        <w:r w:rsidR="0005469C">
          <w:rPr>
            <w:noProof/>
            <w:webHidden/>
          </w:rPr>
          <w:t>19</w:t>
        </w:r>
        <w:r w:rsidR="0005469C">
          <w:rPr>
            <w:noProof/>
            <w:webHidden/>
          </w:rPr>
          <w:fldChar w:fldCharType="end"/>
        </w:r>
      </w:hyperlink>
    </w:p>
    <w:p w14:paraId="10ED6D9C" w14:textId="3F4B6DAD" w:rsidR="0005469C" w:rsidRDefault="0005469C">
      <w:pPr>
        <w:pStyle w:val="Obsah4"/>
        <w:rPr>
          <w:rFonts w:asciiTheme="minorHAnsi" w:eastAsiaTheme="minorEastAsia" w:hAnsiTheme="minorHAnsi"/>
          <w:noProof/>
          <w:sz w:val="22"/>
          <w:szCs w:val="22"/>
          <w:lang w:val="cs-CZ" w:eastAsia="cs-CZ"/>
        </w:rPr>
      </w:pPr>
      <w:hyperlink w:anchor="_Toc94095275" w:history="1">
        <w:r w:rsidRPr="00804FAA">
          <w:rPr>
            <w:rStyle w:val="Hypertextovodkaz"/>
            <w:noProof/>
          </w:rPr>
          <w:t>Tabulka 2</w:t>
        </w:r>
        <w:r>
          <w:rPr>
            <w:rFonts w:asciiTheme="minorHAnsi" w:eastAsiaTheme="minorEastAsia" w:hAnsiTheme="minorHAnsi"/>
            <w:noProof/>
            <w:sz w:val="22"/>
            <w:szCs w:val="22"/>
            <w:lang w:val="cs-CZ" w:eastAsia="cs-CZ"/>
          </w:rPr>
          <w:tab/>
        </w:r>
        <w:r w:rsidRPr="00804FAA">
          <w:rPr>
            <w:rStyle w:val="Hypertextovodkaz"/>
            <w:noProof/>
          </w:rPr>
          <w:t>Příklad podílu ploch ovocných sadů a zeleniny v IP a EZ (%) na celkové ploše obou komodit v ČR v letech 2015 – 2020</w:t>
        </w:r>
        <w:r>
          <w:rPr>
            <w:noProof/>
            <w:webHidden/>
          </w:rPr>
          <w:tab/>
        </w:r>
        <w:r>
          <w:rPr>
            <w:noProof/>
            <w:webHidden/>
          </w:rPr>
          <w:fldChar w:fldCharType="begin"/>
        </w:r>
        <w:r>
          <w:rPr>
            <w:noProof/>
            <w:webHidden/>
          </w:rPr>
          <w:instrText xml:space="preserve"> PAGEREF _Toc94095275 \h </w:instrText>
        </w:r>
        <w:r>
          <w:rPr>
            <w:noProof/>
            <w:webHidden/>
          </w:rPr>
        </w:r>
        <w:r>
          <w:rPr>
            <w:noProof/>
            <w:webHidden/>
          </w:rPr>
          <w:fldChar w:fldCharType="separate"/>
        </w:r>
        <w:r>
          <w:rPr>
            <w:noProof/>
            <w:webHidden/>
          </w:rPr>
          <w:t>24</w:t>
        </w:r>
        <w:r>
          <w:rPr>
            <w:noProof/>
            <w:webHidden/>
          </w:rPr>
          <w:fldChar w:fldCharType="end"/>
        </w:r>
      </w:hyperlink>
    </w:p>
    <w:p w14:paraId="7F92C040" w14:textId="58A2DF46" w:rsidR="0005469C" w:rsidRDefault="0005469C">
      <w:pPr>
        <w:pStyle w:val="Obsah4"/>
        <w:rPr>
          <w:rFonts w:asciiTheme="minorHAnsi" w:eastAsiaTheme="minorEastAsia" w:hAnsiTheme="minorHAnsi"/>
          <w:noProof/>
          <w:sz w:val="22"/>
          <w:szCs w:val="22"/>
          <w:lang w:val="cs-CZ" w:eastAsia="cs-CZ"/>
        </w:rPr>
      </w:pPr>
      <w:hyperlink w:anchor="_Toc94095276" w:history="1">
        <w:r w:rsidRPr="00804FAA">
          <w:rPr>
            <w:rStyle w:val="Hypertextovodkaz"/>
            <w:noProof/>
          </w:rPr>
          <w:t>Tabulka 3</w:t>
        </w:r>
        <w:r>
          <w:rPr>
            <w:rFonts w:asciiTheme="minorHAnsi" w:eastAsiaTheme="minorEastAsia" w:hAnsiTheme="minorHAnsi"/>
            <w:noProof/>
            <w:sz w:val="22"/>
            <w:szCs w:val="22"/>
            <w:lang w:val="cs-CZ" w:eastAsia="cs-CZ"/>
          </w:rPr>
          <w:tab/>
        </w:r>
        <w:r w:rsidRPr="00804FAA">
          <w:rPr>
            <w:rStyle w:val="Hypertextovodkaz"/>
            <w:noProof/>
          </w:rPr>
          <w:t>Podíl plochy zařazené v ekologickém zemědělství na celkové ploše plodin v ČR v letech  2015 - 2020 (%)</w:t>
        </w:r>
        <w:r>
          <w:rPr>
            <w:noProof/>
            <w:webHidden/>
          </w:rPr>
          <w:tab/>
        </w:r>
        <w:r>
          <w:rPr>
            <w:noProof/>
            <w:webHidden/>
          </w:rPr>
          <w:fldChar w:fldCharType="begin"/>
        </w:r>
        <w:r>
          <w:rPr>
            <w:noProof/>
            <w:webHidden/>
          </w:rPr>
          <w:instrText xml:space="preserve"> PAGEREF _Toc94095276 \h </w:instrText>
        </w:r>
        <w:r>
          <w:rPr>
            <w:noProof/>
            <w:webHidden/>
          </w:rPr>
        </w:r>
        <w:r>
          <w:rPr>
            <w:noProof/>
            <w:webHidden/>
          </w:rPr>
          <w:fldChar w:fldCharType="separate"/>
        </w:r>
        <w:r>
          <w:rPr>
            <w:noProof/>
            <w:webHidden/>
          </w:rPr>
          <w:t>24</w:t>
        </w:r>
        <w:r>
          <w:rPr>
            <w:noProof/>
            <w:webHidden/>
          </w:rPr>
          <w:fldChar w:fldCharType="end"/>
        </w:r>
      </w:hyperlink>
    </w:p>
    <w:p w14:paraId="3BE65B80" w14:textId="2B9EBC80" w:rsidR="0005469C" w:rsidRDefault="0005469C">
      <w:pPr>
        <w:pStyle w:val="Obsah4"/>
        <w:rPr>
          <w:rFonts w:asciiTheme="minorHAnsi" w:eastAsiaTheme="minorEastAsia" w:hAnsiTheme="minorHAnsi"/>
          <w:noProof/>
          <w:sz w:val="22"/>
          <w:szCs w:val="22"/>
          <w:lang w:val="cs-CZ" w:eastAsia="cs-CZ"/>
        </w:rPr>
      </w:pPr>
      <w:hyperlink w:anchor="_Toc94095277" w:history="1">
        <w:r w:rsidRPr="00804FAA">
          <w:rPr>
            <w:rStyle w:val="Hypertextovodkaz"/>
            <w:noProof/>
          </w:rPr>
          <w:t>Tabulka 4</w:t>
        </w:r>
        <w:r>
          <w:rPr>
            <w:rFonts w:asciiTheme="minorHAnsi" w:eastAsiaTheme="minorEastAsia" w:hAnsiTheme="minorHAnsi"/>
            <w:noProof/>
            <w:sz w:val="22"/>
            <w:szCs w:val="22"/>
            <w:lang w:val="cs-CZ" w:eastAsia="cs-CZ"/>
          </w:rPr>
          <w:tab/>
        </w:r>
        <w:r w:rsidRPr="00804FAA">
          <w:rPr>
            <w:rStyle w:val="Hypertextovodkaz"/>
            <w:noProof/>
          </w:rPr>
          <w:t>Porovnání množství zjištěných reziduí účinných látek přípravků na ochranu rostlin a jejich metabolitů v zemědělských produktech v rámci kontrol v ČR 2012 – 2020</w:t>
        </w:r>
        <w:r>
          <w:rPr>
            <w:noProof/>
            <w:webHidden/>
          </w:rPr>
          <w:tab/>
        </w:r>
        <w:r>
          <w:rPr>
            <w:noProof/>
            <w:webHidden/>
          </w:rPr>
          <w:fldChar w:fldCharType="begin"/>
        </w:r>
        <w:r>
          <w:rPr>
            <w:noProof/>
            <w:webHidden/>
          </w:rPr>
          <w:instrText xml:space="preserve"> PAGEREF _Toc94095277 \h </w:instrText>
        </w:r>
        <w:r>
          <w:rPr>
            <w:noProof/>
            <w:webHidden/>
          </w:rPr>
        </w:r>
        <w:r>
          <w:rPr>
            <w:noProof/>
            <w:webHidden/>
          </w:rPr>
          <w:fldChar w:fldCharType="separate"/>
        </w:r>
        <w:r>
          <w:rPr>
            <w:noProof/>
            <w:webHidden/>
          </w:rPr>
          <w:t>30</w:t>
        </w:r>
        <w:r>
          <w:rPr>
            <w:noProof/>
            <w:webHidden/>
          </w:rPr>
          <w:fldChar w:fldCharType="end"/>
        </w:r>
      </w:hyperlink>
    </w:p>
    <w:p w14:paraId="0F5107E8" w14:textId="3BB7BC8E" w:rsidR="0005469C" w:rsidRDefault="0005469C">
      <w:pPr>
        <w:pStyle w:val="Obsah4"/>
        <w:rPr>
          <w:rFonts w:asciiTheme="minorHAnsi" w:eastAsiaTheme="minorEastAsia" w:hAnsiTheme="minorHAnsi"/>
          <w:noProof/>
          <w:sz w:val="22"/>
          <w:szCs w:val="22"/>
          <w:lang w:val="cs-CZ" w:eastAsia="cs-CZ"/>
        </w:rPr>
      </w:pPr>
      <w:hyperlink w:anchor="_Toc94095278" w:history="1">
        <w:r w:rsidRPr="00804FAA">
          <w:rPr>
            <w:rStyle w:val="Hypertextovodkaz"/>
            <w:noProof/>
          </w:rPr>
          <w:t>Tabulka 5</w:t>
        </w:r>
        <w:r>
          <w:rPr>
            <w:rFonts w:asciiTheme="minorHAnsi" w:eastAsiaTheme="minorEastAsia" w:hAnsiTheme="minorHAnsi"/>
            <w:noProof/>
            <w:sz w:val="22"/>
            <w:szCs w:val="22"/>
            <w:lang w:val="cs-CZ" w:eastAsia="cs-CZ"/>
          </w:rPr>
          <w:tab/>
        </w:r>
        <w:r w:rsidRPr="00804FAA">
          <w:rPr>
            <w:rStyle w:val="Hypertextovodkaz"/>
            <w:noProof/>
          </w:rPr>
          <w:t>Porovnání zjištěných reziduí účinných látek přípravků na ochranu rostlin a jejich metabolitů ve vybraných rostlinných produktech v rámci kontrol v ČR 2012-2020 (počet vzorků).</w:t>
        </w:r>
        <w:r>
          <w:rPr>
            <w:noProof/>
            <w:webHidden/>
          </w:rPr>
          <w:tab/>
        </w:r>
        <w:r>
          <w:rPr>
            <w:noProof/>
            <w:webHidden/>
          </w:rPr>
          <w:fldChar w:fldCharType="begin"/>
        </w:r>
        <w:r>
          <w:rPr>
            <w:noProof/>
            <w:webHidden/>
          </w:rPr>
          <w:instrText xml:space="preserve"> PAGEREF _Toc94095278 \h </w:instrText>
        </w:r>
        <w:r>
          <w:rPr>
            <w:noProof/>
            <w:webHidden/>
          </w:rPr>
        </w:r>
        <w:r>
          <w:rPr>
            <w:noProof/>
            <w:webHidden/>
          </w:rPr>
          <w:fldChar w:fldCharType="separate"/>
        </w:r>
        <w:r>
          <w:rPr>
            <w:noProof/>
            <w:webHidden/>
          </w:rPr>
          <w:t>32</w:t>
        </w:r>
        <w:r>
          <w:rPr>
            <w:noProof/>
            <w:webHidden/>
          </w:rPr>
          <w:fldChar w:fldCharType="end"/>
        </w:r>
      </w:hyperlink>
    </w:p>
    <w:p w14:paraId="32A910EB" w14:textId="3ACDB7AF" w:rsidR="0005469C" w:rsidRDefault="0005469C">
      <w:pPr>
        <w:pStyle w:val="Obsah4"/>
        <w:rPr>
          <w:rFonts w:asciiTheme="minorHAnsi" w:eastAsiaTheme="minorEastAsia" w:hAnsiTheme="minorHAnsi"/>
          <w:noProof/>
          <w:sz w:val="22"/>
          <w:szCs w:val="22"/>
          <w:lang w:val="cs-CZ" w:eastAsia="cs-CZ"/>
        </w:rPr>
      </w:pPr>
      <w:hyperlink w:anchor="_Toc94095279" w:history="1">
        <w:r w:rsidRPr="00804FAA">
          <w:rPr>
            <w:rStyle w:val="Hypertextovodkaz"/>
            <w:noProof/>
          </w:rPr>
          <w:t>Tabulka 6</w:t>
        </w:r>
        <w:r>
          <w:rPr>
            <w:rFonts w:asciiTheme="minorHAnsi" w:eastAsiaTheme="minorEastAsia" w:hAnsiTheme="minorHAnsi"/>
            <w:noProof/>
            <w:sz w:val="22"/>
            <w:szCs w:val="22"/>
            <w:lang w:val="cs-CZ" w:eastAsia="cs-CZ"/>
          </w:rPr>
          <w:tab/>
        </w:r>
        <w:r w:rsidRPr="00804FAA">
          <w:rPr>
            <w:rStyle w:val="Hypertextovodkaz"/>
            <w:noProof/>
          </w:rPr>
          <w:t>Porovnání množství zjištěných účinných látek pesticidů v potravinách živočišného původu v rámci monitoringu cizorodých látek v ČR 2012 - 2020</w:t>
        </w:r>
        <w:r>
          <w:rPr>
            <w:noProof/>
            <w:webHidden/>
          </w:rPr>
          <w:tab/>
        </w:r>
        <w:r>
          <w:rPr>
            <w:noProof/>
            <w:webHidden/>
          </w:rPr>
          <w:fldChar w:fldCharType="begin"/>
        </w:r>
        <w:r>
          <w:rPr>
            <w:noProof/>
            <w:webHidden/>
          </w:rPr>
          <w:instrText xml:space="preserve"> PAGEREF _Toc94095279 \h </w:instrText>
        </w:r>
        <w:r>
          <w:rPr>
            <w:noProof/>
            <w:webHidden/>
          </w:rPr>
        </w:r>
        <w:r>
          <w:rPr>
            <w:noProof/>
            <w:webHidden/>
          </w:rPr>
          <w:fldChar w:fldCharType="separate"/>
        </w:r>
        <w:r>
          <w:rPr>
            <w:noProof/>
            <w:webHidden/>
          </w:rPr>
          <w:t>33</w:t>
        </w:r>
        <w:r>
          <w:rPr>
            <w:noProof/>
            <w:webHidden/>
          </w:rPr>
          <w:fldChar w:fldCharType="end"/>
        </w:r>
      </w:hyperlink>
    </w:p>
    <w:p w14:paraId="1AFAE5B5" w14:textId="54A32DD5" w:rsidR="0005469C" w:rsidRDefault="0005469C">
      <w:pPr>
        <w:pStyle w:val="Obsah4"/>
        <w:rPr>
          <w:rFonts w:asciiTheme="minorHAnsi" w:eastAsiaTheme="minorEastAsia" w:hAnsiTheme="minorHAnsi"/>
          <w:noProof/>
          <w:sz w:val="22"/>
          <w:szCs w:val="22"/>
          <w:lang w:val="cs-CZ" w:eastAsia="cs-CZ"/>
        </w:rPr>
      </w:pPr>
      <w:hyperlink w:anchor="_Toc94095280" w:history="1">
        <w:r w:rsidRPr="00804FAA">
          <w:rPr>
            <w:rStyle w:val="Hypertextovodkaz"/>
            <w:noProof/>
          </w:rPr>
          <w:t>Tabulka 7</w:t>
        </w:r>
        <w:r>
          <w:rPr>
            <w:rFonts w:asciiTheme="minorHAnsi" w:eastAsiaTheme="minorEastAsia" w:hAnsiTheme="minorHAnsi"/>
            <w:noProof/>
            <w:sz w:val="22"/>
            <w:szCs w:val="22"/>
            <w:lang w:val="cs-CZ" w:eastAsia="cs-CZ"/>
          </w:rPr>
          <w:tab/>
        </w:r>
        <w:r w:rsidRPr="00804FAA">
          <w:rPr>
            <w:rStyle w:val="Hypertextovodkaz"/>
            <w:noProof/>
          </w:rPr>
          <w:t>Přehled množství zjištěných účinných látek pesticidů a jejich metabolitů podle vybraných komodit živočišného původu (počet vzorků)</w:t>
        </w:r>
        <w:r>
          <w:rPr>
            <w:noProof/>
            <w:webHidden/>
          </w:rPr>
          <w:tab/>
        </w:r>
        <w:r>
          <w:rPr>
            <w:noProof/>
            <w:webHidden/>
          </w:rPr>
          <w:fldChar w:fldCharType="begin"/>
        </w:r>
        <w:r>
          <w:rPr>
            <w:noProof/>
            <w:webHidden/>
          </w:rPr>
          <w:instrText xml:space="preserve"> PAGEREF _Toc94095280 \h </w:instrText>
        </w:r>
        <w:r>
          <w:rPr>
            <w:noProof/>
            <w:webHidden/>
          </w:rPr>
        </w:r>
        <w:r>
          <w:rPr>
            <w:noProof/>
            <w:webHidden/>
          </w:rPr>
          <w:fldChar w:fldCharType="separate"/>
        </w:r>
        <w:r>
          <w:rPr>
            <w:noProof/>
            <w:webHidden/>
          </w:rPr>
          <w:t>33</w:t>
        </w:r>
        <w:r>
          <w:rPr>
            <w:noProof/>
            <w:webHidden/>
          </w:rPr>
          <w:fldChar w:fldCharType="end"/>
        </w:r>
      </w:hyperlink>
    </w:p>
    <w:p w14:paraId="264B1E88" w14:textId="465087A4" w:rsidR="0005469C" w:rsidRDefault="0005469C">
      <w:pPr>
        <w:pStyle w:val="Obsah4"/>
        <w:rPr>
          <w:rFonts w:asciiTheme="minorHAnsi" w:eastAsiaTheme="minorEastAsia" w:hAnsiTheme="minorHAnsi"/>
          <w:noProof/>
          <w:sz w:val="22"/>
          <w:szCs w:val="22"/>
          <w:lang w:val="cs-CZ" w:eastAsia="cs-CZ"/>
        </w:rPr>
      </w:pPr>
      <w:hyperlink w:anchor="_Toc94095281" w:history="1">
        <w:r w:rsidRPr="00804FAA">
          <w:rPr>
            <w:rStyle w:val="Hypertextovodkaz"/>
            <w:bCs/>
            <w:noProof/>
          </w:rPr>
          <w:t>Tabulka 8</w:t>
        </w:r>
        <w:r>
          <w:rPr>
            <w:rFonts w:asciiTheme="minorHAnsi" w:eastAsiaTheme="minorEastAsia" w:hAnsiTheme="minorHAnsi"/>
            <w:noProof/>
            <w:sz w:val="22"/>
            <w:szCs w:val="22"/>
            <w:lang w:val="cs-CZ" w:eastAsia="cs-CZ"/>
          </w:rPr>
          <w:tab/>
        </w:r>
        <w:r w:rsidRPr="00804FAA">
          <w:rPr>
            <w:rStyle w:val="Hypertextovodkaz"/>
            <w:bCs/>
            <w:noProof/>
          </w:rPr>
          <w:t>Přehled nejčastěji se vyskytujících účinných látek a jejich metabolitů (problematické jsou</w:t>
        </w:r>
        <w:r w:rsidRPr="00804FAA">
          <w:rPr>
            <w:rStyle w:val="Hypertextovodkaz"/>
            <w:noProof/>
          </w:rPr>
          <w:t xml:space="preserve"> </w:t>
        </w:r>
        <w:r w:rsidRPr="00804FAA">
          <w:rPr>
            <w:rStyle w:val="Hypertextovodkaz"/>
            <w:bCs/>
            <w:noProof/>
          </w:rPr>
          <w:t>pouze herbicidy) v podzemních vodách ČR v  letech 2016 a 2017</w:t>
        </w:r>
        <w:r>
          <w:rPr>
            <w:noProof/>
            <w:webHidden/>
          </w:rPr>
          <w:tab/>
        </w:r>
        <w:r>
          <w:rPr>
            <w:noProof/>
            <w:webHidden/>
          </w:rPr>
          <w:fldChar w:fldCharType="begin"/>
        </w:r>
        <w:r>
          <w:rPr>
            <w:noProof/>
            <w:webHidden/>
          </w:rPr>
          <w:instrText xml:space="preserve"> PAGEREF _Toc94095281 \h </w:instrText>
        </w:r>
        <w:r>
          <w:rPr>
            <w:noProof/>
            <w:webHidden/>
          </w:rPr>
        </w:r>
        <w:r>
          <w:rPr>
            <w:noProof/>
            <w:webHidden/>
          </w:rPr>
          <w:fldChar w:fldCharType="separate"/>
        </w:r>
        <w:r>
          <w:rPr>
            <w:noProof/>
            <w:webHidden/>
          </w:rPr>
          <w:t>35</w:t>
        </w:r>
        <w:r>
          <w:rPr>
            <w:noProof/>
            <w:webHidden/>
          </w:rPr>
          <w:fldChar w:fldCharType="end"/>
        </w:r>
      </w:hyperlink>
    </w:p>
    <w:p w14:paraId="2ADF0FB7" w14:textId="2C44C2BE" w:rsidR="0005469C" w:rsidRDefault="0005469C">
      <w:pPr>
        <w:pStyle w:val="Obsah4"/>
        <w:rPr>
          <w:rFonts w:asciiTheme="minorHAnsi" w:eastAsiaTheme="minorEastAsia" w:hAnsiTheme="minorHAnsi"/>
          <w:noProof/>
          <w:sz w:val="22"/>
          <w:szCs w:val="22"/>
          <w:lang w:val="cs-CZ" w:eastAsia="cs-CZ"/>
        </w:rPr>
      </w:pPr>
      <w:hyperlink w:anchor="_Toc94095282" w:history="1">
        <w:r w:rsidRPr="00804FAA">
          <w:rPr>
            <w:rStyle w:val="Hypertextovodkaz"/>
            <w:noProof/>
          </w:rPr>
          <w:t>Tabulka 9</w:t>
        </w:r>
        <w:r>
          <w:rPr>
            <w:rFonts w:asciiTheme="minorHAnsi" w:eastAsiaTheme="minorEastAsia" w:hAnsiTheme="minorHAnsi"/>
            <w:noProof/>
            <w:sz w:val="22"/>
            <w:szCs w:val="22"/>
            <w:lang w:val="cs-CZ" w:eastAsia="cs-CZ"/>
          </w:rPr>
          <w:tab/>
        </w:r>
        <w:r w:rsidRPr="00804FAA">
          <w:rPr>
            <w:rStyle w:val="Hypertextovodkaz"/>
            <w:noProof/>
          </w:rPr>
          <w:t>Přehled výskytu posuzovaných látek*v podzemních vodách ČR v letech 2014-2018</w:t>
        </w:r>
        <w:r>
          <w:rPr>
            <w:noProof/>
            <w:webHidden/>
          </w:rPr>
          <w:tab/>
        </w:r>
        <w:r>
          <w:rPr>
            <w:noProof/>
            <w:webHidden/>
          </w:rPr>
          <w:fldChar w:fldCharType="begin"/>
        </w:r>
        <w:r>
          <w:rPr>
            <w:noProof/>
            <w:webHidden/>
          </w:rPr>
          <w:instrText xml:space="preserve"> PAGEREF _Toc94095282 \h </w:instrText>
        </w:r>
        <w:r>
          <w:rPr>
            <w:noProof/>
            <w:webHidden/>
          </w:rPr>
        </w:r>
        <w:r>
          <w:rPr>
            <w:noProof/>
            <w:webHidden/>
          </w:rPr>
          <w:fldChar w:fldCharType="separate"/>
        </w:r>
        <w:r>
          <w:rPr>
            <w:noProof/>
            <w:webHidden/>
          </w:rPr>
          <w:t>36</w:t>
        </w:r>
        <w:r>
          <w:rPr>
            <w:noProof/>
            <w:webHidden/>
          </w:rPr>
          <w:fldChar w:fldCharType="end"/>
        </w:r>
      </w:hyperlink>
    </w:p>
    <w:p w14:paraId="4A6A9DD2" w14:textId="636948C6" w:rsidR="0005469C" w:rsidRDefault="0005469C">
      <w:pPr>
        <w:pStyle w:val="Obsah4"/>
        <w:rPr>
          <w:rFonts w:asciiTheme="minorHAnsi" w:eastAsiaTheme="minorEastAsia" w:hAnsiTheme="minorHAnsi"/>
          <w:noProof/>
          <w:sz w:val="22"/>
          <w:szCs w:val="22"/>
          <w:lang w:val="cs-CZ" w:eastAsia="cs-CZ"/>
        </w:rPr>
      </w:pPr>
      <w:hyperlink w:anchor="_Toc94095283" w:history="1">
        <w:r w:rsidRPr="00804FAA">
          <w:rPr>
            <w:rStyle w:val="Hypertextovodkaz"/>
            <w:noProof/>
          </w:rPr>
          <w:t>Tabulka 10</w:t>
        </w:r>
        <w:r>
          <w:rPr>
            <w:rFonts w:asciiTheme="minorHAnsi" w:eastAsiaTheme="minorEastAsia" w:hAnsiTheme="minorHAnsi"/>
            <w:noProof/>
            <w:sz w:val="22"/>
            <w:szCs w:val="22"/>
            <w:lang w:val="cs-CZ" w:eastAsia="cs-CZ"/>
          </w:rPr>
          <w:tab/>
        </w:r>
        <w:r w:rsidRPr="00804FAA">
          <w:rPr>
            <w:rStyle w:val="Hypertextovodkaz"/>
            <w:noProof/>
          </w:rPr>
          <w:t>Výsledky rozborů kohoutkové vody na PL a jejich metabolity podle druhu plodiny za rok 2017</w:t>
        </w:r>
        <w:r>
          <w:rPr>
            <w:noProof/>
            <w:webHidden/>
          </w:rPr>
          <w:tab/>
        </w:r>
        <w:r>
          <w:rPr>
            <w:noProof/>
            <w:webHidden/>
          </w:rPr>
          <w:fldChar w:fldCharType="begin"/>
        </w:r>
        <w:r>
          <w:rPr>
            <w:noProof/>
            <w:webHidden/>
          </w:rPr>
          <w:instrText xml:space="preserve"> PAGEREF _Toc94095283 \h </w:instrText>
        </w:r>
        <w:r>
          <w:rPr>
            <w:noProof/>
            <w:webHidden/>
          </w:rPr>
        </w:r>
        <w:r>
          <w:rPr>
            <w:noProof/>
            <w:webHidden/>
          </w:rPr>
          <w:fldChar w:fldCharType="separate"/>
        </w:r>
        <w:r>
          <w:rPr>
            <w:noProof/>
            <w:webHidden/>
          </w:rPr>
          <w:t>37</w:t>
        </w:r>
        <w:r>
          <w:rPr>
            <w:noProof/>
            <w:webHidden/>
          </w:rPr>
          <w:fldChar w:fldCharType="end"/>
        </w:r>
      </w:hyperlink>
    </w:p>
    <w:p w14:paraId="77355FEC" w14:textId="04EE9CA6" w:rsidR="0005469C" w:rsidRDefault="0005469C">
      <w:pPr>
        <w:pStyle w:val="Obsah4"/>
        <w:rPr>
          <w:rFonts w:asciiTheme="minorHAnsi" w:eastAsiaTheme="minorEastAsia" w:hAnsiTheme="minorHAnsi"/>
          <w:noProof/>
          <w:sz w:val="22"/>
          <w:szCs w:val="22"/>
          <w:lang w:val="cs-CZ" w:eastAsia="cs-CZ"/>
        </w:rPr>
      </w:pPr>
      <w:hyperlink w:anchor="_Toc94095284" w:history="1">
        <w:r w:rsidRPr="00804FAA">
          <w:rPr>
            <w:rStyle w:val="Hypertextovodkaz"/>
            <w:noProof/>
          </w:rPr>
          <w:t>Tabulka 11</w:t>
        </w:r>
        <w:r>
          <w:rPr>
            <w:rFonts w:asciiTheme="minorHAnsi" w:eastAsiaTheme="minorEastAsia" w:hAnsiTheme="minorHAnsi"/>
            <w:noProof/>
            <w:sz w:val="22"/>
            <w:szCs w:val="22"/>
            <w:lang w:val="cs-CZ" w:eastAsia="cs-CZ"/>
          </w:rPr>
          <w:tab/>
        </w:r>
        <w:r w:rsidRPr="00804FAA">
          <w:rPr>
            <w:rStyle w:val="Hypertextovodkaz"/>
            <w:noProof/>
          </w:rPr>
          <w:t>Nálezy těžkých kovů u vybraných komodit rostlinného původu v rámci plánovaných kontrol cizorodých látek v letech 2012- 2020</w:t>
        </w:r>
        <w:r>
          <w:rPr>
            <w:noProof/>
            <w:webHidden/>
          </w:rPr>
          <w:tab/>
        </w:r>
        <w:r>
          <w:rPr>
            <w:noProof/>
            <w:webHidden/>
          </w:rPr>
          <w:fldChar w:fldCharType="begin"/>
        </w:r>
        <w:r>
          <w:rPr>
            <w:noProof/>
            <w:webHidden/>
          </w:rPr>
          <w:instrText xml:space="preserve"> PAGEREF _Toc94095284 \h </w:instrText>
        </w:r>
        <w:r>
          <w:rPr>
            <w:noProof/>
            <w:webHidden/>
          </w:rPr>
        </w:r>
        <w:r>
          <w:rPr>
            <w:noProof/>
            <w:webHidden/>
          </w:rPr>
          <w:fldChar w:fldCharType="separate"/>
        </w:r>
        <w:r>
          <w:rPr>
            <w:noProof/>
            <w:webHidden/>
          </w:rPr>
          <w:t>39</w:t>
        </w:r>
        <w:r>
          <w:rPr>
            <w:noProof/>
            <w:webHidden/>
          </w:rPr>
          <w:fldChar w:fldCharType="end"/>
        </w:r>
      </w:hyperlink>
    </w:p>
    <w:p w14:paraId="55ADCA62" w14:textId="76B2877F" w:rsidR="0005469C" w:rsidRDefault="0005469C">
      <w:pPr>
        <w:pStyle w:val="Obsah4"/>
        <w:rPr>
          <w:rFonts w:asciiTheme="minorHAnsi" w:eastAsiaTheme="minorEastAsia" w:hAnsiTheme="minorHAnsi"/>
          <w:noProof/>
          <w:sz w:val="22"/>
          <w:szCs w:val="22"/>
          <w:lang w:val="cs-CZ" w:eastAsia="cs-CZ"/>
        </w:rPr>
      </w:pPr>
      <w:hyperlink w:anchor="_Toc94095285" w:history="1">
        <w:r w:rsidRPr="00804FAA">
          <w:rPr>
            <w:rStyle w:val="Hypertextovodkaz"/>
            <w:noProof/>
          </w:rPr>
          <w:t>Tabulka 12</w:t>
        </w:r>
        <w:r>
          <w:rPr>
            <w:rFonts w:asciiTheme="minorHAnsi" w:eastAsiaTheme="minorEastAsia" w:hAnsiTheme="minorHAnsi"/>
            <w:noProof/>
            <w:sz w:val="22"/>
            <w:szCs w:val="22"/>
            <w:lang w:val="cs-CZ" w:eastAsia="cs-CZ"/>
          </w:rPr>
          <w:tab/>
        </w:r>
        <w:r w:rsidRPr="00804FAA">
          <w:rPr>
            <w:rStyle w:val="Hypertextovodkaz"/>
            <w:noProof/>
          </w:rPr>
          <w:t>Integrovaná produkce ovoce – těžké kovy</w:t>
        </w:r>
        <w:r>
          <w:rPr>
            <w:noProof/>
            <w:webHidden/>
          </w:rPr>
          <w:tab/>
        </w:r>
        <w:r>
          <w:rPr>
            <w:noProof/>
            <w:webHidden/>
          </w:rPr>
          <w:fldChar w:fldCharType="begin"/>
        </w:r>
        <w:r>
          <w:rPr>
            <w:noProof/>
            <w:webHidden/>
          </w:rPr>
          <w:instrText xml:space="preserve"> PAGEREF _Toc94095285 \h </w:instrText>
        </w:r>
        <w:r>
          <w:rPr>
            <w:noProof/>
            <w:webHidden/>
          </w:rPr>
        </w:r>
        <w:r>
          <w:rPr>
            <w:noProof/>
            <w:webHidden/>
          </w:rPr>
          <w:fldChar w:fldCharType="separate"/>
        </w:r>
        <w:r>
          <w:rPr>
            <w:noProof/>
            <w:webHidden/>
          </w:rPr>
          <w:t>40</w:t>
        </w:r>
        <w:r>
          <w:rPr>
            <w:noProof/>
            <w:webHidden/>
          </w:rPr>
          <w:fldChar w:fldCharType="end"/>
        </w:r>
      </w:hyperlink>
    </w:p>
    <w:p w14:paraId="0739EFF1" w14:textId="6E9E3F05" w:rsidR="0005469C" w:rsidRDefault="0005469C">
      <w:pPr>
        <w:pStyle w:val="Obsah4"/>
        <w:rPr>
          <w:rFonts w:asciiTheme="minorHAnsi" w:eastAsiaTheme="minorEastAsia" w:hAnsiTheme="minorHAnsi"/>
          <w:noProof/>
          <w:sz w:val="22"/>
          <w:szCs w:val="22"/>
          <w:lang w:val="cs-CZ" w:eastAsia="cs-CZ"/>
        </w:rPr>
      </w:pPr>
      <w:hyperlink w:anchor="_Toc94095286" w:history="1">
        <w:r w:rsidRPr="00804FAA">
          <w:rPr>
            <w:rStyle w:val="Hypertextovodkaz"/>
            <w:noProof/>
          </w:rPr>
          <w:t>Tabulka 13</w:t>
        </w:r>
        <w:r>
          <w:rPr>
            <w:rFonts w:asciiTheme="minorHAnsi" w:eastAsiaTheme="minorEastAsia" w:hAnsiTheme="minorHAnsi"/>
            <w:noProof/>
            <w:sz w:val="22"/>
            <w:szCs w:val="22"/>
            <w:lang w:val="cs-CZ" w:eastAsia="cs-CZ"/>
          </w:rPr>
          <w:tab/>
        </w:r>
        <w:r w:rsidRPr="00804FAA">
          <w:rPr>
            <w:rStyle w:val="Hypertextovodkaz"/>
            <w:noProof/>
          </w:rPr>
          <w:t>Integrovaná produkce zeleniny a jahodníku – těžké kovy</w:t>
        </w:r>
        <w:r>
          <w:rPr>
            <w:noProof/>
            <w:webHidden/>
          </w:rPr>
          <w:tab/>
        </w:r>
        <w:r>
          <w:rPr>
            <w:noProof/>
            <w:webHidden/>
          </w:rPr>
          <w:fldChar w:fldCharType="begin"/>
        </w:r>
        <w:r>
          <w:rPr>
            <w:noProof/>
            <w:webHidden/>
          </w:rPr>
          <w:instrText xml:space="preserve"> PAGEREF _Toc94095286 \h </w:instrText>
        </w:r>
        <w:r>
          <w:rPr>
            <w:noProof/>
            <w:webHidden/>
          </w:rPr>
        </w:r>
        <w:r>
          <w:rPr>
            <w:noProof/>
            <w:webHidden/>
          </w:rPr>
          <w:fldChar w:fldCharType="separate"/>
        </w:r>
        <w:r>
          <w:rPr>
            <w:noProof/>
            <w:webHidden/>
          </w:rPr>
          <w:t>40</w:t>
        </w:r>
        <w:r>
          <w:rPr>
            <w:noProof/>
            <w:webHidden/>
          </w:rPr>
          <w:fldChar w:fldCharType="end"/>
        </w:r>
      </w:hyperlink>
    </w:p>
    <w:p w14:paraId="54B697F6" w14:textId="2D1F222E" w:rsidR="0005469C" w:rsidRDefault="0005469C">
      <w:pPr>
        <w:pStyle w:val="Obsah4"/>
        <w:rPr>
          <w:rFonts w:asciiTheme="minorHAnsi" w:eastAsiaTheme="minorEastAsia" w:hAnsiTheme="minorHAnsi"/>
          <w:noProof/>
          <w:sz w:val="22"/>
          <w:szCs w:val="22"/>
          <w:lang w:val="cs-CZ" w:eastAsia="cs-CZ"/>
        </w:rPr>
      </w:pPr>
      <w:hyperlink w:anchor="_Toc94095287" w:history="1">
        <w:r w:rsidRPr="00804FAA">
          <w:rPr>
            <w:rStyle w:val="Hypertextovodkaz"/>
            <w:noProof/>
          </w:rPr>
          <w:t>Tabulka 14</w:t>
        </w:r>
        <w:r>
          <w:rPr>
            <w:rFonts w:asciiTheme="minorHAnsi" w:eastAsiaTheme="minorEastAsia" w:hAnsiTheme="minorHAnsi"/>
            <w:noProof/>
            <w:sz w:val="22"/>
            <w:szCs w:val="22"/>
            <w:lang w:val="cs-CZ" w:eastAsia="cs-CZ"/>
          </w:rPr>
          <w:tab/>
        </w:r>
        <w:r w:rsidRPr="00804FAA">
          <w:rPr>
            <w:rStyle w:val="Hypertextovodkaz"/>
            <w:noProof/>
          </w:rPr>
          <w:t>Nálezy těžkých kovů u vybraných komodit živočišného původu v rámci plánovaných kontrol cizorodých látek v letech 2012 - 2016</w:t>
        </w:r>
        <w:r>
          <w:rPr>
            <w:noProof/>
            <w:webHidden/>
          </w:rPr>
          <w:tab/>
        </w:r>
        <w:r>
          <w:rPr>
            <w:noProof/>
            <w:webHidden/>
          </w:rPr>
          <w:fldChar w:fldCharType="begin"/>
        </w:r>
        <w:r>
          <w:rPr>
            <w:noProof/>
            <w:webHidden/>
          </w:rPr>
          <w:instrText xml:space="preserve"> PAGEREF _Toc94095287 \h </w:instrText>
        </w:r>
        <w:r>
          <w:rPr>
            <w:noProof/>
            <w:webHidden/>
          </w:rPr>
        </w:r>
        <w:r>
          <w:rPr>
            <w:noProof/>
            <w:webHidden/>
          </w:rPr>
          <w:fldChar w:fldCharType="separate"/>
        </w:r>
        <w:r>
          <w:rPr>
            <w:noProof/>
            <w:webHidden/>
          </w:rPr>
          <w:t>41</w:t>
        </w:r>
        <w:r>
          <w:rPr>
            <w:noProof/>
            <w:webHidden/>
          </w:rPr>
          <w:fldChar w:fldCharType="end"/>
        </w:r>
      </w:hyperlink>
    </w:p>
    <w:p w14:paraId="7BF0A708" w14:textId="444824C4" w:rsidR="0005469C" w:rsidRDefault="0005469C">
      <w:pPr>
        <w:pStyle w:val="Obsah4"/>
        <w:rPr>
          <w:rFonts w:asciiTheme="minorHAnsi" w:eastAsiaTheme="minorEastAsia" w:hAnsiTheme="minorHAnsi"/>
          <w:noProof/>
          <w:sz w:val="22"/>
          <w:szCs w:val="22"/>
          <w:lang w:val="cs-CZ" w:eastAsia="cs-CZ"/>
        </w:rPr>
      </w:pPr>
      <w:hyperlink w:anchor="_Toc94095288" w:history="1">
        <w:r w:rsidRPr="00804FAA">
          <w:rPr>
            <w:rStyle w:val="Hypertextovodkaz"/>
            <w:noProof/>
          </w:rPr>
          <w:t>Tabulka 15</w:t>
        </w:r>
        <w:r>
          <w:rPr>
            <w:rFonts w:asciiTheme="minorHAnsi" w:eastAsiaTheme="minorEastAsia" w:hAnsiTheme="minorHAnsi"/>
            <w:noProof/>
            <w:sz w:val="22"/>
            <w:szCs w:val="22"/>
            <w:lang w:val="cs-CZ" w:eastAsia="cs-CZ"/>
          </w:rPr>
          <w:tab/>
        </w:r>
        <w:r w:rsidRPr="00804FAA">
          <w:rPr>
            <w:rStyle w:val="Hypertextovodkaz"/>
            <w:noProof/>
          </w:rPr>
          <w:t>Přehled výsledků kontrol nakládání s POR dle typu kontroly</w:t>
        </w:r>
        <w:r>
          <w:rPr>
            <w:noProof/>
            <w:webHidden/>
          </w:rPr>
          <w:tab/>
        </w:r>
        <w:r>
          <w:rPr>
            <w:noProof/>
            <w:webHidden/>
          </w:rPr>
          <w:fldChar w:fldCharType="begin"/>
        </w:r>
        <w:r>
          <w:rPr>
            <w:noProof/>
            <w:webHidden/>
          </w:rPr>
          <w:instrText xml:space="preserve"> PAGEREF _Toc94095288 \h </w:instrText>
        </w:r>
        <w:r>
          <w:rPr>
            <w:noProof/>
            <w:webHidden/>
          </w:rPr>
        </w:r>
        <w:r>
          <w:rPr>
            <w:noProof/>
            <w:webHidden/>
          </w:rPr>
          <w:fldChar w:fldCharType="separate"/>
        </w:r>
        <w:r>
          <w:rPr>
            <w:noProof/>
            <w:webHidden/>
          </w:rPr>
          <w:t>47</w:t>
        </w:r>
        <w:r>
          <w:rPr>
            <w:noProof/>
            <w:webHidden/>
          </w:rPr>
          <w:fldChar w:fldCharType="end"/>
        </w:r>
      </w:hyperlink>
    </w:p>
    <w:p w14:paraId="5A44E8F9" w14:textId="387F5565" w:rsidR="0005469C" w:rsidRDefault="0005469C">
      <w:pPr>
        <w:pStyle w:val="Obsah4"/>
        <w:rPr>
          <w:rFonts w:asciiTheme="minorHAnsi" w:eastAsiaTheme="minorEastAsia" w:hAnsiTheme="minorHAnsi"/>
          <w:noProof/>
          <w:sz w:val="22"/>
          <w:szCs w:val="22"/>
          <w:lang w:val="cs-CZ" w:eastAsia="cs-CZ"/>
        </w:rPr>
      </w:pPr>
      <w:hyperlink w:anchor="_Toc94095289" w:history="1">
        <w:r w:rsidRPr="00804FAA">
          <w:rPr>
            <w:rStyle w:val="Hypertextovodkaz"/>
            <w:bCs/>
            <w:noProof/>
          </w:rPr>
          <w:t>Tabulka 16</w:t>
        </w:r>
        <w:r>
          <w:rPr>
            <w:rFonts w:asciiTheme="minorHAnsi" w:eastAsiaTheme="minorEastAsia" w:hAnsiTheme="minorHAnsi"/>
            <w:noProof/>
            <w:sz w:val="22"/>
            <w:szCs w:val="22"/>
            <w:lang w:val="cs-CZ" w:eastAsia="cs-CZ"/>
          </w:rPr>
          <w:tab/>
        </w:r>
        <w:r w:rsidRPr="00804FAA">
          <w:rPr>
            <w:rStyle w:val="Hypertextovodkaz"/>
            <w:noProof/>
          </w:rPr>
          <w:t>Přehled prodeje veterinárních antimikrobik v tis. t a mg/PCU za rok 2017</w:t>
        </w:r>
        <w:r>
          <w:rPr>
            <w:noProof/>
            <w:webHidden/>
          </w:rPr>
          <w:tab/>
        </w:r>
        <w:r>
          <w:rPr>
            <w:noProof/>
            <w:webHidden/>
          </w:rPr>
          <w:fldChar w:fldCharType="begin"/>
        </w:r>
        <w:r>
          <w:rPr>
            <w:noProof/>
            <w:webHidden/>
          </w:rPr>
          <w:instrText xml:space="preserve"> PAGEREF _Toc94095289 \h </w:instrText>
        </w:r>
        <w:r>
          <w:rPr>
            <w:noProof/>
            <w:webHidden/>
          </w:rPr>
        </w:r>
        <w:r>
          <w:rPr>
            <w:noProof/>
            <w:webHidden/>
          </w:rPr>
          <w:fldChar w:fldCharType="separate"/>
        </w:r>
        <w:r>
          <w:rPr>
            <w:noProof/>
            <w:webHidden/>
          </w:rPr>
          <w:t>64</w:t>
        </w:r>
        <w:r>
          <w:rPr>
            <w:noProof/>
            <w:webHidden/>
          </w:rPr>
          <w:fldChar w:fldCharType="end"/>
        </w:r>
      </w:hyperlink>
    </w:p>
    <w:p w14:paraId="20AA7718" w14:textId="78DB2EC4" w:rsidR="0005469C" w:rsidRDefault="0005469C">
      <w:pPr>
        <w:pStyle w:val="Obsah4"/>
        <w:rPr>
          <w:rFonts w:asciiTheme="minorHAnsi" w:eastAsiaTheme="minorEastAsia" w:hAnsiTheme="minorHAnsi"/>
          <w:noProof/>
          <w:sz w:val="22"/>
          <w:szCs w:val="22"/>
          <w:lang w:val="cs-CZ" w:eastAsia="cs-CZ"/>
        </w:rPr>
      </w:pPr>
      <w:hyperlink w:anchor="_Toc94095290" w:history="1">
        <w:r w:rsidRPr="00804FAA">
          <w:rPr>
            <w:rStyle w:val="Hypertextovodkaz"/>
            <w:noProof/>
          </w:rPr>
          <w:t>Tabulka 17</w:t>
        </w:r>
        <w:r>
          <w:rPr>
            <w:rFonts w:asciiTheme="minorHAnsi" w:eastAsiaTheme="minorEastAsia" w:hAnsiTheme="minorHAnsi"/>
            <w:noProof/>
            <w:sz w:val="22"/>
            <w:szCs w:val="22"/>
            <w:lang w:val="cs-CZ" w:eastAsia="cs-CZ"/>
          </w:rPr>
          <w:tab/>
        </w:r>
        <w:r w:rsidRPr="00804FAA">
          <w:rPr>
            <w:rStyle w:val="Hypertextovodkaz"/>
            <w:noProof/>
          </w:rPr>
          <w:t>Porovnání množství zjištěných reziduí antimikrobik v potravinách živočišného původu v rámci monitoringu cizorodých látek v ČR 2012–2019</w:t>
        </w:r>
        <w:r>
          <w:rPr>
            <w:noProof/>
            <w:webHidden/>
          </w:rPr>
          <w:tab/>
        </w:r>
        <w:r>
          <w:rPr>
            <w:noProof/>
            <w:webHidden/>
          </w:rPr>
          <w:fldChar w:fldCharType="begin"/>
        </w:r>
        <w:r>
          <w:rPr>
            <w:noProof/>
            <w:webHidden/>
          </w:rPr>
          <w:instrText xml:space="preserve"> PAGEREF _Toc94095290 \h </w:instrText>
        </w:r>
        <w:r>
          <w:rPr>
            <w:noProof/>
            <w:webHidden/>
          </w:rPr>
        </w:r>
        <w:r>
          <w:rPr>
            <w:noProof/>
            <w:webHidden/>
          </w:rPr>
          <w:fldChar w:fldCharType="separate"/>
        </w:r>
        <w:r>
          <w:rPr>
            <w:noProof/>
            <w:webHidden/>
          </w:rPr>
          <w:t>71</w:t>
        </w:r>
        <w:r>
          <w:rPr>
            <w:noProof/>
            <w:webHidden/>
          </w:rPr>
          <w:fldChar w:fldCharType="end"/>
        </w:r>
      </w:hyperlink>
    </w:p>
    <w:p w14:paraId="46A79701" w14:textId="549E3A69" w:rsidR="0005469C" w:rsidRDefault="0005469C">
      <w:pPr>
        <w:pStyle w:val="Obsah4"/>
        <w:rPr>
          <w:rFonts w:asciiTheme="minorHAnsi" w:eastAsiaTheme="minorEastAsia" w:hAnsiTheme="minorHAnsi"/>
          <w:noProof/>
          <w:sz w:val="22"/>
          <w:szCs w:val="22"/>
          <w:lang w:val="cs-CZ" w:eastAsia="cs-CZ"/>
        </w:rPr>
      </w:pPr>
      <w:hyperlink w:anchor="_Toc94095291" w:history="1">
        <w:r w:rsidRPr="00804FAA">
          <w:rPr>
            <w:rStyle w:val="Hypertextovodkaz"/>
            <w:noProof/>
          </w:rPr>
          <w:t>Tabulka 18</w:t>
        </w:r>
        <w:r>
          <w:rPr>
            <w:rFonts w:asciiTheme="minorHAnsi" w:eastAsiaTheme="minorEastAsia" w:hAnsiTheme="minorHAnsi"/>
            <w:noProof/>
            <w:sz w:val="22"/>
            <w:szCs w:val="22"/>
            <w:lang w:val="cs-CZ" w:eastAsia="cs-CZ"/>
          </w:rPr>
          <w:tab/>
        </w:r>
        <w:r w:rsidRPr="00804FAA">
          <w:rPr>
            <w:rStyle w:val="Hypertextovodkaz"/>
            <w:noProof/>
          </w:rPr>
          <w:t>Porovnání množství zjištěných reziduí antimikrobik podle vybraných potravin živočišného původu v rámci monitoringu cizorodých látek v ČR 2012–2019 (počet vzorků)</w:t>
        </w:r>
        <w:r>
          <w:rPr>
            <w:noProof/>
            <w:webHidden/>
          </w:rPr>
          <w:tab/>
        </w:r>
        <w:r>
          <w:rPr>
            <w:noProof/>
            <w:webHidden/>
          </w:rPr>
          <w:fldChar w:fldCharType="begin"/>
        </w:r>
        <w:r>
          <w:rPr>
            <w:noProof/>
            <w:webHidden/>
          </w:rPr>
          <w:instrText xml:space="preserve"> PAGEREF _Toc94095291 \h </w:instrText>
        </w:r>
        <w:r>
          <w:rPr>
            <w:noProof/>
            <w:webHidden/>
          </w:rPr>
        </w:r>
        <w:r>
          <w:rPr>
            <w:noProof/>
            <w:webHidden/>
          </w:rPr>
          <w:fldChar w:fldCharType="separate"/>
        </w:r>
        <w:r>
          <w:rPr>
            <w:noProof/>
            <w:webHidden/>
          </w:rPr>
          <w:t>72</w:t>
        </w:r>
        <w:r>
          <w:rPr>
            <w:noProof/>
            <w:webHidden/>
          </w:rPr>
          <w:fldChar w:fldCharType="end"/>
        </w:r>
      </w:hyperlink>
    </w:p>
    <w:p w14:paraId="2658DF8D" w14:textId="2267BAC6" w:rsidR="0005469C" w:rsidRDefault="0005469C">
      <w:pPr>
        <w:pStyle w:val="Obsah4"/>
        <w:rPr>
          <w:rFonts w:asciiTheme="minorHAnsi" w:eastAsiaTheme="minorEastAsia" w:hAnsiTheme="minorHAnsi"/>
          <w:noProof/>
          <w:sz w:val="22"/>
          <w:szCs w:val="22"/>
          <w:lang w:val="cs-CZ" w:eastAsia="cs-CZ"/>
        </w:rPr>
      </w:pPr>
      <w:hyperlink w:anchor="_Toc94095292" w:history="1">
        <w:r w:rsidRPr="00804FAA">
          <w:rPr>
            <w:rStyle w:val="Hypertextovodkaz"/>
            <w:noProof/>
          </w:rPr>
          <w:t>Tabulka 19</w:t>
        </w:r>
        <w:r>
          <w:rPr>
            <w:rFonts w:asciiTheme="minorHAnsi" w:eastAsiaTheme="minorEastAsia" w:hAnsiTheme="minorHAnsi"/>
            <w:noProof/>
            <w:sz w:val="22"/>
            <w:szCs w:val="22"/>
            <w:lang w:val="cs-CZ" w:eastAsia="cs-CZ"/>
          </w:rPr>
          <w:tab/>
        </w:r>
        <w:r w:rsidRPr="00804FAA">
          <w:rPr>
            <w:rStyle w:val="Hypertextovodkaz"/>
            <w:noProof/>
          </w:rPr>
          <w:t>Kontroly podmíněnosti provedené v letech 2015 - 2017</w:t>
        </w:r>
        <w:r>
          <w:rPr>
            <w:noProof/>
            <w:webHidden/>
          </w:rPr>
          <w:tab/>
        </w:r>
        <w:r>
          <w:rPr>
            <w:noProof/>
            <w:webHidden/>
          </w:rPr>
          <w:fldChar w:fldCharType="begin"/>
        </w:r>
        <w:r>
          <w:rPr>
            <w:noProof/>
            <w:webHidden/>
          </w:rPr>
          <w:instrText xml:space="preserve"> PAGEREF _Toc94095292 \h </w:instrText>
        </w:r>
        <w:r>
          <w:rPr>
            <w:noProof/>
            <w:webHidden/>
          </w:rPr>
        </w:r>
        <w:r>
          <w:rPr>
            <w:noProof/>
            <w:webHidden/>
          </w:rPr>
          <w:fldChar w:fldCharType="separate"/>
        </w:r>
        <w:r>
          <w:rPr>
            <w:noProof/>
            <w:webHidden/>
          </w:rPr>
          <w:t>79</w:t>
        </w:r>
        <w:r>
          <w:rPr>
            <w:noProof/>
            <w:webHidden/>
          </w:rPr>
          <w:fldChar w:fldCharType="end"/>
        </w:r>
      </w:hyperlink>
    </w:p>
    <w:p w14:paraId="3A84E410" w14:textId="38C91F7A" w:rsidR="0005469C" w:rsidRDefault="0005469C">
      <w:pPr>
        <w:pStyle w:val="Obsah4"/>
        <w:rPr>
          <w:rFonts w:asciiTheme="minorHAnsi" w:eastAsiaTheme="minorEastAsia" w:hAnsiTheme="minorHAnsi"/>
          <w:noProof/>
          <w:sz w:val="22"/>
          <w:szCs w:val="22"/>
          <w:lang w:val="cs-CZ" w:eastAsia="cs-CZ"/>
        </w:rPr>
      </w:pPr>
      <w:hyperlink w:anchor="_Toc94095293" w:history="1">
        <w:r w:rsidRPr="00804FAA">
          <w:rPr>
            <w:rStyle w:val="Hypertextovodkaz"/>
            <w:noProof/>
          </w:rPr>
          <w:t>Tabulka 20</w:t>
        </w:r>
        <w:r>
          <w:rPr>
            <w:rFonts w:asciiTheme="minorHAnsi" w:eastAsiaTheme="minorEastAsia" w:hAnsiTheme="minorHAnsi"/>
            <w:noProof/>
            <w:sz w:val="22"/>
            <w:szCs w:val="22"/>
            <w:lang w:val="cs-CZ" w:eastAsia="cs-CZ"/>
          </w:rPr>
          <w:tab/>
        </w:r>
        <w:r w:rsidRPr="00804FAA">
          <w:rPr>
            <w:rStyle w:val="Hypertextovodkaz"/>
            <w:noProof/>
          </w:rPr>
          <w:t>Stavy nosnic dle technologií chovu v ČR v letech 2015-2019</w:t>
        </w:r>
        <w:r>
          <w:rPr>
            <w:noProof/>
            <w:webHidden/>
          </w:rPr>
          <w:tab/>
        </w:r>
        <w:r>
          <w:rPr>
            <w:noProof/>
            <w:webHidden/>
          </w:rPr>
          <w:fldChar w:fldCharType="begin"/>
        </w:r>
        <w:r>
          <w:rPr>
            <w:noProof/>
            <w:webHidden/>
          </w:rPr>
          <w:instrText xml:space="preserve"> PAGEREF _Toc94095293 \h </w:instrText>
        </w:r>
        <w:r>
          <w:rPr>
            <w:noProof/>
            <w:webHidden/>
          </w:rPr>
        </w:r>
        <w:r>
          <w:rPr>
            <w:noProof/>
            <w:webHidden/>
          </w:rPr>
          <w:fldChar w:fldCharType="separate"/>
        </w:r>
        <w:r>
          <w:rPr>
            <w:noProof/>
            <w:webHidden/>
          </w:rPr>
          <w:t>98</w:t>
        </w:r>
        <w:r>
          <w:rPr>
            <w:noProof/>
            <w:webHidden/>
          </w:rPr>
          <w:fldChar w:fldCharType="end"/>
        </w:r>
      </w:hyperlink>
    </w:p>
    <w:p w14:paraId="172E0A5D" w14:textId="2F1BFDBB" w:rsidR="0005469C" w:rsidRDefault="0005469C">
      <w:pPr>
        <w:pStyle w:val="Obsah4"/>
        <w:rPr>
          <w:rFonts w:asciiTheme="minorHAnsi" w:eastAsiaTheme="minorEastAsia" w:hAnsiTheme="minorHAnsi"/>
          <w:noProof/>
          <w:sz w:val="22"/>
          <w:szCs w:val="22"/>
          <w:lang w:val="cs-CZ" w:eastAsia="cs-CZ"/>
        </w:rPr>
      </w:pPr>
      <w:hyperlink w:anchor="_Toc94095294" w:history="1">
        <w:r w:rsidRPr="00804FAA">
          <w:rPr>
            <w:rStyle w:val="Hypertextovodkaz"/>
            <w:noProof/>
          </w:rPr>
          <w:t>Tabulka 21</w:t>
        </w:r>
        <w:r>
          <w:rPr>
            <w:rFonts w:asciiTheme="minorHAnsi" w:eastAsiaTheme="minorEastAsia" w:hAnsiTheme="minorHAnsi"/>
            <w:noProof/>
            <w:sz w:val="22"/>
            <w:szCs w:val="22"/>
            <w:lang w:val="cs-CZ" w:eastAsia="cs-CZ"/>
          </w:rPr>
          <w:tab/>
        </w:r>
        <w:r w:rsidRPr="00804FAA">
          <w:rPr>
            <w:rStyle w:val="Hypertextovodkaz"/>
            <w:noProof/>
          </w:rPr>
          <w:t>Plánované a provedené kontroly podmíněnosti pro DŽPZ za roky 2015-2020</w:t>
        </w:r>
        <w:r>
          <w:rPr>
            <w:noProof/>
            <w:webHidden/>
          </w:rPr>
          <w:tab/>
        </w:r>
        <w:r>
          <w:rPr>
            <w:noProof/>
            <w:webHidden/>
          </w:rPr>
          <w:fldChar w:fldCharType="begin"/>
        </w:r>
        <w:r>
          <w:rPr>
            <w:noProof/>
            <w:webHidden/>
          </w:rPr>
          <w:instrText xml:space="preserve"> PAGEREF _Toc94095294 \h </w:instrText>
        </w:r>
        <w:r>
          <w:rPr>
            <w:noProof/>
            <w:webHidden/>
          </w:rPr>
        </w:r>
        <w:r>
          <w:rPr>
            <w:noProof/>
            <w:webHidden/>
          </w:rPr>
          <w:fldChar w:fldCharType="separate"/>
        </w:r>
        <w:r>
          <w:rPr>
            <w:noProof/>
            <w:webHidden/>
          </w:rPr>
          <w:t>105</w:t>
        </w:r>
        <w:r>
          <w:rPr>
            <w:noProof/>
            <w:webHidden/>
          </w:rPr>
          <w:fldChar w:fldCharType="end"/>
        </w:r>
      </w:hyperlink>
    </w:p>
    <w:p w14:paraId="5C504F60" w14:textId="31E1B1CC" w:rsidR="0005469C" w:rsidRDefault="0005469C">
      <w:pPr>
        <w:pStyle w:val="Obsah4"/>
        <w:rPr>
          <w:rFonts w:asciiTheme="minorHAnsi" w:eastAsiaTheme="minorEastAsia" w:hAnsiTheme="minorHAnsi"/>
          <w:noProof/>
          <w:sz w:val="22"/>
          <w:szCs w:val="22"/>
          <w:lang w:val="cs-CZ" w:eastAsia="cs-CZ"/>
        </w:rPr>
      </w:pPr>
      <w:hyperlink w:anchor="_Toc94095295" w:history="1">
        <w:r w:rsidRPr="00804FAA">
          <w:rPr>
            <w:rStyle w:val="Hypertextovodkaz"/>
            <w:noProof/>
          </w:rPr>
          <w:t>Tabulka 22</w:t>
        </w:r>
        <w:r>
          <w:rPr>
            <w:rFonts w:asciiTheme="minorHAnsi" w:eastAsiaTheme="minorEastAsia" w:hAnsiTheme="minorHAnsi"/>
            <w:noProof/>
            <w:sz w:val="22"/>
            <w:szCs w:val="22"/>
            <w:lang w:val="cs-CZ" w:eastAsia="cs-CZ"/>
          </w:rPr>
          <w:tab/>
        </w:r>
        <w:r w:rsidRPr="00804FAA">
          <w:rPr>
            <w:rStyle w:val="Hypertextovodkaz"/>
            <w:noProof/>
          </w:rPr>
          <w:t>Přehled množství zachráněných potravin a podpory v rámci DP 18</w:t>
        </w:r>
        <w:r>
          <w:rPr>
            <w:noProof/>
            <w:webHidden/>
          </w:rPr>
          <w:tab/>
        </w:r>
        <w:r>
          <w:rPr>
            <w:noProof/>
            <w:webHidden/>
          </w:rPr>
          <w:fldChar w:fldCharType="begin"/>
        </w:r>
        <w:r>
          <w:rPr>
            <w:noProof/>
            <w:webHidden/>
          </w:rPr>
          <w:instrText xml:space="preserve"> PAGEREF _Toc94095295 \h </w:instrText>
        </w:r>
        <w:r>
          <w:rPr>
            <w:noProof/>
            <w:webHidden/>
          </w:rPr>
        </w:r>
        <w:r>
          <w:rPr>
            <w:noProof/>
            <w:webHidden/>
          </w:rPr>
          <w:fldChar w:fldCharType="separate"/>
        </w:r>
        <w:r>
          <w:rPr>
            <w:noProof/>
            <w:webHidden/>
          </w:rPr>
          <w:t>112</w:t>
        </w:r>
        <w:r>
          <w:rPr>
            <w:noProof/>
            <w:webHidden/>
          </w:rPr>
          <w:fldChar w:fldCharType="end"/>
        </w:r>
      </w:hyperlink>
    </w:p>
    <w:p w14:paraId="21F49761" w14:textId="0506EBAF" w:rsidR="00856E96" w:rsidRPr="007434DA" w:rsidRDefault="00EC5EF3" w:rsidP="001A2E4E">
      <w:pPr>
        <w:spacing w:line="360" w:lineRule="auto"/>
        <w:ind w:left="1276" w:hanging="1134"/>
        <w:rPr>
          <w:rFonts w:cs="Times New Roman"/>
          <w:b/>
          <w:bCs/>
          <w:sz w:val="20"/>
          <w:szCs w:val="20"/>
          <w:lang w:val="cs-CZ"/>
        </w:rPr>
      </w:pPr>
      <w:r w:rsidRPr="007434DA">
        <w:rPr>
          <w:rFonts w:asciiTheme="minorHAnsi" w:hAnsiTheme="minorHAnsi"/>
          <w:b/>
          <w:bCs/>
          <w:sz w:val="20"/>
          <w:szCs w:val="20"/>
          <w:lang w:val="cs-CZ"/>
        </w:rPr>
        <w:fldChar w:fldCharType="end"/>
      </w:r>
    </w:p>
    <w:p w14:paraId="016AB010" w14:textId="77777777" w:rsidR="001A2E4E" w:rsidRDefault="001A2E4E">
      <w:pPr>
        <w:spacing w:after="160" w:line="259" w:lineRule="auto"/>
        <w:jc w:val="left"/>
        <w:rPr>
          <w:rFonts w:eastAsiaTheme="majorEastAsia" w:cstheme="majorBidi"/>
          <w:b/>
          <w:color w:val="000000" w:themeColor="text1"/>
          <w:sz w:val="28"/>
          <w:szCs w:val="32"/>
          <w:lang w:val="cs-CZ" w:eastAsia="cs-CZ"/>
        </w:rPr>
      </w:pPr>
      <w:bookmarkStart w:id="7" w:name="_Toc80877849"/>
      <w:bookmarkStart w:id="8" w:name="_Toc81755605"/>
      <w:r>
        <w:br w:type="page"/>
      </w:r>
    </w:p>
    <w:p w14:paraId="44A30193" w14:textId="1691E8A4" w:rsidR="006826AD" w:rsidRDefault="00CB2594" w:rsidP="001B7775">
      <w:pPr>
        <w:pStyle w:val="UZEINadpis1stbezsla"/>
      </w:pPr>
      <w:r w:rsidRPr="007434DA">
        <w:t>Seznam grafů</w:t>
      </w:r>
      <w:bookmarkEnd w:id="7"/>
      <w:bookmarkEnd w:id="8"/>
    </w:p>
    <w:p w14:paraId="035DCEE2" w14:textId="77777777" w:rsidR="00A36C8B" w:rsidRPr="007434DA" w:rsidRDefault="00A36C8B" w:rsidP="001B7775">
      <w:pPr>
        <w:pStyle w:val="UZEINadpis1stbezsla"/>
      </w:pPr>
    </w:p>
    <w:p w14:paraId="7D935487" w14:textId="037AE53B" w:rsidR="00A93193" w:rsidRDefault="000A319F">
      <w:pPr>
        <w:pStyle w:val="Obsah4"/>
        <w:rPr>
          <w:rFonts w:asciiTheme="minorHAnsi" w:eastAsiaTheme="minorEastAsia" w:hAnsiTheme="minorHAnsi"/>
          <w:noProof/>
          <w:sz w:val="22"/>
          <w:szCs w:val="22"/>
          <w:lang w:val="cs-CZ" w:eastAsia="cs-CZ"/>
        </w:rPr>
      </w:pPr>
      <w:r w:rsidRPr="007434DA">
        <w:rPr>
          <w:rFonts w:cs="Times New Roman"/>
          <w:b/>
          <w:bCs/>
          <w:smallCaps/>
          <w:szCs w:val="20"/>
          <w:lang w:val="cs-CZ"/>
        </w:rPr>
        <w:fldChar w:fldCharType="begin"/>
      </w:r>
      <w:r w:rsidRPr="007434DA">
        <w:rPr>
          <w:rFonts w:cs="Times New Roman"/>
          <w:b/>
          <w:bCs/>
          <w:smallCaps/>
          <w:szCs w:val="20"/>
          <w:lang w:val="cs-CZ"/>
        </w:rPr>
        <w:instrText xml:space="preserve"> TOC \h \z \t "UZEI Graf;4" </w:instrText>
      </w:r>
      <w:r w:rsidRPr="007434DA">
        <w:rPr>
          <w:rFonts w:cs="Times New Roman"/>
          <w:b/>
          <w:bCs/>
          <w:smallCaps/>
          <w:szCs w:val="20"/>
          <w:lang w:val="cs-CZ"/>
        </w:rPr>
        <w:fldChar w:fldCharType="separate"/>
      </w:r>
      <w:hyperlink w:anchor="_Toc93676659" w:history="1">
        <w:r w:rsidR="00A93193" w:rsidRPr="003C2903">
          <w:rPr>
            <w:rStyle w:val="Hypertextovodkaz"/>
            <w:noProof/>
          </w:rPr>
          <w:t>Graf 1</w:t>
        </w:r>
        <w:r w:rsidR="00A93193">
          <w:rPr>
            <w:rFonts w:asciiTheme="minorHAnsi" w:eastAsiaTheme="minorEastAsia" w:hAnsiTheme="minorHAnsi"/>
            <w:noProof/>
            <w:sz w:val="22"/>
            <w:szCs w:val="22"/>
            <w:lang w:val="cs-CZ" w:eastAsia="cs-CZ"/>
          </w:rPr>
          <w:t xml:space="preserve"> </w:t>
        </w:r>
        <w:r w:rsidR="00A93193" w:rsidRPr="003C2903">
          <w:rPr>
            <w:rStyle w:val="Hypertextovodkaz"/>
            <w:noProof/>
          </w:rPr>
          <w:t xml:space="preserve">Plocha </w:t>
        </w:r>
        <w:r w:rsidR="00A93193">
          <w:rPr>
            <w:rStyle w:val="Hypertextovodkaz"/>
            <w:noProof/>
          </w:rPr>
          <w:t>EZ</w:t>
        </w:r>
        <w:r w:rsidR="00A93193" w:rsidRPr="003C2903">
          <w:rPr>
            <w:rStyle w:val="Hypertextovodkaz"/>
            <w:noProof/>
          </w:rPr>
          <w:t xml:space="preserve"> a její podíl z celkové využívané zemědělské půdy v ČR za roky 2009-2019.</w:t>
        </w:r>
        <w:r w:rsidR="00A93193">
          <w:rPr>
            <w:noProof/>
            <w:webHidden/>
          </w:rPr>
          <w:tab/>
        </w:r>
        <w:r w:rsidR="00A93193">
          <w:rPr>
            <w:noProof/>
            <w:webHidden/>
          </w:rPr>
          <w:fldChar w:fldCharType="begin"/>
        </w:r>
        <w:r w:rsidR="00A93193">
          <w:rPr>
            <w:noProof/>
            <w:webHidden/>
          </w:rPr>
          <w:instrText xml:space="preserve"> PAGEREF _Toc93676659 \h </w:instrText>
        </w:r>
        <w:r w:rsidR="00A93193">
          <w:rPr>
            <w:noProof/>
            <w:webHidden/>
          </w:rPr>
        </w:r>
        <w:r w:rsidR="00A93193">
          <w:rPr>
            <w:noProof/>
            <w:webHidden/>
          </w:rPr>
          <w:fldChar w:fldCharType="separate"/>
        </w:r>
        <w:r w:rsidR="00A93193">
          <w:rPr>
            <w:noProof/>
            <w:webHidden/>
          </w:rPr>
          <w:t>22</w:t>
        </w:r>
        <w:r w:rsidR="00A93193">
          <w:rPr>
            <w:noProof/>
            <w:webHidden/>
          </w:rPr>
          <w:fldChar w:fldCharType="end"/>
        </w:r>
      </w:hyperlink>
    </w:p>
    <w:p w14:paraId="181EC3AB" w14:textId="737E48CD" w:rsidR="00A93193" w:rsidRDefault="00A93193">
      <w:pPr>
        <w:pStyle w:val="Obsah4"/>
        <w:rPr>
          <w:rFonts w:asciiTheme="minorHAnsi" w:eastAsiaTheme="minorEastAsia" w:hAnsiTheme="minorHAnsi"/>
          <w:noProof/>
          <w:sz w:val="22"/>
          <w:szCs w:val="22"/>
          <w:lang w:val="cs-CZ" w:eastAsia="cs-CZ"/>
        </w:rPr>
      </w:pPr>
      <w:hyperlink w:anchor="_Toc93676660" w:history="1">
        <w:r w:rsidRPr="003C2903">
          <w:rPr>
            <w:rStyle w:val="Hypertextovodkaz"/>
            <w:noProof/>
          </w:rPr>
          <w:t>Graf 2</w:t>
        </w:r>
        <w:r>
          <w:rPr>
            <w:rFonts w:asciiTheme="minorHAnsi" w:eastAsiaTheme="minorEastAsia" w:hAnsiTheme="minorHAnsi"/>
            <w:noProof/>
            <w:sz w:val="22"/>
            <w:szCs w:val="22"/>
            <w:lang w:val="cs-CZ" w:eastAsia="cs-CZ"/>
          </w:rPr>
          <w:t xml:space="preserve"> </w:t>
        </w:r>
        <w:r w:rsidRPr="003C2903">
          <w:rPr>
            <w:rStyle w:val="Hypertextovodkaz"/>
            <w:noProof/>
          </w:rPr>
          <w:t>Vývoj spotřeby přípravků na ochranu rostlin v ČR v letech 2010-2019 (tis. kg, tis. l)</w:t>
        </w:r>
        <w:r>
          <w:rPr>
            <w:noProof/>
            <w:webHidden/>
          </w:rPr>
          <w:tab/>
        </w:r>
        <w:r>
          <w:rPr>
            <w:noProof/>
            <w:webHidden/>
          </w:rPr>
          <w:fldChar w:fldCharType="begin"/>
        </w:r>
        <w:r>
          <w:rPr>
            <w:noProof/>
            <w:webHidden/>
          </w:rPr>
          <w:instrText xml:space="preserve"> PAGEREF _Toc93676660 \h </w:instrText>
        </w:r>
        <w:r>
          <w:rPr>
            <w:noProof/>
            <w:webHidden/>
          </w:rPr>
        </w:r>
        <w:r>
          <w:rPr>
            <w:noProof/>
            <w:webHidden/>
          </w:rPr>
          <w:fldChar w:fldCharType="separate"/>
        </w:r>
        <w:r>
          <w:rPr>
            <w:noProof/>
            <w:webHidden/>
          </w:rPr>
          <w:t>24</w:t>
        </w:r>
        <w:r>
          <w:rPr>
            <w:noProof/>
            <w:webHidden/>
          </w:rPr>
          <w:fldChar w:fldCharType="end"/>
        </w:r>
      </w:hyperlink>
    </w:p>
    <w:p w14:paraId="6F453E13" w14:textId="15AA80FF" w:rsidR="00A93193" w:rsidRDefault="00A93193">
      <w:pPr>
        <w:pStyle w:val="Obsah4"/>
        <w:rPr>
          <w:rFonts w:asciiTheme="minorHAnsi" w:eastAsiaTheme="minorEastAsia" w:hAnsiTheme="minorHAnsi"/>
          <w:noProof/>
          <w:sz w:val="22"/>
          <w:szCs w:val="22"/>
          <w:lang w:val="cs-CZ" w:eastAsia="cs-CZ"/>
        </w:rPr>
      </w:pPr>
      <w:hyperlink w:anchor="_Toc93676661" w:history="1">
        <w:r w:rsidRPr="003C2903">
          <w:rPr>
            <w:rStyle w:val="Hypertextovodkaz"/>
            <w:noProof/>
          </w:rPr>
          <w:t>Graf 3</w:t>
        </w:r>
        <w:r>
          <w:rPr>
            <w:rFonts w:asciiTheme="minorHAnsi" w:eastAsiaTheme="minorEastAsia" w:hAnsiTheme="minorHAnsi"/>
            <w:noProof/>
            <w:sz w:val="22"/>
            <w:szCs w:val="22"/>
            <w:lang w:val="cs-CZ" w:eastAsia="cs-CZ"/>
          </w:rPr>
          <w:t xml:space="preserve"> </w:t>
        </w:r>
        <w:r w:rsidRPr="003C2903">
          <w:rPr>
            <w:rStyle w:val="Hypertextovodkaz"/>
            <w:noProof/>
          </w:rPr>
          <w:t>Spotřeba POR a DP u polních plodin v letech 2010-2019 (tis. kg/l)</w:t>
        </w:r>
        <w:r>
          <w:rPr>
            <w:noProof/>
            <w:webHidden/>
          </w:rPr>
          <w:tab/>
        </w:r>
        <w:r>
          <w:rPr>
            <w:noProof/>
            <w:webHidden/>
          </w:rPr>
          <w:fldChar w:fldCharType="begin"/>
        </w:r>
        <w:r>
          <w:rPr>
            <w:noProof/>
            <w:webHidden/>
          </w:rPr>
          <w:instrText xml:space="preserve"> PAGEREF _Toc93676661 \h </w:instrText>
        </w:r>
        <w:r>
          <w:rPr>
            <w:noProof/>
            <w:webHidden/>
          </w:rPr>
        </w:r>
        <w:r>
          <w:rPr>
            <w:noProof/>
            <w:webHidden/>
          </w:rPr>
          <w:fldChar w:fldCharType="separate"/>
        </w:r>
        <w:r>
          <w:rPr>
            <w:noProof/>
            <w:webHidden/>
          </w:rPr>
          <w:t>25</w:t>
        </w:r>
        <w:r>
          <w:rPr>
            <w:noProof/>
            <w:webHidden/>
          </w:rPr>
          <w:fldChar w:fldCharType="end"/>
        </w:r>
      </w:hyperlink>
    </w:p>
    <w:p w14:paraId="4E6B5FA1" w14:textId="72F1DAEE" w:rsidR="00A93193" w:rsidRDefault="00A93193">
      <w:pPr>
        <w:pStyle w:val="Obsah4"/>
        <w:rPr>
          <w:rFonts w:asciiTheme="minorHAnsi" w:eastAsiaTheme="minorEastAsia" w:hAnsiTheme="minorHAnsi"/>
          <w:noProof/>
          <w:sz w:val="22"/>
          <w:szCs w:val="22"/>
          <w:lang w:val="cs-CZ" w:eastAsia="cs-CZ"/>
        </w:rPr>
      </w:pPr>
      <w:hyperlink w:anchor="_Toc93676662" w:history="1">
        <w:r w:rsidRPr="003C2903">
          <w:rPr>
            <w:rStyle w:val="Hypertextovodkaz"/>
            <w:noProof/>
          </w:rPr>
          <w:t>Graf 4</w:t>
        </w:r>
        <w:r>
          <w:rPr>
            <w:rFonts w:asciiTheme="minorHAnsi" w:eastAsiaTheme="minorEastAsia" w:hAnsiTheme="minorHAnsi"/>
            <w:noProof/>
            <w:sz w:val="22"/>
            <w:szCs w:val="22"/>
            <w:lang w:val="cs-CZ" w:eastAsia="cs-CZ"/>
          </w:rPr>
          <w:t xml:space="preserve"> </w:t>
        </w:r>
        <w:r w:rsidRPr="003C2903">
          <w:rPr>
            <w:rStyle w:val="Hypertextovodkaz"/>
            <w:noProof/>
          </w:rPr>
          <w:t>Spotřeba POR a DP u zeleniny v letech 2010-2019 (tis. kg/l)</w:t>
        </w:r>
        <w:r>
          <w:rPr>
            <w:noProof/>
            <w:webHidden/>
          </w:rPr>
          <w:tab/>
        </w:r>
        <w:r>
          <w:rPr>
            <w:noProof/>
            <w:webHidden/>
          </w:rPr>
          <w:fldChar w:fldCharType="begin"/>
        </w:r>
        <w:r>
          <w:rPr>
            <w:noProof/>
            <w:webHidden/>
          </w:rPr>
          <w:instrText xml:space="preserve"> PAGEREF _Toc93676662 \h </w:instrText>
        </w:r>
        <w:r>
          <w:rPr>
            <w:noProof/>
            <w:webHidden/>
          </w:rPr>
        </w:r>
        <w:r>
          <w:rPr>
            <w:noProof/>
            <w:webHidden/>
          </w:rPr>
          <w:fldChar w:fldCharType="separate"/>
        </w:r>
        <w:r>
          <w:rPr>
            <w:noProof/>
            <w:webHidden/>
          </w:rPr>
          <w:t>26</w:t>
        </w:r>
        <w:r>
          <w:rPr>
            <w:noProof/>
            <w:webHidden/>
          </w:rPr>
          <w:fldChar w:fldCharType="end"/>
        </w:r>
      </w:hyperlink>
    </w:p>
    <w:p w14:paraId="08407FBB" w14:textId="293F5392" w:rsidR="00A93193" w:rsidRDefault="00A93193">
      <w:pPr>
        <w:pStyle w:val="Obsah4"/>
        <w:rPr>
          <w:rFonts w:asciiTheme="minorHAnsi" w:eastAsiaTheme="minorEastAsia" w:hAnsiTheme="minorHAnsi"/>
          <w:noProof/>
          <w:sz w:val="22"/>
          <w:szCs w:val="22"/>
          <w:lang w:val="cs-CZ" w:eastAsia="cs-CZ"/>
        </w:rPr>
      </w:pPr>
      <w:hyperlink w:anchor="_Toc93676663" w:history="1">
        <w:r w:rsidRPr="003C2903">
          <w:rPr>
            <w:rStyle w:val="Hypertextovodkaz"/>
            <w:noProof/>
          </w:rPr>
          <w:t>Graf 5</w:t>
        </w:r>
        <w:r>
          <w:rPr>
            <w:rFonts w:asciiTheme="minorHAnsi" w:eastAsiaTheme="minorEastAsia" w:hAnsiTheme="minorHAnsi"/>
            <w:noProof/>
            <w:sz w:val="22"/>
            <w:szCs w:val="22"/>
            <w:lang w:val="cs-CZ" w:eastAsia="cs-CZ"/>
          </w:rPr>
          <w:t xml:space="preserve"> </w:t>
        </w:r>
        <w:r w:rsidRPr="003C2903">
          <w:rPr>
            <w:rStyle w:val="Hypertextovodkaz"/>
            <w:noProof/>
          </w:rPr>
          <w:t>Spotřeba POR a DP u ovoce v letech 2010-2019 (tis. kg/l)</w:t>
        </w:r>
        <w:r>
          <w:rPr>
            <w:noProof/>
            <w:webHidden/>
          </w:rPr>
          <w:tab/>
        </w:r>
        <w:r>
          <w:rPr>
            <w:noProof/>
            <w:webHidden/>
          </w:rPr>
          <w:fldChar w:fldCharType="begin"/>
        </w:r>
        <w:r>
          <w:rPr>
            <w:noProof/>
            <w:webHidden/>
          </w:rPr>
          <w:instrText xml:space="preserve"> PAGEREF _Toc93676663 \h </w:instrText>
        </w:r>
        <w:r>
          <w:rPr>
            <w:noProof/>
            <w:webHidden/>
          </w:rPr>
        </w:r>
        <w:r>
          <w:rPr>
            <w:noProof/>
            <w:webHidden/>
          </w:rPr>
          <w:fldChar w:fldCharType="separate"/>
        </w:r>
        <w:r>
          <w:rPr>
            <w:noProof/>
            <w:webHidden/>
          </w:rPr>
          <w:t>26</w:t>
        </w:r>
        <w:r>
          <w:rPr>
            <w:noProof/>
            <w:webHidden/>
          </w:rPr>
          <w:fldChar w:fldCharType="end"/>
        </w:r>
      </w:hyperlink>
    </w:p>
    <w:p w14:paraId="2D70CD0D" w14:textId="2E86E4FD" w:rsidR="00A93193" w:rsidRDefault="00A93193">
      <w:pPr>
        <w:pStyle w:val="Obsah4"/>
        <w:rPr>
          <w:rFonts w:asciiTheme="minorHAnsi" w:eastAsiaTheme="minorEastAsia" w:hAnsiTheme="minorHAnsi"/>
          <w:noProof/>
          <w:sz w:val="22"/>
          <w:szCs w:val="22"/>
          <w:lang w:val="cs-CZ" w:eastAsia="cs-CZ"/>
        </w:rPr>
      </w:pPr>
      <w:hyperlink w:anchor="_Toc93676664" w:history="1">
        <w:r w:rsidRPr="003C2903">
          <w:rPr>
            <w:rStyle w:val="Hypertextovodkaz"/>
            <w:noProof/>
          </w:rPr>
          <w:t>Graf 6</w:t>
        </w:r>
        <w:r>
          <w:rPr>
            <w:rFonts w:asciiTheme="minorHAnsi" w:eastAsiaTheme="minorEastAsia" w:hAnsiTheme="minorHAnsi"/>
            <w:noProof/>
            <w:sz w:val="22"/>
            <w:szCs w:val="22"/>
            <w:lang w:val="cs-CZ" w:eastAsia="cs-CZ"/>
          </w:rPr>
          <w:t xml:space="preserve"> </w:t>
        </w:r>
        <w:r w:rsidRPr="003C2903">
          <w:rPr>
            <w:rStyle w:val="Hypertextovodkaz"/>
            <w:noProof/>
          </w:rPr>
          <w:t>Spotřeba POR a DP u révy vinné v letech 2010-2019 (tis. kg/l)</w:t>
        </w:r>
        <w:r>
          <w:rPr>
            <w:noProof/>
            <w:webHidden/>
          </w:rPr>
          <w:tab/>
        </w:r>
        <w:r>
          <w:rPr>
            <w:noProof/>
            <w:webHidden/>
          </w:rPr>
          <w:fldChar w:fldCharType="begin"/>
        </w:r>
        <w:r>
          <w:rPr>
            <w:noProof/>
            <w:webHidden/>
          </w:rPr>
          <w:instrText xml:space="preserve"> PAGEREF _Toc93676664 \h </w:instrText>
        </w:r>
        <w:r>
          <w:rPr>
            <w:noProof/>
            <w:webHidden/>
          </w:rPr>
        </w:r>
        <w:r>
          <w:rPr>
            <w:noProof/>
            <w:webHidden/>
          </w:rPr>
          <w:fldChar w:fldCharType="separate"/>
        </w:r>
        <w:r>
          <w:rPr>
            <w:noProof/>
            <w:webHidden/>
          </w:rPr>
          <w:t>27</w:t>
        </w:r>
        <w:r>
          <w:rPr>
            <w:noProof/>
            <w:webHidden/>
          </w:rPr>
          <w:fldChar w:fldCharType="end"/>
        </w:r>
      </w:hyperlink>
    </w:p>
    <w:p w14:paraId="5B773454" w14:textId="3EAFBF19" w:rsidR="00A93193" w:rsidRDefault="00A93193">
      <w:pPr>
        <w:pStyle w:val="Obsah4"/>
        <w:rPr>
          <w:rFonts w:asciiTheme="minorHAnsi" w:eastAsiaTheme="minorEastAsia" w:hAnsiTheme="minorHAnsi"/>
          <w:noProof/>
          <w:sz w:val="22"/>
          <w:szCs w:val="22"/>
          <w:lang w:val="cs-CZ" w:eastAsia="cs-CZ"/>
        </w:rPr>
      </w:pPr>
      <w:hyperlink w:anchor="_Toc93676665" w:history="1">
        <w:r w:rsidRPr="003C2903">
          <w:rPr>
            <w:rStyle w:val="Hypertextovodkaz"/>
            <w:noProof/>
          </w:rPr>
          <w:t>Graf 7</w:t>
        </w:r>
        <w:r>
          <w:rPr>
            <w:rFonts w:asciiTheme="minorHAnsi" w:eastAsiaTheme="minorEastAsia" w:hAnsiTheme="minorHAnsi"/>
            <w:noProof/>
            <w:sz w:val="22"/>
            <w:szCs w:val="22"/>
            <w:lang w:val="cs-CZ" w:eastAsia="cs-CZ"/>
          </w:rPr>
          <w:t xml:space="preserve"> </w:t>
        </w:r>
        <w:r w:rsidRPr="003C2903">
          <w:rPr>
            <w:rStyle w:val="Hypertextovodkaz"/>
            <w:noProof/>
          </w:rPr>
          <w:t>Zhodnocení směru vývoje HRI 1 za období 201-2019</w:t>
        </w:r>
        <w:r>
          <w:rPr>
            <w:noProof/>
            <w:webHidden/>
          </w:rPr>
          <w:tab/>
        </w:r>
        <w:r>
          <w:rPr>
            <w:noProof/>
            <w:webHidden/>
          </w:rPr>
          <w:fldChar w:fldCharType="begin"/>
        </w:r>
        <w:r>
          <w:rPr>
            <w:noProof/>
            <w:webHidden/>
          </w:rPr>
          <w:instrText xml:space="preserve"> PAGEREF _Toc93676665 \h </w:instrText>
        </w:r>
        <w:r>
          <w:rPr>
            <w:noProof/>
            <w:webHidden/>
          </w:rPr>
        </w:r>
        <w:r>
          <w:rPr>
            <w:noProof/>
            <w:webHidden/>
          </w:rPr>
          <w:fldChar w:fldCharType="separate"/>
        </w:r>
        <w:r>
          <w:rPr>
            <w:noProof/>
            <w:webHidden/>
          </w:rPr>
          <w:t>28</w:t>
        </w:r>
        <w:r>
          <w:rPr>
            <w:noProof/>
            <w:webHidden/>
          </w:rPr>
          <w:fldChar w:fldCharType="end"/>
        </w:r>
      </w:hyperlink>
    </w:p>
    <w:p w14:paraId="071F54BC" w14:textId="5CFE7E7A" w:rsidR="00A93193" w:rsidRDefault="00A93193">
      <w:pPr>
        <w:pStyle w:val="Obsah4"/>
        <w:rPr>
          <w:rFonts w:asciiTheme="minorHAnsi" w:eastAsiaTheme="minorEastAsia" w:hAnsiTheme="minorHAnsi"/>
          <w:noProof/>
          <w:sz w:val="22"/>
          <w:szCs w:val="22"/>
          <w:lang w:val="cs-CZ" w:eastAsia="cs-CZ"/>
        </w:rPr>
      </w:pPr>
      <w:hyperlink w:anchor="_Toc93676666" w:history="1">
        <w:r w:rsidRPr="003C2903">
          <w:rPr>
            <w:rStyle w:val="Hypertextovodkaz"/>
            <w:noProof/>
          </w:rPr>
          <w:t>Graf 8</w:t>
        </w:r>
        <w:r>
          <w:rPr>
            <w:rFonts w:asciiTheme="minorHAnsi" w:eastAsiaTheme="minorEastAsia" w:hAnsiTheme="minorHAnsi"/>
            <w:noProof/>
            <w:sz w:val="22"/>
            <w:szCs w:val="22"/>
            <w:lang w:val="cs-CZ" w:eastAsia="cs-CZ"/>
          </w:rPr>
          <w:t xml:space="preserve"> </w:t>
        </w:r>
        <w:r w:rsidRPr="003C2903">
          <w:rPr>
            <w:rStyle w:val="Hypertextovodkaz"/>
            <w:noProof/>
          </w:rPr>
          <w:t>Podíl vzorků s překročeným max. povoleným limitem reziduí POR z celkového počtu analyzovaných potravin v ČR, v EU a ve třetích zemí za období 2012-2020 v %</w:t>
        </w:r>
        <w:r>
          <w:rPr>
            <w:noProof/>
            <w:webHidden/>
          </w:rPr>
          <w:tab/>
        </w:r>
        <w:r>
          <w:rPr>
            <w:noProof/>
            <w:webHidden/>
          </w:rPr>
          <w:fldChar w:fldCharType="begin"/>
        </w:r>
        <w:r>
          <w:rPr>
            <w:noProof/>
            <w:webHidden/>
          </w:rPr>
          <w:instrText xml:space="preserve"> PAGEREF _Toc93676666 \h </w:instrText>
        </w:r>
        <w:r>
          <w:rPr>
            <w:noProof/>
            <w:webHidden/>
          </w:rPr>
        </w:r>
        <w:r>
          <w:rPr>
            <w:noProof/>
            <w:webHidden/>
          </w:rPr>
          <w:fldChar w:fldCharType="separate"/>
        </w:r>
        <w:r>
          <w:rPr>
            <w:noProof/>
            <w:webHidden/>
          </w:rPr>
          <w:t>29</w:t>
        </w:r>
        <w:r>
          <w:rPr>
            <w:noProof/>
            <w:webHidden/>
          </w:rPr>
          <w:fldChar w:fldCharType="end"/>
        </w:r>
      </w:hyperlink>
    </w:p>
    <w:p w14:paraId="58025815" w14:textId="00E894AB" w:rsidR="00A93193" w:rsidRDefault="00A93193">
      <w:pPr>
        <w:pStyle w:val="Obsah4"/>
        <w:rPr>
          <w:rFonts w:asciiTheme="minorHAnsi" w:eastAsiaTheme="minorEastAsia" w:hAnsiTheme="minorHAnsi"/>
          <w:noProof/>
          <w:sz w:val="22"/>
          <w:szCs w:val="22"/>
          <w:lang w:val="cs-CZ" w:eastAsia="cs-CZ"/>
        </w:rPr>
      </w:pPr>
      <w:hyperlink w:anchor="_Toc93676667" w:history="1">
        <w:r w:rsidRPr="003C2903">
          <w:rPr>
            <w:rStyle w:val="Hypertextovodkaz"/>
            <w:noProof/>
          </w:rPr>
          <w:t>Graf 9</w:t>
        </w:r>
        <w:r>
          <w:rPr>
            <w:rFonts w:asciiTheme="minorHAnsi" w:eastAsiaTheme="minorEastAsia" w:hAnsiTheme="minorHAnsi"/>
            <w:noProof/>
            <w:sz w:val="22"/>
            <w:szCs w:val="22"/>
            <w:lang w:val="cs-CZ" w:eastAsia="cs-CZ"/>
          </w:rPr>
          <w:t xml:space="preserve"> </w:t>
        </w:r>
        <w:r w:rsidRPr="003C2903">
          <w:rPr>
            <w:rStyle w:val="Hypertextovodkaz"/>
            <w:noProof/>
          </w:rPr>
          <w:t>Nálezy reziduí těžkých kovů u vybraných komodit rostlinného původu v rámci plánovaných kontrol cizorodých látek v letech 2012- 2020</w:t>
        </w:r>
        <w:r>
          <w:rPr>
            <w:noProof/>
            <w:webHidden/>
          </w:rPr>
          <w:tab/>
        </w:r>
        <w:r>
          <w:rPr>
            <w:noProof/>
            <w:webHidden/>
          </w:rPr>
          <w:fldChar w:fldCharType="begin"/>
        </w:r>
        <w:r>
          <w:rPr>
            <w:noProof/>
            <w:webHidden/>
          </w:rPr>
          <w:instrText xml:space="preserve"> PAGEREF _Toc93676667 \h </w:instrText>
        </w:r>
        <w:r>
          <w:rPr>
            <w:noProof/>
            <w:webHidden/>
          </w:rPr>
        </w:r>
        <w:r>
          <w:rPr>
            <w:noProof/>
            <w:webHidden/>
          </w:rPr>
          <w:fldChar w:fldCharType="separate"/>
        </w:r>
        <w:r>
          <w:rPr>
            <w:noProof/>
            <w:webHidden/>
          </w:rPr>
          <w:t>38</w:t>
        </w:r>
        <w:r>
          <w:rPr>
            <w:noProof/>
            <w:webHidden/>
          </w:rPr>
          <w:fldChar w:fldCharType="end"/>
        </w:r>
      </w:hyperlink>
    </w:p>
    <w:p w14:paraId="6CFA08C6" w14:textId="3773BD7B" w:rsidR="00A93193" w:rsidRDefault="00A93193">
      <w:pPr>
        <w:pStyle w:val="Obsah4"/>
        <w:rPr>
          <w:rFonts w:asciiTheme="minorHAnsi" w:eastAsiaTheme="minorEastAsia" w:hAnsiTheme="minorHAnsi"/>
          <w:noProof/>
          <w:sz w:val="22"/>
          <w:szCs w:val="22"/>
          <w:lang w:val="cs-CZ" w:eastAsia="cs-CZ"/>
        </w:rPr>
      </w:pPr>
      <w:hyperlink w:anchor="_Toc93676668" w:history="1">
        <w:r w:rsidRPr="003C2903">
          <w:rPr>
            <w:rStyle w:val="Hypertextovodkaz"/>
            <w:noProof/>
          </w:rPr>
          <w:t>Graf 10</w:t>
        </w:r>
        <w:r>
          <w:rPr>
            <w:rFonts w:asciiTheme="minorHAnsi" w:eastAsiaTheme="minorEastAsia" w:hAnsiTheme="minorHAnsi"/>
            <w:noProof/>
            <w:sz w:val="22"/>
            <w:szCs w:val="22"/>
            <w:lang w:val="cs-CZ" w:eastAsia="cs-CZ"/>
          </w:rPr>
          <w:t xml:space="preserve"> </w:t>
        </w:r>
        <w:r w:rsidRPr="003C2903">
          <w:rPr>
            <w:rStyle w:val="Hypertextovodkaz"/>
            <w:noProof/>
          </w:rPr>
          <w:t>Data o celkových spotřebě veterinárních ATM za rok 2017, ČR v porovnání s ostatními evropskými zeměmi (v mg/PCU)</w:t>
        </w:r>
        <w:r>
          <w:rPr>
            <w:noProof/>
            <w:webHidden/>
          </w:rPr>
          <w:tab/>
          <w:t>……………………………………………………………………………………………...</w:t>
        </w:r>
        <w:r>
          <w:rPr>
            <w:noProof/>
            <w:webHidden/>
          </w:rPr>
          <w:fldChar w:fldCharType="begin"/>
        </w:r>
        <w:r>
          <w:rPr>
            <w:noProof/>
            <w:webHidden/>
          </w:rPr>
          <w:instrText xml:space="preserve"> PAGEREF _Toc93676668 \h </w:instrText>
        </w:r>
        <w:r>
          <w:rPr>
            <w:noProof/>
            <w:webHidden/>
          </w:rPr>
        </w:r>
        <w:r>
          <w:rPr>
            <w:noProof/>
            <w:webHidden/>
          </w:rPr>
          <w:fldChar w:fldCharType="separate"/>
        </w:r>
        <w:r>
          <w:rPr>
            <w:noProof/>
            <w:webHidden/>
          </w:rPr>
          <w:t>64</w:t>
        </w:r>
        <w:r>
          <w:rPr>
            <w:noProof/>
            <w:webHidden/>
          </w:rPr>
          <w:fldChar w:fldCharType="end"/>
        </w:r>
      </w:hyperlink>
    </w:p>
    <w:p w14:paraId="4F2F8A64" w14:textId="564FF48D" w:rsidR="00A93193" w:rsidRDefault="00A93193">
      <w:pPr>
        <w:pStyle w:val="Obsah4"/>
        <w:rPr>
          <w:rFonts w:asciiTheme="minorHAnsi" w:eastAsiaTheme="minorEastAsia" w:hAnsiTheme="minorHAnsi"/>
          <w:noProof/>
          <w:sz w:val="22"/>
          <w:szCs w:val="22"/>
          <w:lang w:val="cs-CZ" w:eastAsia="cs-CZ"/>
        </w:rPr>
      </w:pPr>
      <w:hyperlink w:anchor="_Toc93676669" w:history="1">
        <w:r w:rsidRPr="003C2903">
          <w:rPr>
            <w:rStyle w:val="Hypertextovodkaz"/>
            <w:noProof/>
          </w:rPr>
          <w:t>Graf 11</w:t>
        </w:r>
        <w:r>
          <w:rPr>
            <w:rFonts w:asciiTheme="minorHAnsi" w:eastAsiaTheme="minorEastAsia" w:hAnsiTheme="minorHAnsi"/>
            <w:noProof/>
            <w:sz w:val="22"/>
            <w:szCs w:val="22"/>
            <w:lang w:val="cs-CZ" w:eastAsia="cs-CZ"/>
          </w:rPr>
          <w:t xml:space="preserve"> </w:t>
        </w:r>
        <w:r w:rsidRPr="003C2903">
          <w:rPr>
            <w:rStyle w:val="Hypertextovodkaz"/>
            <w:noProof/>
          </w:rPr>
          <w:t>Spotřeby vet</w:t>
        </w:r>
        <w:r>
          <w:rPr>
            <w:rStyle w:val="Hypertextovodkaz"/>
            <w:noProof/>
          </w:rPr>
          <w:t>.</w:t>
        </w:r>
        <w:r w:rsidRPr="003C2903">
          <w:rPr>
            <w:rStyle w:val="Hypertextovodkaz"/>
            <w:noProof/>
          </w:rPr>
          <w:t xml:space="preserve"> antimikrobik v mg/PCU ve vybraných zemích EU za roky 2013, 2015 až 2018</w:t>
        </w:r>
        <w:r>
          <w:rPr>
            <w:noProof/>
            <w:webHidden/>
          </w:rPr>
          <w:tab/>
        </w:r>
        <w:r>
          <w:rPr>
            <w:noProof/>
            <w:webHidden/>
          </w:rPr>
          <w:fldChar w:fldCharType="begin"/>
        </w:r>
        <w:r>
          <w:rPr>
            <w:noProof/>
            <w:webHidden/>
          </w:rPr>
          <w:instrText xml:space="preserve"> PAGEREF _Toc93676669 \h </w:instrText>
        </w:r>
        <w:r>
          <w:rPr>
            <w:noProof/>
            <w:webHidden/>
          </w:rPr>
        </w:r>
        <w:r>
          <w:rPr>
            <w:noProof/>
            <w:webHidden/>
          </w:rPr>
          <w:fldChar w:fldCharType="separate"/>
        </w:r>
        <w:r>
          <w:rPr>
            <w:noProof/>
            <w:webHidden/>
          </w:rPr>
          <w:t>65</w:t>
        </w:r>
        <w:r>
          <w:rPr>
            <w:noProof/>
            <w:webHidden/>
          </w:rPr>
          <w:fldChar w:fldCharType="end"/>
        </w:r>
      </w:hyperlink>
    </w:p>
    <w:p w14:paraId="6DDCFEE9" w14:textId="565E1F43" w:rsidR="00A93193" w:rsidRDefault="00A93193">
      <w:pPr>
        <w:pStyle w:val="Obsah4"/>
        <w:rPr>
          <w:rFonts w:asciiTheme="minorHAnsi" w:eastAsiaTheme="minorEastAsia" w:hAnsiTheme="minorHAnsi"/>
          <w:noProof/>
          <w:sz w:val="22"/>
          <w:szCs w:val="22"/>
          <w:lang w:val="cs-CZ" w:eastAsia="cs-CZ"/>
        </w:rPr>
      </w:pPr>
      <w:hyperlink w:anchor="_Toc93676670" w:history="1">
        <w:r w:rsidRPr="003C2903">
          <w:rPr>
            <w:rStyle w:val="Hypertextovodkaz"/>
            <w:noProof/>
          </w:rPr>
          <w:t>Graf 12</w:t>
        </w:r>
        <w:r>
          <w:rPr>
            <w:rFonts w:asciiTheme="minorHAnsi" w:eastAsiaTheme="minorEastAsia" w:hAnsiTheme="minorHAnsi"/>
            <w:noProof/>
            <w:sz w:val="22"/>
            <w:szCs w:val="22"/>
            <w:lang w:val="cs-CZ" w:eastAsia="cs-CZ"/>
          </w:rPr>
          <w:t xml:space="preserve"> </w:t>
        </w:r>
        <w:r w:rsidRPr="003C2903">
          <w:rPr>
            <w:rStyle w:val="Hypertextovodkaz"/>
            <w:noProof/>
          </w:rPr>
          <w:t>Odpověď respondentů s chovem dojnic na otázku Jak vnímáte problematiku používání antibiotik u zvířat a problematiku rezistence k antimikrobikům?</w:t>
        </w:r>
        <w:r>
          <w:rPr>
            <w:noProof/>
            <w:webHidden/>
          </w:rPr>
          <w:tab/>
        </w:r>
        <w:r>
          <w:rPr>
            <w:noProof/>
            <w:webHidden/>
          </w:rPr>
          <w:fldChar w:fldCharType="begin"/>
        </w:r>
        <w:r>
          <w:rPr>
            <w:noProof/>
            <w:webHidden/>
          </w:rPr>
          <w:instrText xml:space="preserve"> PAGEREF _Toc93676670 \h </w:instrText>
        </w:r>
        <w:r>
          <w:rPr>
            <w:noProof/>
            <w:webHidden/>
          </w:rPr>
        </w:r>
        <w:r>
          <w:rPr>
            <w:noProof/>
            <w:webHidden/>
          </w:rPr>
          <w:fldChar w:fldCharType="separate"/>
        </w:r>
        <w:r>
          <w:rPr>
            <w:noProof/>
            <w:webHidden/>
          </w:rPr>
          <w:t>68</w:t>
        </w:r>
        <w:r>
          <w:rPr>
            <w:noProof/>
            <w:webHidden/>
          </w:rPr>
          <w:fldChar w:fldCharType="end"/>
        </w:r>
      </w:hyperlink>
    </w:p>
    <w:p w14:paraId="522C0FA7" w14:textId="48C061F5" w:rsidR="00A93193" w:rsidRDefault="00A93193">
      <w:pPr>
        <w:pStyle w:val="Obsah4"/>
        <w:rPr>
          <w:rFonts w:asciiTheme="minorHAnsi" w:eastAsiaTheme="minorEastAsia" w:hAnsiTheme="minorHAnsi"/>
          <w:noProof/>
          <w:sz w:val="22"/>
          <w:szCs w:val="22"/>
          <w:lang w:val="cs-CZ" w:eastAsia="cs-CZ"/>
        </w:rPr>
      </w:pPr>
      <w:hyperlink w:anchor="_Toc93676671" w:history="1">
        <w:r w:rsidRPr="003C2903">
          <w:rPr>
            <w:rStyle w:val="Hypertextovodkaz"/>
            <w:noProof/>
          </w:rPr>
          <w:t>Graf 13</w:t>
        </w:r>
        <w:r>
          <w:rPr>
            <w:rFonts w:asciiTheme="minorHAnsi" w:eastAsiaTheme="minorEastAsia" w:hAnsiTheme="minorHAnsi"/>
            <w:noProof/>
            <w:sz w:val="22"/>
            <w:szCs w:val="22"/>
            <w:lang w:val="cs-CZ" w:eastAsia="cs-CZ"/>
          </w:rPr>
          <w:t xml:space="preserve"> </w:t>
        </w:r>
        <w:r w:rsidRPr="003C2903">
          <w:rPr>
            <w:rStyle w:val="Hypertextovodkaz"/>
            <w:noProof/>
          </w:rPr>
          <w:t>Odpověď respondentů s chovem dojnic na otázku „Které nejvýznamnější faktory ovlivňují nejčastěji vaše rozhodnutí o použití antibiotik v chovu?“</w:t>
        </w:r>
        <w:r>
          <w:rPr>
            <w:noProof/>
            <w:webHidden/>
          </w:rPr>
          <w:tab/>
        </w:r>
        <w:r>
          <w:rPr>
            <w:noProof/>
            <w:webHidden/>
          </w:rPr>
          <w:fldChar w:fldCharType="begin"/>
        </w:r>
        <w:r>
          <w:rPr>
            <w:noProof/>
            <w:webHidden/>
          </w:rPr>
          <w:instrText xml:space="preserve"> PAGEREF _Toc93676671 \h </w:instrText>
        </w:r>
        <w:r>
          <w:rPr>
            <w:noProof/>
            <w:webHidden/>
          </w:rPr>
        </w:r>
        <w:r>
          <w:rPr>
            <w:noProof/>
            <w:webHidden/>
          </w:rPr>
          <w:fldChar w:fldCharType="separate"/>
        </w:r>
        <w:r>
          <w:rPr>
            <w:noProof/>
            <w:webHidden/>
          </w:rPr>
          <w:t>69</w:t>
        </w:r>
        <w:r>
          <w:rPr>
            <w:noProof/>
            <w:webHidden/>
          </w:rPr>
          <w:fldChar w:fldCharType="end"/>
        </w:r>
      </w:hyperlink>
    </w:p>
    <w:p w14:paraId="7F615FCB" w14:textId="5C90F0A4" w:rsidR="00A93193" w:rsidRDefault="00A93193">
      <w:pPr>
        <w:pStyle w:val="Obsah4"/>
        <w:rPr>
          <w:rFonts w:asciiTheme="minorHAnsi" w:eastAsiaTheme="minorEastAsia" w:hAnsiTheme="minorHAnsi"/>
          <w:noProof/>
          <w:sz w:val="22"/>
          <w:szCs w:val="22"/>
          <w:lang w:val="cs-CZ" w:eastAsia="cs-CZ"/>
        </w:rPr>
      </w:pPr>
      <w:hyperlink w:anchor="_Toc93676672" w:history="1">
        <w:r w:rsidRPr="003C2903">
          <w:rPr>
            <w:rStyle w:val="Hypertextovodkaz"/>
            <w:noProof/>
          </w:rPr>
          <w:t>Graf 14</w:t>
        </w:r>
        <w:r>
          <w:rPr>
            <w:rFonts w:asciiTheme="minorHAnsi" w:eastAsiaTheme="minorEastAsia" w:hAnsiTheme="minorHAnsi"/>
            <w:noProof/>
            <w:sz w:val="22"/>
            <w:szCs w:val="22"/>
            <w:lang w:val="cs-CZ" w:eastAsia="cs-CZ"/>
          </w:rPr>
          <w:t xml:space="preserve"> </w:t>
        </w:r>
        <w:r w:rsidRPr="003C2903">
          <w:rPr>
            <w:rStyle w:val="Hypertextovodkaz"/>
            <w:noProof/>
          </w:rPr>
          <w:t>Důvody vyřazení krav z kontroly užitkovosti  - průměr období 2012/13 až 2020/21</w:t>
        </w:r>
        <w:r>
          <w:rPr>
            <w:noProof/>
            <w:webHidden/>
          </w:rPr>
          <w:tab/>
        </w:r>
        <w:r>
          <w:rPr>
            <w:noProof/>
            <w:webHidden/>
          </w:rPr>
          <w:fldChar w:fldCharType="begin"/>
        </w:r>
        <w:r>
          <w:rPr>
            <w:noProof/>
            <w:webHidden/>
          </w:rPr>
          <w:instrText xml:space="preserve"> PAGEREF _Toc93676672 \h </w:instrText>
        </w:r>
        <w:r>
          <w:rPr>
            <w:noProof/>
            <w:webHidden/>
          </w:rPr>
        </w:r>
        <w:r>
          <w:rPr>
            <w:noProof/>
            <w:webHidden/>
          </w:rPr>
          <w:fldChar w:fldCharType="separate"/>
        </w:r>
        <w:r>
          <w:rPr>
            <w:noProof/>
            <w:webHidden/>
          </w:rPr>
          <w:t>93</w:t>
        </w:r>
        <w:r>
          <w:rPr>
            <w:noProof/>
            <w:webHidden/>
          </w:rPr>
          <w:fldChar w:fldCharType="end"/>
        </w:r>
      </w:hyperlink>
    </w:p>
    <w:p w14:paraId="55A4DEB0" w14:textId="4621D50F" w:rsidR="00A93193" w:rsidRDefault="00A93193">
      <w:pPr>
        <w:pStyle w:val="Obsah4"/>
        <w:rPr>
          <w:rFonts w:asciiTheme="minorHAnsi" w:eastAsiaTheme="minorEastAsia" w:hAnsiTheme="minorHAnsi"/>
          <w:noProof/>
          <w:sz w:val="22"/>
          <w:szCs w:val="22"/>
          <w:lang w:val="cs-CZ" w:eastAsia="cs-CZ"/>
        </w:rPr>
      </w:pPr>
      <w:hyperlink w:anchor="_Toc93676673" w:history="1">
        <w:r w:rsidRPr="003C2903">
          <w:rPr>
            <w:rStyle w:val="Hypertextovodkaz"/>
            <w:noProof/>
          </w:rPr>
          <w:t>Graf 15</w:t>
        </w:r>
        <w:r>
          <w:rPr>
            <w:rFonts w:asciiTheme="minorHAnsi" w:eastAsiaTheme="minorEastAsia" w:hAnsiTheme="minorHAnsi"/>
            <w:noProof/>
            <w:sz w:val="22"/>
            <w:szCs w:val="22"/>
            <w:lang w:val="cs-CZ" w:eastAsia="cs-CZ"/>
          </w:rPr>
          <w:t xml:space="preserve"> </w:t>
        </w:r>
        <w:r w:rsidRPr="003C2903">
          <w:rPr>
            <w:rStyle w:val="Hypertextovodkaz"/>
            <w:noProof/>
          </w:rPr>
          <w:t>Problematika výskytu onemocnění dojnic podle údajů respondentů - chovatelů v %</w:t>
        </w:r>
        <w:r>
          <w:rPr>
            <w:noProof/>
            <w:webHidden/>
          </w:rPr>
          <w:tab/>
        </w:r>
        <w:r>
          <w:rPr>
            <w:noProof/>
            <w:webHidden/>
          </w:rPr>
          <w:fldChar w:fldCharType="begin"/>
        </w:r>
        <w:r>
          <w:rPr>
            <w:noProof/>
            <w:webHidden/>
          </w:rPr>
          <w:instrText xml:space="preserve"> PAGEREF _Toc93676673 \h </w:instrText>
        </w:r>
        <w:r>
          <w:rPr>
            <w:noProof/>
            <w:webHidden/>
          </w:rPr>
        </w:r>
        <w:r>
          <w:rPr>
            <w:noProof/>
            <w:webHidden/>
          </w:rPr>
          <w:fldChar w:fldCharType="separate"/>
        </w:r>
        <w:r>
          <w:rPr>
            <w:noProof/>
            <w:webHidden/>
          </w:rPr>
          <w:t>94</w:t>
        </w:r>
        <w:r>
          <w:rPr>
            <w:noProof/>
            <w:webHidden/>
          </w:rPr>
          <w:fldChar w:fldCharType="end"/>
        </w:r>
      </w:hyperlink>
    </w:p>
    <w:p w14:paraId="30FFEE2A" w14:textId="22DBFD67" w:rsidR="00A93193" w:rsidRDefault="00A93193">
      <w:pPr>
        <w:pStyle w:val="Obsah4"/>
        <w:rPr>
          <w:rFonts w:asciiTheme="minorHAnsi" w:eastAsiaTheme="minorEastAsia" w:hAnsiTheme="minorHAnsi"/>
          <w:noProof/>
          <w:sz w:val="22"/>
          <w:szCs w:val="22"/>
          <w:lang w:val="cs-CZ" w:eastAsia="cs-CZ"/>
        </w:rPr>
      </w:pPr>
      <w:hyperlink w:anchor="_Toc93676674" w:history="1">
        <w:r w:rsidRPr="003C2903">
          <w:rPr>
            <w:rStyle w:val="Hypertextovodkaz"/>
            <w:noProof/>
          </w:rPr>
          <w:t>Graf 16</w:t>
        </w:r>
        <w:r>
          <w:rPr>
            <w:rFonts w:asciiTheme="minorHAnsi" w:eastAsiaTheme="minorEastAsia" w:hAnsiTheme="minorHAnsi"/>
            <w:noProof/>
            <w:sz w:val="22"/>
            <w:szCs w:val="22"/>
            <w:lang w:val="cs-CZ" w:eastAsia="cs-CZ"/>
          </w:rPr>
          <w:t xml:space="preserve"> </w:t>
        </w:r>
        <w:r w:rsidRPr="003C2903">
          <w:rPr>
            <w:rStyle w:val="Hypertextovodkaz"/>
            <w:noProof/>
          </w:rPr>
          <w:t>Výskyt onemocnění mléčné žlázy dojnic podle diagnózy dle údajů respondentů v %</w:t>
        </w:r>
        <w:r>
          <w:rPr>
            <w:noProof/>
            <w:webHidden/>
          </w:rPr>
          <w:tab/>
        </w:r>
        <w:r>
          <w:rPr>
            <w:noProof/>
            <w:webHidden/>
          </w:rPr>
          <w:fldChar w:fldCharType="begin"/>
        </w:r>
        <w:r>
          <w:rPr>
            <w:noProof/>
            <w:webHidden/>
          </w:rPr>
          <w:instrText xml:space="preserve"> PAGEREF _Toc93676674 \h </w:instrText>
        </w:r>
        <w:r>
          <w:rPr>
            <w:noProof/>
            <w:webHidden/>
          </w:rPr>
        </w:r>
        <w:r>
          <w:rPr>
            <w:noProof/>
            <w:webHidden/>
          </w:rPr>
          <w:fldChar w:fldCharType="separate"/>
        </w:r>
        <w:r>
          <w:rPr>
            <w:noProof/>
            <w:webHidden/>
          </w:rPr>
          <w:t>95</w:t>
        </w:r>
        <w:r>
          <w:rPr>
            <w:noProof/>
            <w:webHidden/>
          </w:rPr>
          <w:fldChar w:fldCharType="end"/>
        </w:r>
      </w:hyperlink>
    </w:p>
    <w:p w14:paraId="65608E22" w14:textId="22617602" w:rsidR="00A93193" w:rsidRDefault="00A93193">
      <w:pPr>
        <w:pStyle w:val="Obsah4"/>
        <w:rPr>
          <w:rFonts w:asciiTheme="minorHAnsi" w:eastAsiaTheme="minorEastAsia" w:hAnsiTheme="minorHAnsi"/>
          <w:noProof/>
          <w:sz w:val="22"/>
          <w:szCs w:val="22"/>
          <w:lang w:val="cs-CZ" w:eastAsia="cs-CZ"/>
        </w:rPr>
      </w:pPr>
      <w:hyperlink w:anchor="_Toc93676675" w:history="1">
        <w:r w:rsidRPr="003C2903">
          <w:rPr>
            <w:rStyle w:val="Hypertextovodkaz"/>
            <w:noProof/>
          </w:rPr>
          <w:t>Graf 17</w:t>
        </w:r>
        <w:r>
          <w:rPr>
            <w:rFonts w:asciiTheme="minorHAnsi" w:eastAsiaTheme="minorEastAsia" w:hAnsiTheme="minorHAnsi"/>
            <w:noProof/>
            <w:sz w:val="22"/>
            <w:szCs w:val="22"/>
            <w:lang w:val="cs-CZ" w:eastAsia="cs-CZ"/>
          </w:rPr>
          <w:t xml:space="preserve"> </w:t>
        </w:r>
        <w:r w:rsidRPr="003C2903">
          <w:rPr>
            <w:rStyle w:val="Hypertextovodkaz"/>
            <w:noProof/>
          </w:rPr>
          <w:t>Podíl nosnic chovaných v roce 2019 podle technologie ve vybraných zemích EU (v % z celkového počtu nosnic v dané zemi)</w:t>
        </w:r>
        <w:r>
          <w:rPr>
            <w:noProof/>
            <w:webHidden/>
          </w:rPr>
          <w:tab/>
          <w:t>……………………………………………………………………………………………...</w:t>
        </w:r>
        <w:r>
          <w:rPr>
            <w:noProof/>
            <w:webHidden/>
          </w:rPr>
          <w:fldChar w:fldCharType="begin"/>
        </w:r>
        <w:r>
          <w:rPr>
            <w:noProof/>
            <w:webHidden/>
          </w:rPr>
          <w:instrText xml:space="preserve"> PAGEREF _Toc93676675 \h </w:instrText>
        </w:r>
        <w:r>
          <w:rPr>
            <w:noProof/>
            <w:webHidden/>
          </w:rPr>
        </w:r>
        <w:r>
          <w:rPr>
            <w:noProof/>
            <w:webHidden/>
          </w:rPr>
          <w:fldChar w:fldCharType="separate"/>
        </w:r>
        <w:r>
          <w:rPr>
            <w:noProof/>
            <w:webHidden/>
          </w:rPr>
          <w:t>97</w:t>
        </w:r>
        <w:r>
          <w:rPr>
            <w:noProof/>
            <w:webHidden/>
          </w:rPr>
          <w:fldChar w:fldCharType="end"/>
        </w:r>
      </w:hyperlink>
    </w:p>
    <w:p w14:paraId="44399621" w14:textId="0B5BB8C4" w:rsidR="00A93193" w:rsidRDefault="00A93193">
      <w:pPr>
        <w:pStyle w:val="Obsah4"/>
        <w:rPr>
          <w:rFonts w:asciiTheme="minorHAnsi" w:eastAsiaTheme="minorEastAsia" w:hAnsiTheme="minorHAnsi"/>
          <w:noProof/>
          <w:sz w:val="22"/>
          <w:szCs w:val="22"/>
          <w:lang w:val="cs-CZ" w:eastAsia="cs-CZ"/>
        </w:rPr>
      </w:pPr>
      <w:hyperlink w:anchor="_Toc93676676" w:history="1">
        <w:r w:rsidRPr="003C2903">
          <w:rPr>
            <w:rStyle w:val="Hypertextovodkaz"/>
            <w:noProof/>
          </w:rPr>
          <w:t>Graf 18</w:t>
        </w:r>
        <w:r>
          <w:rPr>
            <w:rFonts w:asciiTheme="minorHAnsi" w:eastAsiaTheme="minorEastAsia" w:hAnsiTheme="minorHAnsi"/>
            <w:noProof/>
            <w:sz w:val="22"/>
            <w:szCs w:val="22"/>
            <w:lang w:val="cs-CZ" w:eastAsia="cs-CZ"/>
          </w:rPr>
          <w:t xml:space="preserve"> </w:t>
        </w:r>
        <w:r w:rsidRPr="003C2903">
          <w:rPr>
            <w:rStyle w:val="Hypertextovodkaz"/>
            <w:noProof/>
          </w:rPr>
          <w:t>Počet žadatelů – podopatření dojnice (2015 – 2020)</w:t>
        </w:r>
        <w:r>
          <w:rPr>
            <w:noProof/>
            <w:webHidden/>
          </w:rPr>
          <w:tab/>
        </w:r>
        <w:r>
          <w:rPr>
            <w:noProof/>
            <w:webHidden/>
          </w:rPr>
          <w:fldChar w:fldCharType="begin"/>
        </w:r>
        <w:r>
          <w:rPr>
            <w:noProof/>
            <w:webHidden/>
          </w:rPr>
          <w:instrText xml:space="preserve"> PAGEREF _Toc93676676 \h </w:instrText>
        </w:r>
        <w:r>
          <w:rPr>
            <w:noProof/>
            <w:webHidden/>
          </w:rPr>
        </w:r>
        <w:r>
          <w:rPr>
            <w:noProof/>
            <w:webHidden/>
          </w:rPr>
          <w:fldChar w:fldCharType="separate"/>
        </w:r>
        <w:r>
          <w:rPr>
            <w:noProof/>
            <w:webHidden/>
          </w:rPr>
          <w:t>101</w:t>
        </w:r>
        <w:r>
          <w:rPr>
            <w:noProof/>
            <w:webHidden/>
          </w:rPr>
          <w:fldChar w:fldCharType="end"/>
        </w:r>
      </w:hyperlink>
    </w:p>
    <w:p w14:paraId="7041396A" w14:textId="20A0D646" w:rsidR="00A93193" w:rsidRDefault="00A93193">
      <w:pPr>
        <w:pStyle w:val="Obsah4"/>
        <w:rPr>
          <w:rFonts w:asciiTheme="minorHAnsi" w:eastAsiaTheme="minorEastAsia" w:hAnsiTheme="minorHAnsi"/>
          <w:noProof/>
          <w:sz w:val="22"/>
          <w:szCs w:val="22"/>
          <w:lang w:val="cs-CZ" w:eastAsia="cs-CZ"/>
        </w:rPr>
      </w:pPr>
      <w:hyperlink w:anchor="_Toc93676677" w:history="1">
        <w:r w:rsidRPr="003C2903">
          <w:rPr>
            <w:rStyle w:val="Hypertextovodkaz"/>
            <w:bCs/>
            <w:noProof/>
          </w:rPr>
          <w:t>Graf 19</w:t>
        </w:r>
        <w:r>
          <w:rPr>
            <w:rFonts w:asciiTheme="minorHAnsi" w:eastAsiaTheme="minorEastAsia" w:hAnsiTheme="minorHAnsi"/>
            <w:noProof/>
            <w:sz w:val="22"/>
            <w:szCs w:val="22"/>
            <w:lang w:val="cs-CZ" w:eastAsia="cs-CZ"/>
          </w:rPr>
          <w:t xml:space="preserve"> </w:t>
        </w:r>
        <w:r w:rsidRPr="003C2903">
          <w:rPr>
            <w:rStyle w:val="Hypertextovodkaz"/>
            <w:noProof/>
          </w:rPr>
          <w:t>Počet VDJ dojnic přihlášených do podopatření (2015-2020)</w:t>
        </w:r>
        <w:r>
          <w:rPr>
            <w:noProof/>
            <w:webHidden/>
          </w:rPr>
          <w:tab/>
        </w:r>
        <w:r>
          <w:rPr>
            <w:noProof/>
            <w:webHidden/>
          </w:rPr>
          <w:fldChar w:fldCharType="begin"/>
        </w:r>
        <w:r>
          <w:rPr>
            <w:noProof/>
            <w:webHidden/>
          </w:rPr>
          <w:instrText xml:space="preserve"> PAGEREF _Toc93676677 \h </w:instrText>
        </w:r>
        <w:r>
          <w:rPr>
            <w:noProof/>
            <w:webHidden/>
          </w:rPr>
        </w:r>
        <w:r>
          <w:rPr>
            <w:noProof/>
            <w:webHidden/>
          </w:rPr>
          <w:fldChar w:fldCharType="separate"/>
        </w:r>
        <w:r>
          <w:rPr>
            <w:noProof/>
            <w:webHidden/>
          </w:rPr>
          <w:t>102</w:t>
        </w:r>
        <w:r>
          <w:rPr>
            <w:noProof/>
            <w:webHidden/>
          </w:rPr>
          <w:fldChar w:fldCharType="end"/>
        </w:r>
      </w:hyperlink>
    </w:p>
    <w:p w14:paraId="11449803" w14:textId="6E7178DE" w:rsidR="00A93193" w:rsidRDefault="00A93193">
      <w:pPr>
        <w:pStyle w:val="Obsah4"/>
        <w:rPr>
          <w:rFonts w:asciiTheme="minorHAnsi" w:eastAsiaTheme="minorEastAsia" w:hAnsiTheme="minorHAnsi"/>
          <w:noProof/>
          <w:sz w:val="22"/>
          <w:szCs w:val="22"/>
          <w:lang w:val="cs-CZ" w:eastAsia="cs-CZ"/>
        </w:rPr>
      </w:pPr>
      <w:hyperlink w:anchor="_Toc93676678" w:history="1">
        <w:r w:rsidRPr="003C2903">
          <w:rPr>
            <w:rStyle w:val="Hypertextovodkaz"/>
            <w:noProof/>
          </w:rPr>
          <w:t>Graf 20</w:t>
        </w:r>
        <w:r>
          <w:rPr>
            <w:rFonts w:asciiTheme="minorHAnsi" w:eastAsiaTheme="minorEastAsia" w:hAnsiTheme="minorHAnsi"/>
            <w:noProof/>
            <w:sz w:val="22"/>
            <w:szCs w:val="22"/>
            <w:lang w:val="cs-CZ" w:eastAsia="cs-CZ"/>
          </w:rPr>
          <w:t xml:space="preserve"> </w:t>
        </w:r>
        <w:r w:rsidRPr="003C2903">
          <w:rPr>
            <w:rStyle w:val="Hypertextovodkaz"/>
            <w:noProof/>
          </w:rPr>
          <w:t>Počet žadatelů – podopatření prasata (2015 – 2020)</w:t>
        </w:r>
        <w:r>
          <w:rPr>
            <w:noProof/>
            <w:webHidden/>
          </w:rPr>
          <w:tab/>
        </w:r>
        <w:r>
          <w:rPr>
            <w:noProof/>
            <w:webHidden/>
          </w:rPr>
          <w:fldChar w:fldCharType="begin"/>
        </w:r>
        <w:r>
          <w:rPr>
            <w:noProof/>
            <w:webHidden/>
          </w:rPr>
          <w:instrText xml:space="preserve"> PAGEREF _Toc93676678 \h </w:instrText>
        </w:r>
        <w:r>
          <w:rPr>
            <w:noProof/>
            <w:webHidden/>
          </w:rPr>
        </w:r>
        <w:r>
          <w:rPr>
            <w:noProof/>
            <w:webHidden/>
          </w:rPr>
          <w:fldChar w:fldCharType="separate"/>
        </w:r>
        <w:r>
          <w:rPr>
            <w:noProof/>
            <w:webHidden/>
          </w:rPr>
          <w:t>102</w:t>
        </w:r>
        <w:r>
          <w:rPr>
            <w:noProof/>
            <w:webHidden/>
          </w:rPr>
          <w:fldChar w:fldCharType="end"/>
        </w:r>
      </w:hyperlink>
    </w:p>
    <w:p w14:paraId="0F88725A" w14:textId="5B36E639" w:rsidR="00A93193" w:rsidRDefault="00A93193">
      <w:pPr>
        <w:pStyle w:val="Obsah4"/>
        <w:rPr>
          <w:rFonts w:asciiTheme="minorHAnsi" w:eastAsiaTheme="minorEastAsia" w:hAnsiTheme="minorHAnsi"/>
          <w:noProof/>
          <w:sz w:val="22"/>
          <w:szCs w:val="22"/>
          <w:lang w:val="cs-CZ" w:eastAsia="cs-CZ"/>
        </w:rPr>
      </w:pPr>
      <w:hyperlink w:anchor="_Toc93676679" w:history="1">
        <w:r w:rsidRPr="003C2903">
          <w:rPr>
            <w:rStyle w:val="Hypertextovodkaz"/>
            <w:noProof/>
          </w:rPr>
          <w:t>Graf 21</w:t>
        </w:r>
        <w:r>
          <w:rPr>
            <w:rFonts w:asciiTheme="minorHAnsi" w:eastAsiaTheme="minorEastAsia" w:hAnsiTheme="minorHAnsi"/>
            <w:noProof/>
            <w:sz w:val="22"/>
            <w:szCs w:val="22"/>
            <w:lang w:val="cs-CZ" w:eastAsia="cs-CZ"/>
          </w:rPr>
          <w:t xml:space="preserve"> </w:t>
        </w:r>
        <w:r w:rsidRPr="003C2903">
          <w:rPr>
            <w:rStyle w:val="Hypertextovodkaz"/>
            <w:noProof/>
          </w:rPr>
          <w:t>Počet VDJ prasat zařazených v opatření (2015 - 2020)</w:t>
        </w:r>
        <w:r>
          <w:rPr>
            <w:noProof/>
            <w:webHidden/>
          </w:rPr>
          <w:tab/>
        </w:r>
        <w:r>
          <w:rPr>
            <w:noProof/>
            <w:webHidden/>
          </w:rPr>
          <w:fldChar w:fldCharType="begin"/>
        </w:r>
        <w:r>
          <w:rPr>
            <w:noProof/>
            <w:webHidden/>
          </w:rPr>
          <w:instrText xml:space="preserve"> PAGEREF _Toc93676679 \h </w:instrText>
        </w:r>
        <w:r>
          <w:rPr>
            <w:noProof/>
            <w:webHidden/>
          </w:rPr>
        </w:r>
        <w:r>
          <w:rPr>
            <w:noProof/>
            <w:webHidden/>
          </w:rPr>
          <w:fldChar w:fldCharType="separate"/>
        </w:r>
        <w:r>
          <w:rPr>
            <w:noProof/>
            <w:webHidden/>
          </w:rPr>
          <w:t>103</w:t>
        </w:r>
        <w:r>
          <w:rPr>
            <w:noProof/>
            <w:webHidden/>
          </w:rPr>
          <w:fldChar w:fldCharType="end"/>
        </w:r>
      </w:hyperlink>
    </w:p>
    <w:p w14:paraId="00979036" w14:textId="60CCBDD4" w:rsidR="00A93193" w:rsidRDefault="00A93193">
      <w:pPr>
        <w:pStyle w:val="Obsah4"/>
        <w:rPr>
          <w:rFonts w:asciiTheme="minorHAnsi" w:eastAsiaTheme="minorEastAsia" w:hAnsiTheme="minorHAnsi"/>
          <w:noProof/>
          <w:sz w:val="22"/>
          <w:szCs w:val="22"/>
          <w:lang w:val="cs-CZ" w:eastAsia="cs-CZ"/>
        </w:rPr>
      </w:pPr>
      <w:hyperlink w:anchor="_Toc93676680" w:history="1">
        <w:r w:rsidRPr="003C2903">
          <w:rPr>
            <w:rStyle w:val="Hypertextovodkaz"/>
            <w:noProof/>
          </w:rPr>
          <w:t>Graf 22</w:t>
        </w:r>
        <w:r>
          <w:rPr>
            <w:rFonts w:asciiTheme="minorHAnsi" w:eastAsiaTheme="minorEastAsia" w:hAnsiTheme="minorHAnsi"/>
            <w:noProof/>
            <w:sz w:val="22"/>
            <w:szCs w:val="22"/>
            <w:lang w:val="cs-CZ" w:eastAsia="cs-CZ"/>
          </w:rPr>
          <w:t xml:space="preserve"> </w:t>
        </w:r>
        <w:r w:rsidRPr="003C2903">
          <w:rPr>
            <w:rStyle w:val="Hypertextovodkaz"/>
            <w:noProof/>
          </w:rPr>
          <w:t>Množství zachráněných potravin (t)</w:t>
        </w:r>
        <w:r>
          <w:rPr>
            <w:noProof/>
            <w:webHidden/>
          </w:rPr>
          <w:tab/>
        </w:r>
        <w:r>
          <w:rPr>
            <w:noProof/>
            <w:webHidden/>
          </w:rPr>
          <w:fldChar w:fldCharType="begin"/>
        </w:r>
        <w:r>
          <w:rPr>
            <w:noProof/>
            <w:webHidden/>
          </w:rPr>
          <w:instrText xml:space="preserve"> PAGEREF _Toc93676680 \h </w:instrText>
        </w:r>
        <w:r>
          <w:rPr>
            <w:noProof/>
            <w:webHidden/>
          </w:rPr>
        </w:r>
        <w:r>
          <w:rPr>
            <w:noProof/>
            <w:webHidden/>
          </w:rPr>
          <w:fldChar w:fldCharType="separate"/>
        </w:r>
        <w:r>
          <w:rPr>
            <w:noProof/>
            <w:webHidden/>
          </w:rPr>
          <w:t>111</w:t>
        </w:r>
        <w:r>
          <w:rPr>
            <w:noProof/>
            <w:webHidden/>
          </w:rPr>
          <w:fldChar w:fldCharType="end"/>
        </w:r>
      </w:hyperlink>
    </w:p>
    <w:p w14:paraId="71179427" w14:textId="65B72E94" w:rsidR="00C80140" w:rsidRPr="007434DA" w:rsidRDefault="000A319F" w:rsidP="00E862B7">
      <w:pPr>
        <w:tabs>
          <w:tab w:val="left" w:pos="993"/>
        </w:tabs>
        <w:spacing w:line="360" w:lineRule="auto"/>
        <w:ind w:left="993" w:hanging="851"/>
        <w:rPr>
          <w:rFonts w:cs="Times New Roman"/>
          <w:b/>
          <w:bCs/>
          <w:sz w:val="20"/>
          <w:szCs w:val="20"/>
          <w:lang w:val="cs-CZ"/>
        </w:rPr>
      </w:pPr>
      <w:r w:rsidRPr="007434DA">
        <w:rPr>
          <w:rFonts w:cs="Times New Roman"/>
          <w:b/>
          <w:bCs/>
          <w:smallCaps/>
          <w:sz w:val="20"/>
          <w:szCs w:val="20"/>
          <w:lang w:val="cs-CZ"/>
        </w:rPr>
        <w:fldChar w:fldCharType="end"/>
      </w:r>
    </w:p>
    <w:p w14:paraId="1413946E" w14:textId="77777777" w:rsidR="001B7775" w:rsidRPr="007434DA" w:rsidRDefault="001B7775" w:rsidP="00933812">
      <w:pPr>
        <w:ind w:left="993" w:hanging="851"/>
        <w:rPr>
          <w:b/>
          <w:bCs/>
          <w:sz w:val="28"/>
          <w:szCs w:val="28"/>
          <w:lang w:val="cs-CZ"/>
        </w:rPr>
      </w:pPr>
    </w:p>
    <w:p w14:paraId="702F0082" w14:textId="77777777" w:rsidR="001B7775" w:rsidRPr="007434DA" w:rsidRDefault="001B7775" w:rsidP="001E062C">
      <w:pPr>
        <w:rPr>
          <w:b/>
          <w:bCs/>
          <w:sz w:val="28"/>
          <w:szCs w:val="28"/>
          <w:lang w:val="cs-CZ"/>
        </w:rPr>
      </w:pPr>
    </w:p>
    <w:p w14:paraId="0E5E105E" w14:textId="77777777" w:rsidR="001B7775" w:rsidRPr="007434DA" w:rsidRDefault="001B7775" w:rsidP="001E062C">
      <w:pPr>
        <w:rPr>
          <w:b/>
          <w:bCs/>
          <w:sz w:val="28"/>
          <w:szCs w:val="28"/>
          <w:lang w:val="cs-CZ"/>
        </w:rPr>
      </w:pPr>
    </w:p>
    <w:p w14:paraId="1A3D5FD2" w14:textId="77777777" w:rsidR="001B7775" w:rsidRPr="007434DA" w:rsidRDefault="001B7775" w:rsidP="001E062C">
      <w:pPr>
        <w:rPr>
          <w:b/>
          <w:bCs/>
          <w:sz w:val="28"/>
          <w:szCs w:val="28"/>
          <w:lang w:val="cs-CZ"/>
        </w:rPr>
      </w:pPr>
    </w:p>
    <w:p w14:paraId="56571F6E" w14:textId="77777777" w:rsidR="001B7775" w:rsidRPr="007434DA" w:rsidRDefault="001B7775" w:rsidP="001E062C">
      <w:pPr>
        <w:rPr>
          <w:b/>
          <w:bCs/>
          <w:sz w:val="28"/>
          <w:szCs w:val="28"/>
          <w:lang w:val="cs-CZ"/>
        </w:rPr>
      </w:pPr>
    </w:p>
    <w:p w14:paraId="0E065347" w14:textId="77777777" w:rsidR="001B7775" w:rsidRPr="007434DA" w:rsidRDefault="001B7775" w:rsidP="001E062C">
      <w:pPr>
        <w:rPr>
          <w:b/>
          <w:bCs/>
          <w:sz w:val="28"/>
          <w:szCs w:val="28"/>
          <w:lang w:val="cs-CZ"/>
        </w:rPr>
      </w:pPr>
    </w:p>
    <w:p w14:paraId="02A066ED" w14:textId="77777777" w:rsidR="001B7775" w:rsidRPr="007434DA" w:rsidRDefault="001B7775" w:rsidP="001E062C">
      <w:pPr>
        <w:rPr>
          <w:b/>
          <w:bCs/>
          <w:sz w:val="28"/>
          <w:szCs w:val="28"/>
          <w:lang w:val="cs-CZ"/>
        </w:rPr>
      </w:pPr>
    </w:p>
    <w:p w14:paraId="397F0509" w14:textId="77777777" w:rsidR="001B7775" w:rsidRPr="007434DA" w:rsidRDefault="001B7775" w:rsidP="001E062C">
      <w:pPr>
        <w:rPr>
          <w:b/>
          <w:bCs/>
          <w:sz w:val="28"/>
          <w:szCs w:val="28"/>
          <w:lang w:val="cs-CZ"/>
        </w:rPr>
      </w:pPr>
    </w:p>
    <w:p w14:paraId="2DC21FAD" w14:textId="77777777" w:rsidR="001B7775" w:rsidRPr="007434DA" w:rsidRDefault="001B7775" w:rsidP="001E062C">
      <w:pPr>
        <w:rPr>
          <w:b/>
          <w:bCs/>
          <w:sz w:val="28"/>
          <w:szCs w:val="28"/>
          <w:lang w:val="cs-CZ"/>
        </w:rPr>
      </w:pPr>
    </w:p>
    <w:p w14:paraId="195BB1B3" w14:textId="77777777" w:rsidR="001B7775" w:rsidRPr="007434DA" w:rsidRDefault="001B7775" w:rsidP="001E062C">
      <w:pPr>
        <w:rPr>
          <w:b/>
          <w:bCs/>
          <w:sz w:val="28"/>
          <w:szCs w:val="28"/>
          <w:lang w:val="cs-CZ"/>
        </w:rPr>
      </w:pPr>
    </w:p>
    <w:p w14:paraId="7F80D3BD" w14:textId="77777777" w:rsidR="001B7775" w:rsidRPr="007434DA" w:rsidRDefault="001B7775" w:rsidP="001E062C">
      <w:pPr>
        <w:rPr>
          <w:b/>
          <w:bCs/>
          <w:sz w:val="28"/>
          <w:szCs w:val="28"/>
          <w:lang w:val="cs-CZ"/>
        </w:rPr>
      </w:pPr>
    </w:p>
    <w:p w14:paraId="4123DB34" w14:textId="77777777" w:rsidR="001B7775" w:rsidRPr="007434DA" w:rsidRDefault="001B7775" w:rsidP="001E062C">
      <w:pPr>
        <w:rPr>
          <w:b/>
          <w:bCs/>
          <w:sz w:val="28"/>
          <w:szCs w:val="28"/>
          <w:lang w:val="cs-CZ"/>
        </w:rPr>
      </w:pPr>
    </w:p>
    <w:p w14:paraId="04DEFE39" w14:textId="77777777" w:rsidR="001B7775" w:rsidRPr="007434DA" w:rsidRDefault="001B7775" w:rsidP="001E062C">
      <w:pPr>
        <w:rPr>
          <w:b/>
          <w:bCs/>
          <w:sz w:val="28"/>
          <w:szCs w:val="28"/>
          <w:lang w:val="cs-CZ"/>
        </w:rPr>
      </w:pPr>
    </w:p>
    <w:p w14:paraId="0DAF46DD" w14:textId="77777777" w:rsidR="001B7775" w:rsidRPr="007434DA" w:rsidRDefault="001B7775" w:rsidP="001E062C">
      <w:pPr>
        <w:rPr>
          <w:b/>
          <w:bCs/>
          <w:sz w:val="28"/>
          <w:szCs w:val="28"/>
          <w:lang w:val="cs-CZ"/>
        </w:rPr>
      </w:pPr>
    </w:p>
    <w:p w14:paraId="0D276156" w14:textId="79CB775E" w:rsidR="00C32436" w:rsidRPr="007434DA" w:rsidRDefault="00CB2594" w:rsidP="001E062C">
      <w:pPr>
        <w:rPr>
          <w:b/>
          <w:bCs/>
          <w:sz w:val="28"/>
          <w:szCs w:val="28"/>
          <w:lang w:val="cs-CZ"/>
        </w:rPr>
      </w:pPr>
      <w:r w:rsidRPr="007434DA">
        <w:rPr>
          <w:b/>
          <w:bCs/>
          <w:sz w:val="28"/>
          <w:szCs w:val="28"/>
          <w:lang w:val="cs-CZ"/>
        </w:rPr>
        <w:t>Obsah</w:t>
      </w:r>
    </w:p>
    <w:bookmarkEnd w:id="0"/>
    <w:p w14:paraId="357F56A0" w14:textId="4D53DBA3" w:rsidR="00D20672" w:rsidRDefault="00933812">
      <w:pPr>
        <w:pStyle w:val="Obsah1"/>
        <w:rPr>
          <w:rFonts w:asciiTheme="minorHAnsi" w:eastAsiaTheme="minorEastAsia" w:hAnsiTheme="minorHAnsi"/>
          <w:b w:val="0"/>
          <w:bCs w:val="0"/>
          <w:caps w:val="0"/>
          <w:noProof/>
          <w:sz w:val="24"/>
          <w:szCs w:val="24"/>
          <w:lang w:val="cs-CZ" w:eastAsia="cs-CZ"/>
        </w:rPr>
      </w:pPr>
      <w:r>
        <w:rPr>
          <w:rFonts w:cs="Arial (Základní text CS)"/>
          <w:b w:val="0"/>
          <w:bCs w:val="0"/>
          <w:caps w:val="0"/>
          <w:lang w:val="cs-CZ"/>
        </w:rPr>
        <w:fldChar w:fldCharType="begin"/>
      </w:r>
      <w:r>
        <w:rPr>
          <w:rFonts w:cs="Arial (Základní text CS)"/>
          <w:b w:val="0"/>
          <w:bCs w:val="0"/>
          <w:caps w:val="0"/>
          <w:lang w:val="cs-CZ"/>
        </w:rPr>
        <w:instrText xml:space="preserve"> TOC \o "1-3" \h \z \t "UZEI Nadpis 4.st;4" </w:instrText>
      </w:r>
      <w:r>
        <w:rPr>
          <w:rFonts w:cs="Arial (Základní text CS)"/>
          <w:b w:val="0"/>
          <w:bCs w:val="0"/>
          <w:caps w:val="0"/>
          <w:lang w:val="cs-CZ"/>
        </w:rPr>
        <w:fldChar w:fldCharType="separate"/>
      </w:r>
      <w:hyperlink w:anchor="_Toc81755603" w:history="1">
        <w:r w:rsidR="00D20672" w:rsidRPr="00946225">
          <w:rPr>
            <w:rStyle w:val="Hypertextovodkaz"/>
            <w:noProof/>
          </w:rPr>
          <w:t>Seznam zkratek</w:t>
        </w:r>
        <w:r w:rsidR="00D20672">
          <w:rPr>
            <w:noProof/>
            <w:webHidden/>
          </w:rPr>
          <w:tab/>
        </w:r>
        <w:r w:rsidR="00D20672">
          <w:rPr>
            <w:noProof/>
            <w:webHidden/>
          </w:rPr>
          <w:fldChar w:fldCharType="begin"/>
        </w:r>
        <w:r w:rsidR="00D20672">
          <w:rPr>
            <w:noProof/>
            <w:webHidden/>
          </w:rPr>
          <w:instrText xml:space="preserve"> PAGEREF _Toc81755603 \h </w:instrText>
        </w:r>
        <w:r w:rsidR="00D20672">
          <w:rPr>
            <w:noProof/>
            <w:webHidden/>
          </w:rPr>
        </w:r>
        <w:r w:rsidR="00D20672">
          <w:rPr>
            <w:noProof/>
            <w:webHidden/>
          </w:rPr>
          <w:fldChar w:fldCharType="separate"/>
        </w:r>
        <w:r w:rsidR="00D20672">
          <w:rPr>
            <w:noProof/>
            <w:webHidden/>
          </w:rPr>
          <w:t>2</w:t>
        </w:r>
        <w:r w:rsidR="00D20672">
          <w:rPr>
            <w:noProof/>
            <w:webHidden/>
          </w:rPr>
          <w:fldChar w:fldCharType="end"/>
        </w:r>
      </w:hyperlink>
    </w:p>
    <w:p w14:paraId="712B0812" w14:textId="0BAFBA1C" w:rsidR="00D20672" w:rsidRDefault="0005469C">
      <w:pPr>
        <w:pStyle w:val="Obsah1"/>
        <w:rPr>
          <w:rFonts w:asciiTheme="minorHAnsi" w:eastAsiaTheme="minorEastAsia" w:hAnsiTheme="minorHAnsi"/>
          <w:b w:val="0"/>
          <w:bCs w:val="0"/>
          <w:caps w:val="0"/>
          <w:noProof/>
          <w:sz w:val="24"/>
          <w:szCs w:val="24"/>
          <w:lang w:val="cs-CZ" w:eastAsia="cs-CZ"/>
        </w:rPr>
      </w:pPr>
      <w:hyperlink w:anchor="_Toc81755604" w:history="1">
        <w:r w:rsidR="00D20672" w:rsidRPr="00946225">
          <w:rPr>
            <w:rStyle w:val="Hypertextovodkaz"/>
            <w:noProof/>
          </w:rPr>
          <w:t>Seznam tabulek</w:t>
        </w:r>
        <w:r w:rsidR="00D20672">
          <w:rPr>
            <w:noProof/>
            <w:webHidden/>
          </w:rPr>
          <w:tab/>
        </w:r>
        <w:r w:rsidR="00D20672">
          <w:rPr>
            <w:noProof/>
            <w:webHidden/>
          </w:rPr>
          <w:fldChar w:fldCharType="begin"/>
        </w:r>
        <w:r w:rsidR="00D20672">
          <w:rPr>
            <w:noProof/>
            <w:webHidden/>
          </w:rPr>
          <w:instrText xml:space="preserve"> PAGEREF _Toc81755604 \h </w:instrText>
        </w:r>
        <w:r w:rsidR="00D20672">
          <w:rPr>
            <w:noProof/>
            <w:webHidden/>
          </w:rPr>
        </w:r>
        <w:r w:rsidR="00D20672">
          <w:rPr>
            <w:noProof/>
            <w:webHidden/>
          </w:rPr>
          <w:fldChar w:fldCharType="separate"/>
        </w:r>
        <w:r w:rsidR="00D20672">
          <w:rPr>
            <w:noProof/>
            <w:webHidden/>
          </w:rPr>
          <w:t>3</w:t>
        </w:r>
        <w:r w:rsidR="00D20672">
          <w:rPr>
            <w:noProof/>
            <w:webHidden/>
          </w:rPr>
          <w:fldChar w:fldCharType="end"/>
        </w:r>
      </w:hyperlink>
    </w:p>
    <w:p w14:paraId="1AE1937A" w14:textId="13E2A6D1" w:rsidR="00D20672" w:rsidRDefault="0005469C">
      <w:pPr>
        <w:pStyle w:val="Obsah1"/>
        <w:rPr>
          <w:rFonts w:asciiTheme="minorHAnsi" w:eastAsiaTheme="minorEastAsia" w:hAnsiTheme="minorHAnsi"/>
          <w:b w:val="0"/>
          <w:bCs w:val="0"/>
          <w:caps w:val="0"/>
          <w:noProof/>
          <w:sz w:val="24"/>
          <w:szCs w:val="24"/>
          <w:lang w:val="cs-CZ" w:eastAsia="cs-CZ"/>
        </w:rPr>
      </w:pPr>
      <w:hyperlink w:anchor="_Toc81755605" w:history="1">
        <w:r w:rsidR="00D20672" w:rsidRPr="00946225">
          <w:rPr>
            <w:rStyle w:val="Hypertextovodkaz"/>
            <w:noProof/>
          </w:rPr>
          <w:t>Seznam grafů</w:t>
        </w:r>
        <w:r w:rsidR="00D20672">
          <w:rPr>
            <w:noProof/>
            <w:webHidden/>
          </w:rPr>
          <w:tab/>
        </w:r>
        <w:r w:rsidR="00D20672">
          <w:rPr>
            <w:noProof/>
            <w:webHidden/>
          </w:rPr>
          <w:fldChar w:fldCharType="begin"/>
        </w:r>
        <w:r w:rsidR="00D20672">
          <w:rPr>
            <w:noProof/>
            <w:webHidden/>
          </w:rPr>
          <w:instrText xml:space="preserve"> PAGEREF _Toc81755605 \h </w:instrText>
        </w:r>
        <w:r w:rsidR="00D20672">
          <w:rPr>
            <w:noProof/>
            <w:webHidden/>
          </w:rPr>
        </w:r>
        <w:r w:rsidR="00D20672">
          <w:rPr>
            <w:noProof/>
            <w:webHidden/>
          </w:rPr>
          <w:fldChar w:fldCharType="separate"/>
        </w:r>
        <w:r w:rsidR="00D20672">
          <w:rPr>
            <w:noProof/>
            <w:webHidden/>
          </w:rPr>
          <w:t>4</w:t>
        </w:r>
        <w:r w:rsidR="00D20672">
          <w:rPr>
            <w:noProof/>
            <w:webHidden/>
          </w:rPr>
          <w:fldChar w:fldCharType="end"/>
        </w:r>
      </w:hyperlink>
    </w:p>
    <w:p w14:paraId="5AE36963" w14:textId="31EFEC76" w:rsidR="00D20672" w:rsidRDefault="0005469C">
      <w:pPr>
        <w:pStyle w:val="Obsah1"/>
        <w:rPr>
          <w:rFonts w:asciiTheme="minorHAnsi" w:eastAsiaTheme="minorEastAsia" w:hAnsiTheme="minorHAnsi"/>
          <w:b w:val="0"/>
          <w:bCs w:val="0"/>
          <w:caps w:val="0"/>
          <w:noProof/>
          <w:sz w:val="24"/>
          <w:szCs w:val="24"/>
          <w:lang w:val="cs-CZ" w:eastAsia="cs-CZ"/>
        </w:rPr>
      </w:pPr>
      <w:hyperlink w:anchor="_Toc81755606" w:history="1">
        <w:r w:rsidR="00D20672" w:rsidRPr="00946225">
          <w:rPr>
            <w:rStyle w:val="Hypertextovodkaz"/>
            <w:noProof/>
          </w:rPr>
          <w:t>A. Pesticidy a těžké kovy</w:t>
        </w:r>
        <w:r w:rsidR="00D20672">
          <w:rPr>
            <w:noProof/>
            <w:webHidden/>
          </w:rPr>
          <w:tab/>
        </w:r>
        <w:r w:rsidR="00D20672">
          <w:rPr>
            <w:noProof/>
            <w:webHidden/>
          </w:rPr>
          <w:fldChar w:fldCharType="begin"/>
        </w:r>
        <w:r w:rsidR="00D20672">
          <w:rPr>
            <w:noProof/>
            <w:webHidden/>
          </w:rPr>
          <w:instrText xml:space="preserve"> PAGEREF _Toc81755606 \h </w:instrText>
        </w:r>
        <w:r w:rsidR="00D20672">
          <w:rPr>
            <w:noProof/>
            <w:webHidden/>
          </w:rPr>
        </w:r>
        <w:r w:rsidR="00D20672">
          <w:rPr>
            <w:noProof/>
            <w:webHidden/>
          </w:rPr>
          <w:fldChar w:fldCharType="separate"/>
        </w:r>
        <w:r w:rsidR="00D20672">
          <w:rPr>
            <w:noProof/>
            <w:webHidden/>
          </w:rPr>
          <w:t>7</w:t>
        </w:r>
        <w:r w:rsidR="00D20672">
          <w:rPr>
            <w:noProof/>
            <w:webHidden/>
          </w:rPr>
          <w:fldChar w:fldCharType="end"/>
        </w:r>
      </w:hyperlink>
    </w:p>
    <w:p w14:paraId="614EF266" w14:textId="20199277" w:rsidR="00D20672" w:rsidRDefault="0005469C">
      <w:pPr>
        <w:pStyle w:val="Obsah1"/>
        <w:tabs>
          <w:tab w:val="left" w:pos="480"/>
        </w:tabs>
        <w:rPr>
          <w:rFonts w:asciiTheme="minorHAnsi" w:eastAsiaTheme="minorEastAsia" w:hAnsiTheme="minorHAnsi"/>
          <w:b w:val="0"/>
          <w:bCs w:val="0"/>
          <w:caps w:val="0"/>
          <w:noProof/>
          <w:sz w:val="24"/>
          <w:szCs w:val="24"/>
          <w:lang w:val="cs-CZ" w:eastAsia="cs-CZ"/>
        </w:rPr>
      </w:pPr>
      <w:hyperlink w:anchor="_Toc81755607" w:history="1">
        <w:r w:rsidR="00D20672" w:rsidRPr="00946225">
          <w:rPr>
            <w:rStyle w:val="Hypertextovodkaz"/>
            <w:noProof/>
          </w:rPr>
          <w:t>1</w:t>
        </w:r>
        <w:r w:rsidR="00D20672">
          <w:rPr>
            <w:rFonts w:asciiTheme="minorHAnsi" w:eastAsiaTheme="minorEastAsia" w:hAnsiTheme="minorHAnsi"/>
            <w:b w:val="0"/>
            <w:bCs w:val="0"/>
            <w:caps w:val="0"/>
            <w:noProof/>
            <w:sz w:val="24"/>
            <w:szCs w:val="24"/>
            <w:lang w:val="cs-CZ" w:eastAsia="cs-CZ"/>
          </w:rPr>
          <w:tab/>
        </w:r>
        <w:r w:rsidR="00D20672" w:rsidRPr="00946225">
          <w:rPr>
            <w:rStyle w:val="Hypertextovodkaz"/>
            <w:noProof/>
          </w:rPr>
          <w:t>Analýza stávajících/navrhovaných právních předpisů EK/ČR a pravděpodobné nastavení směrů a cílů SZP</w:t>
        </w:r>
        <w:r w:rsidR="00D20672">
          <w:rPr>
            <w:noProof/>
            <w:webHidden/>
          </w:rPr>
          <w:tab/>
        </w:r>
        <w:r w:rsidR="00D20672">
          <w:rPr>
            <w:noProof/>
            <w:webHidden/>
          </w:rPr>
          <w:fldChar w:fldCharType="begin"/>
        </w:r>
        <w:r w:rsidR="00D20672">
          <w:rPr>
            <w:noProof/>
            <w:webHidden/>
          </w:rPr>
          <w:instrText xml:space="preserve"> PAGEREF _Toc81755607 \h </w:instrText>
        </w:r>
        <w:r w:rsidR="00D20672">
          <w:rPr>
            <w:noProof/>
            <w:webHidden/>
          </w:rPr>
        </w:r>
        <w:r w:rsidR="00D20672">
          <w:rPr>
            <w:noProof/>
            <w:webHidden/>
          </w:rPr>
          <w:fldChar w:fldCharType="separate"/>
        </w:r>
        <w:r w:rsidR="00D20672">
          <w:rPr>
            <w:noProof/>
            <w:webHidden/>
          </w:rPr>
          <w:t>7</w:t>
        </w:r>
        <w:r w:rsidR="00D20672">
          <w:rPr>
            <w:noProof/>
            <w:webHidden/>
          </w:rPr>
          <w:fldChar w:fldCharType="end"/>
        </w:r>
      </w:hyperlink>
    </w:p>
    <w:p w14:paraId="2CB6216D" w14:textId="2CB621BF" w:rsidR="00D20672" w:rsidRDefault="0005469C">
      <w:pPr>
        <w:pStyle w:val="Obsah1"/>
        <w:tabs>
          <w:tab w:val="left" w:pos="480"/>
        </w:tabs>
        <w:rPr>
          <w:rFonts w:asciiTheme="minorHAnsi" w:eastAsiaTheme="minorEastAsia" w:hAnsiTheme="minorHAnsi"/>
          <w:b w:val="0"/>
          <w:bCs w:val="0"/>
          <w:caps w:val="0"/>
          <w:noProof/>
          <w:sz w:val="24"/>
          <w:szCs w:val="24"/>
          <w:lang w:val="cs-CZ" w:eastAsia="cs-CZ"/>
        </w:rPr>
      </w:pPr>
      <w:hyperlink w:anchor="_Toc81755608" w:history="1">
        <w:r w:rsidR="00D20672" w:rsidRPr="00946225">
          <w:rPr>
            <w:rStyle w:val="Hypertextovodkaz"/>
            <w:noProof/>
          </w:rPr>
          <w:t>2</w:t>
        </w:r>
        <w:r w:rsidR="00D20672">
          <w:rPr>
            <w:rFonts w:asciiTheme="minorHAnsi" w:eastAsiaTheme="minorEastAsia" w:hAnsiTheme="minorHAnsi"/>
            <w:b w:val="0"/>
            <w:bCs w:val="0"/>
            <w:caps w:val="0"/>
            <w:noProof/>
            <w:sz w:val="24"/>
            <w:szCs w:val="24"/>
            <w:lang w:val="cs-CZ" w:eastAsia="cs-CZ"/>
          </w:rPr>
          <w:tab/>
        </w:r>
        <w:r w:rsidR="00D20672" w:rsidRPr="00946225">
          <w:rPr>
            <w:rStyle w:val="Hypertextovodkaz"/>
            <w:noProof/>
          </w:rPr>
          <w:t>Stanovení skutečného problému, na který má politika reagovat (Co je skutečným problémem, na který má/by měla politika v rámci jednotlivých dílčích cílů reagovat?)</w:t>
        </w:r>
        <w:r w:rsidR="00D20672">
          <w:rPr>
            <w:noProof/>
            <w:webHidden/>
          </w:rPr>
          <w:tab/>
        </w:r>
        <w:r w:rsidR="00D20672">
          <w:rPr>
            <w:noProof/>
            <w:webHidden/>
          </w:rPr>
          <w:fldChar w:fldCharType="begin"/>
        </w:r>
        <w:r w:rsidR="00D20672">
          <w:rPr>
            <w:noProof/>
            <w:webHidden/>
          </w:rPr>
          <w:instrText xml:space="preserve"> PAGEREF _Toc81755608 \h </w:instrText>
        </w:r>
        <w:r w:rsidR="00D20672">
          <w:rPr>
            <w:noProof/>
            <w:webHidden/>
          </w:rPr>
        </w:r>
        <w:r w:rsidR="00D20672">
          <w:rPr>
            <w:noProof/>
            <w:webHidden/>
          </w:rPr>
          <w:fldChar w:fldCharType="separate"/>
        </w:r>
        <w:r w:rsidR="00D20672">
          <w:rPr>
            <w:noProof/>
            <w:webHidden/>
          </w:rPr>
          <w:t>13</w:t>
        </w:r>
        <w:r w:rsidR="00D20672">
          <w:rPr>
            <w:noProof/>
            <w:webHidden/>
          </w:rPr>
          <w:fldChar w:fldCharType="end"/>
        </w:r>
      </w:hyperlink>
    </w:p>
    <w:p w14:paraId="622D1B6D" w14:textId="1DC56168" w:rsidR="00D20672" w:rsidRDefault="0005469C">
      <w:pPr>
        <w:pStyle w:val="Obsah1"/>
        <w:tabs>
          <w:tab w:val="left" w:pos="480"/>
        </w:tabs>
        <w:rPr>
          <w:rFonts w:asciiTheme="minorHAnsi" w:eastAsiaTheme="minorEastAsia" w:hAnsiTheme="minorHAnsi"/>
          <w:b w:val="0"/>
          <w:bCs w:val="0"/>
          <w:caps w:val="0"/>
          <w:noProof/>
          <w:sz w:val="24"/>
          <w:szCs w:val="24"/>
          <w:lang w:val="cs-CZ" w:eastAsia="cs-CZ"/>
        </w:rPr>
      </w:pPr>
      <w:hyperlink w:anchor="_Toc81755609" w:history="1">
        <w:r w:rsidR="00D20672" w:rsidRPr="00946225">
          <w:rPr>
            <w:rStyle w:val="Hypertextovodkaz"/>
            <w:noProof/>
          </w:rPr>
          <w:t>3</w:t>
        </w:r>
        <w:r w:rsidR="00D20672">
          <w:rPr>
            <w:rFonts w:asciiTheme="minorHAnsi" w:eastAsiaTheme="minorEastAsia" w:hAnsiTheme="minorHAnsi"/>
            <w:b w:val="0"/>
            <w:bCs w:val="0"/>
            <w:caps w:val="0"/>
            <w:noProof/>
            <w:sz w:val="24"/>
            <w:szCs w:val="24"/>
            <w:lang w:val="cs-CZ" w:eastAsia="cs-CZ"/>
          </w:rPr>
          <w:tab/>
        </w:r>
        <w:r w:rsidR="00D20672" w:rsidRPr="00946225">
          <w:rPr>
            <w:rStyle w:val="Hypertextovodkaz"/>
            <w:noProof/>
          </w:rPr>
          <w:t>Mechanismus a příčiny problému</w:t>
        </w:r>
        <w:r w:rsidR="00D20672">
          <w:rPr>
            <w:noProof/>
            <w:webHidden/>
          </w:rPr>
          <w:tab/>
        </w:r>
        <w:r w:rsidR="00D20672">
          <w:rPr>
            <w:noProof/>
            <w:webHidden/>
          </w:rPr>
          <w:fldChar w:fldCharType="begin"/>
        </w:r>
        <w:r w:rsidR="00D20672">
          <w:rPr>
            <w:noProof/>
            <w:webHidden/>
          </w:rPr>
          <w:instrText xml:space="preserve"> PAGEREF _Toc81755609 \h </w:instrText>
        </w:r>
        <w:r w:rsidR="00D20672">
          <w:rPr>
            <w:noProof/>
            <w:webHidden/>
          </w:rPr>
        </w:r>
        <w:r w:rsidR="00D20672">
          <w:rPr>
            <w:noProof/>
            <w:webHidden/>
          </w:rPr>
          <w:fldChar w:fldCharType="separate"/>
        </w:r>
        <w:r w:rsidR="00D20672">
          <w:rPr>
            <w:noProof/>
            <w:webHidden/>
          </w:rPr>
          <w:t>16</w:t>
        </w:r>
        <w:r w:rsidR="00D20672">
          <w:rPr>
            <w:noProof/>
            <w:webHidden/>
          </w:rPr>
          <w:fldChar w:fldCharType="end"/>
        </w:r>
      </w:hyperlink>
    </w:p>
    <w:p w14:paraId="778213B7" w14:textId="03CC64A4" w:rsidR="00D20672" w:rsidRDefault="0005469C">
      <w:pPr>
        <w:pStyle w:val="Obsah1"/>
        <w:tabs>
          <w:tab w:val="left" w:pos="480"/>
        </w:tabs>
        <w:rPr>
          <w:rFonts w:asciiTheme="minorHAnsi" w:eastAsiaTheme="minorEastAsia" w:hAnsiTheme="minorHAnsi"/>
          <w:b w:val="0"/>
          <w:bCs w:val="0"/>
          <w:caps w:val="0"/>
          <w:noProof/>
          <w:sz w:val="24"/>
          <w:szCs w:val="24"/>
          <w:lang w:val="cs-CZ" w:eastAsia="cs-CZ"/>
        </w:rPr>
      </w:pPr>
      <w:hyperlink w:anchor="_Toc81755610" w:history="1">
        <w:r w:rsidR="00D20672" w:rsidRPr="00946225">
          <w:rPr>
            <w:rStyle w:val="Hypertextovodkaz"/>
            <w:noProof/>
          </w:rPr>
          <w:t>4</w:t>
        </w:r>
        <w:r w:rsidR="00D20672">
          <w:rPr>
            <w:rFonts w:asciiTheme="minorHAnsi" w:eastAsiaTheme="minorEastAsia" w:hAnsiTheme="minorHAnsi"/>
            <w:b w:val="0"/>
            <w:bCs w:val="0"/>
            <w:caps w:val="0"/>
            <w:noProof/>
            <w:sz w:val="24"/>
            <w:szCs w:val="24"/>
            <w:lang w:val="cs-CZ" w:eastAsia="cs-CZ"/>
          </w:rPr>
          <w:tab/>
        </w:r>
        <w:r w:rsidR="00D20672" w:rsidRPr="00946225">
          <w:rPr>
            <w:rStyle w:val="Hypertextovodkaz"/>
            <w:noProof/>
          </w:rPr>
          <w:t>Závažnost problému</w:t>
        </w:r>
        <w:r w:rsidR="00D20672">
          <w:rPr>
            <w:noProof/>
            <w:webHidden/>
          </w:rPr>
          <w:tab/>
        </w:r>
        <w:r w:rsidR="00D20672">
          <w:rPr>
            <w:noProof/>
            <w:webHidden/>
          </w:rPr>
          <w:fldChar w:fldCharType="begin"/>
        </w:r>
        <w:r w:rsidR="00D20672">
          <w:rPr>
            <w:noProof/>
            <w:webHidden/>
          </w:rPr>
          <w:instrText xml:space="preserve"> PAGEREF _Toc81755610 \h </w:instrText>
        </w:r>
        <w:r w:rsidR="00D20672">
          <w:rPr>
            <w:noProof/>
            <w:webHidden/>
          </w:rPr>
        </w:r>
        <w:r w:rsidR="00D20672">
          <w:rPr>
            <w:noProof/>
            <w:webHidden/>
          </w:rPr>
          <w:fldChar w:fldCharType="separate"/>
        </w:r>
        <w:r w:rsidR="00D20672">
          <w:rPr>
            <w:noProof/>
            <w:webHidden/>
          </w:rPr>
          <w:t>21</w:t>
        </w:r>
        <w:r w:rsidR="00D20672">
          <w:rPr>
            <w:noProof/>
            <w:webHidden/>
          </w:rPr>
          <w:fldChar w:fldCharType="end"/>
        </w:r>
      </w:hyperlink>
    </w:p>
    <w:p w14:paraId="543B3BA1" w14:textId="7221F052" w:rsidR="00D20672" w:rsidRDefault="0005469C">
      <w:pPr>
        <w:pStyle w:val="Obsah1"/>
        <w:tabs>
          <w:tab w:val="left" w:pos="480"/>
        </w:tabs>
        <w:rPr>
          <w:rFonts w:asciiTheme="minorHAnsi" w:eastAsiaTheme="minorEastAsia" w:hAnsiTheme="minorHAnsi"/>
          <w:b w:val="0"/>
          <w:bCs w:val="0"/>
          <w:caps w:val="0"/>
          <w:noProof/>
          <w:sz w:val="24"/>
          <w:szCs w:val="24"/>
          <w:lang w:val="cs-CZ" w:eastAsia="cs-CZ"/>
        </w:rPr>
      </w:pPr>
      <w:hyperlink w:anchor="_Toc81755611" w:history="1">
        <w:r w:rsidR="00D20672" w:rsidRPr="00946225">
          <w:rPr>
            <w:rStyle w:val="Hypertextovodkaz"/>
            <w:noProof/>
          </w:rPr>
          <w:t>5</w:t>
        </w:r>
        <w:r w:rsidR="00D20672">
          <w:rPr>
            <w:rFonts w:asciiTheme="minorHAnsi" w:eastAsiaTheme="minorEastAsia" w:hAnsiTheme="minorHAnsi"/>
            <w:b w:val="0"/>
            <w:bCs w:val="0"/>
            <w:caps w:val="0"/>
            <w:noProof/>
            <w:sz w:val="24"/>
            <w:szCs w:val="24"/>
            <w:lang w:val="cs-CZ" w:eastAsia="cs-CZ"/>
          </w:rPr>
          <w:tab/>
        </w:r>
        <w:r w:rsidR="00D20672" w:rsidRPr="00946225">
          <w:rPr>
            <w:rStyle w:val="Hypertextovodkaz"/>
            <w:noProof/>
          </w:rPr>
          <w:t>Existence/neexistence možnosti efektivního řešení v rámci nástrojů SZP, které lze uvažovat v nových návrzích SZP</w:t>
        </w:r>
        <w:r w:rsidR="00D20672">
          <w:rPr>
            <w:noProof/>
            <w:webHidden/>
          </w:rPr>
          <w:tab/>
        </w:r>
        <w:r w:rsidR="00D20672">
          <w:rPr>
            <w:noProof/>
            <w:webHidden/>
          </w:rPr>
          <w:fldChar w:fldCharType="begin"/>
        </w:r>
        <w:r w:rsidR="00D20672">
          <w:rPr>
            <w:noProof/>
            <w:webHidden/>
          </w:rPr>
          <w:instrText xml:space="preserve"> PAGEREF _Toc81755611 \h </w:instrText>
        </w:r>
        <w:r w:rsidR="00D20672">
          <w:rPr>
            <w:noProof/>
            <w:webHidden/>
          </w:rPr>
        </w:r>
        <w:r w:rsidR="00D20672">
          <w:rPr>
            <w:noProof/>
            <w:webHidden/>
          </w:rPr>
          <w:fldChar w:fldCharType="separate"/>
        </w:r>
        <w:r w:rsidR="00D20672">
          <w:rPr>
            <w:noProof/>
            <w:webHidden/>
          </w:rPr>
          <w:t>39</w:t>
        </w:r>
        <w:r w:rsidR="00D20672">
          <w:rPr>
            <w:noProof/>
            <w:webHidden/>
          </w:rPr>
          <w:fldChar w:fldCharType="end"/>
        </w:r>
      </w:hyperlink>
    </w:p>
    <w:p w14:paraId="7F6B7BE8" w14:textId="5F091B41" w:rsidR="00D20672" w:rsidRDefault="0005469C">
      <w:pPr>
        <w:pStyle w:val="Obsah1"/>
        <w:tabs>
          <w:tab w:val="left" w:pos="480"/>
        </w:tabs>
        <w:rPr>
          <w:rFonts w:asciiTheme="minorHAnsi" w:eastAsiaTheme="minorEastAsia" w:hAnsiTheme="minorHAnsi"/>
          <w:b w:val="0"/>
          <w:bCs w:val="0"/>
          <w:caps w:val="0"/>
          <w:noProof/>
          <w:sz w:val="24"/>
          <w:szCs w:val="24"/>
          <w:lang w:val="cs-CZ" w:eastAsia="cs-CZ"/>
        </w:rPr>
      </w:pPr>
      <w:hyperlink w:anchor="_Toc81755612" w:history="1">
        <w:r w:rsidR="00D20672" w:rsidRPr="00946225">
          <w:rPr>
            <w:rStyle w:val="Hypertextovodkaz"/>
            <w:noProof/>
          </w:rPr>
          <w:t>6</w:t>
        </w:r>
        <w:r w:rsidR="00D20672">
          <w:rPr>
            <w:rFonts w:asciiTheme="minorHAnsi" w:eastAsiaTheme="minorEastAsia" w:hAnsiTheme="minorHAnsi"/>
            <w:b w:val="0"/>
            <w:bCs w:val="0"/>
            <w:caps w:val="0"/>
            <w:noProof/>
            <w:sz w:val="24"/>
            <w:szCs w:val="24"/>
            <w:lang w:val="cs-CZ" w:eastAsia="cs-CZ"/>
          </w:rPr>
          <w:tab/>
        </w:r>
        <w:r w:rsidR="00D20672" w:rsidRPr="00946225">
          <w:rPr>
            <w:rStyle w:val="Hypertextovodkaz"/>
            <w:noProof/>
          </w:rPr>
          <w:t>Míra stávajícího řešení problému</w:t>
        </w:r>
        <w:r w:rsidR="00D20672">
          <w:rPr>
            <w:noProof/>
            <w:webHidden/>
          </w:rPr>
          <w:tab/>
        </w:r>
        <w:r w:rsidR="00D20672">
          <w:rPr>
            <w:noProof/>
            <w:webHidden/>
          </w:rPr>
          <w:fldChar w:fldCharType="begin"/>
        </w:r>
        <w:r w:rsidR="00D20672">
          <w:rPr>
            <w:noProof/>
            <w:webHidden/>
          </w:rPr>
          <w:instrText xml:space="preserve"> PAGEREF _Toc81755612 \h </w:instrText>
        </w:r>
        <w:r w:rsidR="00D20672">
          <w:rPr>
            <w:noProof/>
            <w:webHidden/>
          </w:rPr>
        </w:r>
        <w:r w:rsidR="00D20672">
          <w:rPr>
            <w:noProof/>
            <w:webHidden/>
          </w:rPr>
          <w:fldChar w:fldCharType="separate"/>
        </w:r>
        <w:r w:rsidR="00D20672">
          <w:rPr>
            <w:noProof/>
            <w:webHidden/>
          </w:rPr>
          <w:t>40</w:t>
        </w:r>
        <w:r w:rsidR="00D20672">
          <w:rPr>
            <w:noProof/>
            <w:webHidden/>
          </w:rPr>
          <w:fldChar w:fldCharType="end"/>
        </w:r>
      </w:hyperlink>
    </w:p>
    <w:p w14:paraId="597D6D1D" w14:textId="6C0A11B6" w:rsidR="00D20672" w:rsidRDefault="0005469C">
      <w:pPr>
        <w:pStyle w:val="Obsah2"/>
        <w:rPr>
          <w:rFonts w:asciiTheme="minorHAnsi" w:eastAsiaTheme="minorEastAsia" w:hAnsiTheme="minorHAnsi"/>
          <w:smallCaps w:val="0"/>
          <w:noProof/>
          <w:sz w:val="24"/>
          <w:szCs w:val="24"/>
          <w:lang w:val="cs-CZ" w:eastAsia="cs-CZ"/>
        </w:rPr>
      </w:pPr>
      <w:hyperlink w:anchor="_Toc81755613" w:history="1">
        <w:r w:rsidR="00D20672" w:rsidRPr="00946225">
          <w:rPr>
            <w:rStyle w:val="Hypertextovodkaz"/>
            <w:noProof/>
          </w:rPr>
          <w:t>6.1</w:t>
        </w:r>
        <w:r w:rsidR="00D20672">
          <w:rPr>
            <w:rFonts w:asciiTheme="minorHAnsi" w:eastAsiaTheme="minorEastAsia" w:hAnsiTheme="minorHAnsi"/>
            <w:smallCaps w:val="0"/>
            <w:noProof/>
            <w:sz w:val="24"/>
            <w:szCs w:val="24"/>
            <w:lang w:val="cs-CZ" w:eastAsia="cs-CZ"/>
          </w:rPr>
          <w:tab/>
        </w:r>
        <w:r w:rsidR="00D20672" w:rsidRPr="00946225">
          <w:rPr>
            <w:rStyle w:val="Hypertextovodkaz"/>
            <w:noProof/>
          </w:rPr>
          <w:t>Míra řešení ve stávající SZP (úspěšnost/neúspěšnost)</w:t>
        </w:r>
        <w:r w:rsidR="00D20672">
          <w:rPr>
            <w:noProof/>
            <w:webHidden/>
          </w:rPr>
          <w:tab/>
        </w:r>
        <w:r w:rsidR="00D20672">
          <w:rPr>
            <w:noProof/>
            <w:webHidden/>
          </w:rPr>
          <w:fldChar w:fldCharType="begin"/>
        </w:r>
        <w:r w:rsidR="00D20672">
          <w:rPr>
            <w:noProof/>
            <w:webHidden/>
          </w:rPr>
          <w:instrText xml:space="preserve"> PAGEREF _Toc81755613 \h </w:instrText>
        </w:r>
        <w:r w:rsidR="00D20672">
          <w:rPr>
            <w:noProof/>
            <w:webHidden/>
          </w:rPr>
        </w:r>
        <w:r w:rsidR="00D20672">
          <w:rPr>
            <w:noProof/>
            <w:webHidden/>
          </w:rPr>
          <w:fldChar w:fldCharType="separate"/>
        </w:r>
        <w:r w:rsidR="00D20672">
          <w:rPr>
            <w:noProof/>
            <w:webHidden/>
          </w:rPr>
          <w:t>40</w:t>
        </w:r>
        <w:r w:rsidR="00D20672">
          <w:rPr>
            <w:noProof/>
            <w:webHidden/>
          </w:rPr>
          <w:fldChar w:fldCharType="end"/>
        </w:r>
      </w:hyperlink>
    </w:p>
    <w:p w14:paraId="3BCFD8DD" w14:textId="37F5A833" w:rsidR="00D20672" w:rsidRDefault="0005469C">
      <w:pPr>
        <w:pStyle w:val="Obsah2"/>
        <w:rPr>
          <w:rFonts w:asciiTheme="minorHAnsi" w:eastAsiaTheme="minorEastAsia" w:hAnsiTheme="minorHAnsi"/>
          <w:smallCaps w:val="0"/>
          <w:noProof/>
          <w:sz w:val="24"/>
          <w:szCs w:val="24"/>
          <w:lang w:val="cs-CZ" w:eastAsia="cs-CZ"/>
        </w:rPr>
      </w:pPr>
      <w:hyperlink w:anchor="_Toc81755614" w:history="1">
        <w:r w:rsidR="00D20672" w:rsidRPr="00946225">
          <w:rPr>
            <w:rStyle w:val="Hypertextovodkaz"/>
            <w:noProof/>
          </w:rPr>
          <w:t>6.2</w:t>
        </w:r>
        <w:r w:rsidR="00D20672">
          <w:rPr>
            <w:rFonts w:asciiTheme="minorHAnsi" w:eastAsiaTheme="minorEastAsia" w:hAnsiTheme="minorHAnsi"/>
            <w:smallCaps w:val="0"/>
            <w:noProof/>
            <w:sz w:val="24"/>
            <w:szCs w:val="24"/>
            <w:lang w:val="cs-CZ" w:eastAsia="cs-CZ"/>
          </w:rPr>
          <w:tab/>
        </w:r>
        <w:r w:rsidR="00D20672" w:rsidRPr="00946225">
          <w:rPr>
            <w:rStyle w:val="Hypertextovodkaz"/>
            <w:noProof/>
          </w:rPr>
          <w:t>Míra současného řešení problému jinými politikami</w:t>
        </w:r>
        <w:r w:rsidR="00D20672">
          <w:rPr>
            <w:noProof/>
            <w:webHidden/>
          </w:rPr>
          <w:tab/>
        </w:r>
        <w:r w:rsidR="00D20672">
          <w:rPr>
            <w:noProof/>
            <w:webHidden/>
          </w:rPr>
          <w:fldChar w:fldCharType="begin"/>
        </w:r>
        <w:r w:rsidR="00D20672">
          <w:rPr>
            <w:noProof/>
            <w:webHidden/>
          </w:rPr>
          <w:instrText xml:space="preserve"> PAGEREF _Toc81755614 \h </w:instrText>
        </w:r>
        <w:r w:rsidR="00D20672">
          <w:rPr>
            <w:noProof/>
            <w:webHidden/>
          </w:rPr>
        </w:r>
        <w:r w:rsidR="00D20672">
          <w:rPr>
            <w:noProof/>
            <w:webHidden/>
          </w:rPr>
          <w:fldChar w:fldCharType="separate"/>
        </w:r>
        <w:r w:rsidR="00D20672">
          <w:rPr>
            <w:noProof/>
            <w:webHidden/>
          </w:rPr>
          <w:t>41</w:t>
        </w:r>
        <w:r w:rsidR="00D20672">
          <w:rPr>
            <w:noProof/>
            <w:webHidden/>
          </w:rPr>
          <w:fldChar w:fldCharType="end"/>
        </w:r>
      </w:hyperlink>
    </w:p>
    <w:p w14:paraId="2FBF5C45" w14:textId="48E8CBB5" w:rsidR="00D20672" w:rsidRDefault="0005469C">
      <w:pPr>
        <w:pStyle w:val="Obsah1"/>
        <w:tabs>
          <w:tab w:val="left" w:pos="480"/>
        </w:tabs>
        <w:rPr>
          <w:rFonts w:asciiTheme="minorHAnsi" w:eastAsiaTheme="minorEastAsia" w:hAnsiTheme="minorHAnsi"/>
          <w:b w:val="0"/>
          <w:bCs w:val="0"/>
          <w:caps w:val="0"/>
          <w:noProof/>
          <w:sz w:val="24"/>
          <w:szCs w:val="24"/>
          <w:lang w:val="cs-CZ" w:eastAsia="cs-CZ"/>
        </w:rPr>
      </w:pPr>
      <w:hyperlink w:anchor="_Toc81755615" w:history="1">
        <w:r w:rsidR="00D20672" w:rsidRPr="00946225">
          <w:rPr>
            <w:rStyle w:val="Hypertextovodkaz"/>
            <w:noProof/>
          </w:rPr>
          <w:t>7</w:t>
        </w:r>
        <w:r w:rsidR="00D20672">
          <w:rPr>
            <w:rFonts w:asciiTheme="minorHAnsi" w:eastAsiaTheme="minorEastAsia" w:hAnsiTheme="minorHAnsi"/>
            <w:b w:val="0"/>
            <w:bCs w:val="0"/>
            <w:caps w:val="0"/>
            <w:noProof/>
            <w:sz w:val="24"/>
            <w:szCs w:val="24"/>
            <w:lang w:val="cs-CZ" w:eastAsia="cs-CZ"/>
          </w:rPr>
          <w:tab/>
        </w:r>
        <w:r w:rsidR="00D20672" w:rsidRPr="00946225">
          <w:rPr>
            <w:rStyle w:val="Hypertextovodkaz"/>
            <w:noProof/>
          </w:rPr>
          <w:t>Detailnější posouzení vlivu předpisů</w:t>
        </w:r>
        <w:r w:rsidR="00D20672">
          <w:rPr>
            <w:noProof/>
            <w:webHidden/>
          </w:rPr>
          <w:tab/>
        </w:r>
        <w:r w:rsidR="00D20672">
          <w:rPr>
            <w:noProof/>
            <w:webHidden/>
          </w:rPr>
          <w:fldChar w:fldCharType="begin"/>
        </w:r>
        <w:r w:rsidR="00D20672">
          <w:rPr>
            <w:noProof/>
            <w:webHidden/>
          </w:rPr>
          <w:instrText xml:space="preserve"> PAGEREF _Toc81755615 \h </w:instrText>
        </w:r>
        <w:r w:rsidR="00D20672">
          <w:rPr>
            <w:noProof/>
            <w:webHidden/>
          </w:rPr>
        </w:r>
        <w:r w:rsidR="00D20672">
          <w:rPr>
            <w:noProof/>
            <w:webHidden/>
          </w:rPr>
          <w:fldChar w:fldCharType="separate"/>
        </w:r>
        <w:r w:rsidR="00D20672">
          <w:rPr>
            <w:noProof/>
            <w:webHidden/>
          </w:rPr>
          <w:t>43</w:t>
        </w:r>
        <w:r w:rsidR="00D20672">
          <w:rPr>
            <w:noProof/>
            <w:webHidden/>
          </w:rPr>
          <w:fldChar w:fldCharType="end"/>
        </w:r>
      </w:hyperlink>
    </w:p>
    <w:p w14:paraId="5B438F91" w14:textId="3CA64C76" w:rsidR="00D20672" w:rsidRDefault="0005469C">
      <w:pPr>
        <w:pStyle w:val="Obsah1"/>
        <w:tabs>
          <w:tab w:val="left" w:pos="480"/>
        </w:tabs>
        <w:rPr>
          <w:rFonts w:asciiTheme="minorHAnsi" w:eastAsiaTheme="minorEastAsia" w:hAnsiTheme="minorHAnsi"/>
          <w:b w:val="0"/>
          <w:bCs w:val="0"/>
          <w:caps w:val="0"/>
          <w:noProof/>
          <w:sz w:val="24"/>
          <w:szCs w:val="24"/>
          <w:lang w:val="cs-CZ" w:eastAsia="cs-CZ"/>
        </w:rPr>
      </w:pPr>
      <w:hyperlink w:anchor="_Toc81755616" w:history="1">
        <w:r w:rsidR="00D20672" w:rsidRPr="00946225">
          <w:rPr>
            <w:rStyle w:val="Hypertextovodkaz"/>
            <w:noProof/>
          </w:rPr>
          <w:t>8</w:t>
        </w:r>
        <w:r w:rsidR="00D20672">
          <w:rPr>
            <w:rFonts w:asciiTheme="minorHAnsi" w:eastAsiaTheme="minorEastAsia" w:hAnsiTheme="minorHAnsi"/>
            <w:b w:val="0"/>
            <w:bCs w:val="0"/>
            <w:caps w:val="0"/>
            <w:noProof/>
            <w:sz w:val="24"/>
            <w:szCs w:val="24"/>
            <w:lang w:val="cs-CZ" w:eastAsia="cs-CZ"/>
          </w:rPr>
          <w:tab/>
        </w:r>
        <w:r w:rsidR="00D20672" w:rsidRPr="00946225">
          <w:rPr>
            <w:rStyle w:val="Hypertextovodkaz"/>
            <w:noProof/>
          </w:rPr>
          <w:t>Jak by se situace vyvíjela bez zavedení příslušných intervencí?</w:t>
        </w:r>
        <w:r w:rsidR="00D20672">
          <w:rPr>
            <w:noProof/>
            <w:webHidden/>
          </w:rPr>
          <w:tab/>
        </w:r>
        <w:r w:rsidR="00D20672">
          <w:rPr>
            <w:noProof/>
            <w:webHidden/>
          </w:rPr>
          <w:fldChar w:fldCharType="begin"/>
        </w:r>
        <w:r w:rsidR="00D20672">
          <w:rPr>
            <w:noProof/>
            <w:webHidden/>
          </w:rPr>
          <w:instrText xml:space="preserve"> PAGEREF _Toc81755616 \h </w:instrText>
        </w:r>
        <w:r w:rsidR="00D20672">
          <w:rPr>
            <w:noProof/>
            <w:webHidden/>
          </w:rPr>
        </w:r>
        <w:r w:rsidR="00D20672">
          <w:rPr>
            <w:noProof/>
            <w:webHidden/>
          </w:rPr>
          <w:fldChar w:fldCharType="separate"/>
        </w:r>
        <w:r w:rsidR="00D20672">
          <w:rPr>
            <w:noProof/>
            <w:webHidden/>
          </w:rPr>
          <w:t>45</w:t>
        </w:r>
        <w:r w:rsidR="00D20672">
          <w:rPr>
            <w:noProof/>
            <w:webHidden/>
          </w:rPr>
          <w:fldChar w:fldCharType="end"/>
        </w:r>
      </w:hyperlink>
    </w:p>
    <w:p w14:paraId="49E798F9" w14:textId="57563621" w:rsidR="00D20672" w:rsidRDefault="0005469C">
      <w:pPr>
        <w:pStyle w:val="Obsah1"/>
        <w:tabs>
          <w:tab w:val="left" w:pos="480"/>
        </w:tabs>
        <w:rPr>
          <w:rFonts w:asciiTheme="minorHAnsi" w:eastAsiaTheme="minorEastAsia" w:hAnsiTheme="minorHAnsi"/>
          <w:b w:val="0"/>
          <w:bCs w:val="0"/>
          <w:caps w:val="0"/>
          <w:noProof/>
          <w:sz w:val="24"/>
          <w:szCs w:val="24"/>
          <w:lang w:val="cs-CZ" w:eastAsia="cs-CZ"/>
        </w:rPr>
      </w:pPr>
      <w:hyperlink w:anchor="_Toc81755617" w:history="1">
        <w:r w:rsidR="00D20672" w:rsidRPr="00946225">
          <w:rPr>
            <w:rStyle w:val="Hypertextovodkaz"/>
            <w:noProof/>
          </w:rPr>
          <w:t>9</w:t>
        </w:r>
        <w:r w:rsidR="00D20672">
          <w:rPr>
            <w:rFonts w:asciiTheme="minorHAnsi" w:eastAsiaTheme="minorEastAsia" w:hAnsiTheme="minorHAnsi"/>
            <w:b w:val="0"/>
            <w:bCs w:val="0"/>
            <w:caps w:val="0"/>
            <w:noProof/>
            <w:sz w:val="24"/>
            <w:szCs w:val="24"/>
            <w:lang w:val="cs-CZ" w:eastAsia="cs-CZ"/>
          </w:rPr>
          <w:tab/>
        </w:r>
        <w:r w:rsidR="00D20672" w:rsidRPr="00946225">
          <w:rPr>
            <w:rStyle w:val="Hypertextovodkaz"/>
            <w:noProof/>
          </w:rPr>
          <w:t>SWOT ANALÝZA</w:t>
        </w:r>
        <w:r w:rsidR="00D20672">
          <w:rPr>
            <w:noProof/>
            <w:webHidden/>
          </w:rPr>
          <w:tab/>
        </w:r>
        <w:r w:rsidR="00D20672">
          <w:rPr>
            <w:noProof/>
            <w:webHidden/>
          </w:rPr>
          <w:fldChar w:fldCharType="begin"/>
        </w:r>
        <w:r w:rsidR="00D20672">
          <w:rPr>
            <w:noProof/>
            <w:webHidden/>
          </w:rPr>
          <w:instrText xml:space="preserve"> PAGEREF _Toc81755617 \h </w:instrText>
        </w:r>
        <w:r w:rsidR="00D20672">
          <w:rPr>
            <w:noProof/>
            <w:webHidden/>
          </w:rPr>
        </w:r>
        <w:r w:rsidR="00D20672">
          <w:rPr>
            <w:noProof/>
            <w:webHidden/>
          </w:rPr>
          <w:fldChar w:fldCharType="separate"/>
        </w:r>
        <w:r w:rsidR="00D20672">
          <w:rPr>
            <w:noProof/>
            <w:webHidden/>
          </w:rPr>
          <w:t>46</w:t>
        </w:r>
        <w:r w:rsidR="00D20672">
          <w:rPr>
            <w:noProof/>
            <w:webHidden/>
          </w:rPr>
          <w:fldChar w:fldCharType="end"/>
        </w:r>
      </w:hyperlink>
    </w:p>
    <w:p w14:paraId="54E4667E" w14:textId="742773AD" w:rsidR="00D20672" w:rsidRDefault="0005469C">
      <w:pPr>
        <w:pStyle w:val="Obsah1"/>
        <w:rPr>
          <w:rFonts w:asciiTheme="minorHAnsi" w:eastAsiaTheme="minorEastAsia" w:hAnsiTheme="minorHAnsi"/>
          <w:b w:val="0"/>
          <w:bCs w:val="0"/>
          <w:caps w:val="0"/>
          <w:noProof/>
          <w:sz w:val="24"/>
          <w:szCs w:val="24"/>
          <w:lang w:val="cs-CZ" w:eastAsia="cs-CZ"/>
        </w:rPr>
      </w:pPr>
      <w:hyperlink w:anchor="_Toc81755618" w:history="1">
        <w:r w:rsidR="00D20672" w:rsidRPr="00946225">
          <w:rPr>
            <w:rStyle w:val="Hypertextovodkaz"/>
            <w:noProof/>
          </w:rPr>
          <w:t>B. ANTIMIKROBIÁLNÍ REZISTENCE</w:t>
        </w:r>
        <w:r w:rsidR="00D20672">
          <w:rPr>
            <w:noProof/>
            <w:webHidden/>
          </w:rPr>
          <w:tab/>
        </w:r>
        <w:r w:rsidR="00D20672">
          <w:rPr>
            <w:noProof/>
            <w:webHidden/>
          </w:rPr>
          <w:fldChar w:fldCharType="begin"/>
        </w:r>
        <w:r w:rsidR="00D20672">
          <w:rPr>
            <w:noProof/>
            <w:webHidden/>
          </w:rPr>
          <w:instrText xml:space="preserve"> PAGEREF _Toc81755618 \h </w:instrText>
        </w:r>
        <w:r w:rsidR="00D20672">
          <w:rPr>
            <w:noProof/>
            <w:webHidden/>
          </w:rPr>
        </w:r>
        <w:r w:rsidR="00D20672">
          <w:rPr>
            <w:noProof/>
            <w:webHidden/>
          </w:rPr>
          <w:fldChar w:fldCharType="separate"/>
        </w:r>
        <w:r w:rsidR="00D20672">
          <w:rPr>
            <w:noProof/>
            <w:webHidden/>
          </w:rPr>
          <w:t>48</w:t>
        </w:r>
        <w:r w:rsidR="00D20672">
          <w:rPr>
            <w:noProof/>
            <w:webHidden/>
          </w:rPr>
          <w:fldChar w:fldCharType="end"/>
        </w:r>
      </w:hyperlink>
    </w:p>
    <w:p w14:paraId="593CC80A" w14:textId="3A456DD6" w:rsidR="00D20672" w:rsidRDefault="0005469C">
      <w:pPr>
        <w:pStyle w:val="Obsah1"/>
        <w:tabs>
          <w:tab w:val="left" w:pos="480"/>
        </w:tabs>
        <w:rPr>
          <w:rFonts w:asciiTheme="minorHAnsi" w:eastAsiaTheme="minorEastAsia" w:hAnsiTheme="minorHAnsi"/>
          <w:b w:val="0"/>
          <w:bCs w:val="0"/>
          <w:caps w:val="0"/>
          <w:noProof/>
          <w:sz w:val="24"/>
          <w:szCs w:val="24"/>
          <w:lang w:val="cs-CZ" w:eastAsia="cs-CZ"/>
        </w:rPr>
      </w:pPr>
      <w:hyperlink w:anchor="_Toc81755619" w:history="1">
        <w:r w:rsidR="00D20672" w:rsidRPr="00946225">
          <w:rPr>
            <w:rStyle w:val="Hypertextovodkaz"/>
            <w:noProof/>
          </w:rPr>
          <w:t>1</w:t>
        </w:r>
        <w:r w:rsidR="00D20672">
          <w:rPr>
            <w:rFonts w:asciiTheme="minorHAnsi" w:eastAsiaTheme="minorEastAsia" w:hAnsiTheme="minorHAnsi"/>
            <w:b w:val="0"/>
            <w:bCs w:val="0"/>
            <w:caps w:val="0"/>
            <w:noProof/>
            <w:sz w:val="24"/>
            <w:szCs w:val="24"/>
            <w:lang w:val="cs-CZ" w:eastAsia="cs-CZ"/>
          </w:rPr>
          <w:tab/>
        </w:r>
        <w:r w:rsidR="00D20672" w:rsidRPr="00946225">
          <w:rPr>
            <w:rStyle w:val="Hypertextovodkaz"/>
            <w:noProof/>
          </w:rPr>
          <w:t>Analýza stávajících/navrhovaných právních předpisů EK/ČR a pravděpodobné nastavení směrů a cílů SZP</w:t>
        </w:r>
        <w:r w:rsidR="00D20672">
          <w:rPr>
            <w:noProof/>
            <w:webHidden/>
          </w:rPr>
          <w:tab/>
        </w:r>
        <w:r w:rsidR="00D20672">
          <w:rPr>
            <w:noProof/>
            <w:webHidden/>
          </w:rPr>
          <w:fldChar w:fldCharType="begin"/>
        </w:r>
        <w:r w:rsidR="00D20672">
          <w:rPr>
            <w:noProof/>
            <w:webHidden/>
          </w:rPr>
          <w:instrText xml:space="preserve"> PAGEREF _Toc81755619 \h </w:instrText>
        </w:r>
        <w:r w:rsidR="00D20672">
          <w:rPr>
            <w:noProof/>
            <w:webHidden/>
          </w:rPr>
        </w:r>
        <w:r w:rsidR="00D20672">
          <w:rPr>
            <w:noProof/>
            <w:webHidden/>
          </w:rPr>
          <w:fldChar w:fldCharType="separate"/>
        </w:r>
        <w:r w:rsidR="00D20672">
          <w:rPr>
            <w:noProof/>
            <w:webHidden/>
          </w:rPr>
          <w:t>48</w:t>
        </w:r>
        <w:r w:rsidR="00D20672">
          <w:rPr>
            <w:noProof/>
            <w:webHidden/>
          </w:rPr>
          <w:fldChar w:fldCharType="end"/>
        </w:r>
      </w:hyperlink>
    </w:p>
    <w:p w14:paraId="0BD3006D" w14:textId="2EF27823" w:rsidR="00D20672" w:rsidRDefault="0005469C">
      <w:pPr>
        <w:pStyle w:val="Obsah1"/>
        <w:tabs>
          <w:tab w:val="left" w:pos="480"/>
        </w:tabs>
        <w:rPr>
          <w:rFonts w:asciiTheme="minorHAnsi" w:eastAsiaTheme="minorEastAsia" w:hAnsiTheme="minorHAnsi"/>
          <w:b w:val="0"/>
          <w:bCs w:val="0"/>
          <w:caps w:val="0"/>
          <w:noProof/>
          <w:sz w:val="24"/>
          <w:szCs w:val="24"/>
          <w:lang w:val="cs-CZ" w:eastAsia="cs-CZ"/>
        </w:rPr>
      </w:pPr>
      <w:hyperlink w:anchor="_Toc81755620" w:history="1">
        <w:r w:rsidR="00D20672" w:rsidRPr="00946225">
          <w:rPr>
            <w:rStyle w:val="Hypertextovodkaz"/>
            <w:noProof/>
          </w:rPr>
          <w:t>2</w:t>
        </w:r>
        <w:r w:rsidR="00D20672">
          <w:rPr>
            <w:rFonts w:asciiTheme="minorHAnsi" w:eastAsiaTheme="minorEastAsia" w:hAnsiTheme="minorHAnsi"/>
            <w:b w:val="0"/>
            <w:bCs w:val="0"/>
            <w:caps w:val="0"/>
            <w:noProof/>
            <w:sz w:val="24"/>
            <w:szCs w:val="24"/>
            <w:lang w:val="cs-CZ" w:eastAsia="cs-CZ"/>
          </w:rPr>
          <w:tab/>
        </w:r>
        <w:r w:rsidR="00D20672" w:rsidRPr="00946225">
          <w:rPr>
            <w:rStyle w:val="Hypertextovodkaz"/>
            <w:noProof/>
          </w:rPr>
          <w:t>Stanovení skutečného problému, na který má politika reagovat. Co je skutečným problémem, na který má/by měla politika v rámci jednotlivých dílčích cílů reagovat?</w:t>
        </w:r>
        <w:r w:rsidR="00D20672">
          <w:rPr>
            <w:noProof/>
            <w:webHidden/>
          </w:rPr>
          <w:tab/>
        </w:r>
        <w:r w:rsidR="00D20672">
          <w:rPr>
            <w:noProof/>
            <w:webHidden/>
          </w:rPr>
          <w:fldChar w:fldCharType="begin"/>
        </w:r>
        <w:r w:rsidR="00D20672">
          <w:rPr>
            <w:noProof/>
            <w:webHidden/>
          </w:rPr>
          <w:instrText xml:space="preserve"> PAGEREF _Toc81755620 \h </w:instrText>
        </w:r>
        <w:r w:rsidR="00D20672">
          <w:rPr>
            <w:noProof/>
            <w:webHidden/>
          </w:rPr>
        </w:r>
        <w:r w:rsidR="00D20672">
          <w:rPr>
            <w:noProof/>
            <w:webHidden/>
          </w:rPr>
          <w:fldChar w:fldCharType="separate"/>
        </w:r>
        <w:r w:rsidR="00D20672">
          <w:rPr>
            <w:noProof/>
            <w:webHidden/>
          </w:rPr>
          <w:t>53</w:t>
        </w:r>
        <w:r w:rsidR="00D20672">
          <w:rPr>
            <w:noProof/>
            <w:webHidden/>
          </w:rPr>
          <w:fldChar w:fldCharType="end"/>
        </w:r>
      </w:hyperlink>
    </w:p>
    <w:p w14:paraId="38C41271" w14:textId="6F968330" w:rsidR="00D20672" w:rsidRDefault="0005469C">
      <w:pPr>
        <w:pStyle w:val="Obsah1"/>
        <w:tabs>
          <w:tab w:val="left" w:pos="480"/>
        </w:tabs>
        <w:rPr>
          <w:rFonts w:asciiTheme="minorHAnsi" w:eastAsiaTheme="minorEastAsia" w:hAnsiTheme="minorHAnsi"/>
          <w:b w:val="0"/>
          <w:bCs w:val="0"/>
          <w:caps w:val="0"/>
          <w:noProof/>
          <w:sz w:val="24"/>
          <w:szCs w:val="24"/>
          <w:lang w:val="cs-CZ" w:eastAsia="cs-CZ"/>
        </w:rPr>
      </w:pPr>
      <w:hyperlink w:anchor="_Toc81755621" w:history="1">
        <w:r w:rsidR="00D20672" w:rsidRPr="00946225">
          <w:rPr>
            <w:rStyle w:val="Hypertextovodkaz"/>
            <w:noProof/>
          </w:rPr>
          <w:t>3</w:t>
        </w:r>
        <w:r w:rsidR="00D20672">
          <w:rPr>
            <w:rFonts w:asciiTheme="minorHAnsi" w:eastAsiaTheme="minorEastAsia" w:hAnsiTheme="minorHAnsi"/>
            <w:b w:val="0"/>
            <w:bCs w:val="0"/>
            <w:caps w:val="0"/>
            <w:noProof/>
            <w:sz w:val="24"/>
            <w:szCs w:val="24"/>
            <w:lang w:val="cs-CZ" w:eastAsia="cs-CZ"/>
          </w:rPr>
          <w:tab/>
        </w:r>
        <w:r w:rsidR="00D20672" w:rsidRPr="00946225">
          <w:rPr>
            <w:rStyle w:val="Hypertextovodkaz"/>
            <w:noProof/>
          </w:rPr>
          <w:t>Mechanismus a příčiny problému</w:t>
        </w:r>
        <w:r w:rsidR="00D20672">
          <w:rPr>
            <w:noProof/>
            <w:webHidden/>
          </w:rPr>
          <w:tab/>
        </w:r>
        <w:r w:rsidR="00D20672">
          <w:rPr>
            <w:noProof/>
            <w:webHidden/>
          </w:rPr>
          <w:fldChar w:fldCharType="begin"/>
        </w:r>
        <w:r w:rsidR="00D20672">
          <w:rPr>
            <w:noProof/>
            <w:webHidden/>
          </w:rPr>
          <w:instrText xml:space="preserve"> PAGEREF _Toc81755621 \h </w:instrText>
        </w:r>
        <w:r w:rsidR="00D20672">
          <w:rPr>
            <w:noProof/>
            <w:webHidden/>
          </w:rPr>
        </w:r>
        <w:r w:rsidR="00D20672">
          <w:rPr>
            <w:noProof/>
            <w:webHidden/>
          </w:rPr>
          <w:fldChar w:fldCharType="separate"/>
        </w:r>
        <w:r w:rsidR="00D20672">
          <w:rPr>
            <w:noProof/>
            <w:webHidden/>
          </w:rPr>
          <w:t>56</w:t>
        </w:r>
        <w:r w:rsidR="00D20672">
          <w:rPr>
            <w:noProof/>
            <w:webHidden/>
          </w:rPr>
          <w:fldChar w:fldCharType="end"/>
        </w:r>
      </w:hyperlink>
    </w:p>
    <w:p w14:paraId="55043F68" w14:textId="05790C7B" w:rsidR="00D20672" w:rsidRDefault="0005469C">
      <w:pPr>
        <w:pStyle w:val="Obsah1"/>
        <w:tabs>
          <w:tab w:val="left" w:pos="480"/>
        </w:tabs>
        <w:rPr>
          <w:rFonts w:asciiTheme="minorHAnsi" w:eastAsiaTheme="minorEastAsia" w:hAnsiTheme="minorHAnsi"/>
          <w:b w:val="0"/>
          <w:bCs w:val="0"/>
          <w:caps w:val="0"/>
          <w:noProof/>
          <w:sz w:val="24"/>
          <w:szCs w:val="24"/>
          <w:lang w:val="cs-CZ" w:eastAsia="cs-CZ"/>
        </w:rPr>
      </w:pPr>
      <w:hyperlink w:anchor="_Toc81755622" w:history="1">
        <w:r w:rsidR="00D20672" w:rsidRPr="00946225">
          <w:rPr>
            <w:rStyle w:val="Hypertextovodkaz"/>
            <w:noProof/>
          </w:rPr>
          <w:t>4</w:t>
        </w:r>
        <w:r w:rsidR="00D20672">
          <w:rPr>
            <w:rFonts w:asciiTheme="minorHAnsi" w:eastAsiaTheme="minorEastAsia" w:hAnsiTheme="minorHAnsi"/>
            <w:b w:val="0"/>
            <w:bCs w:val="0"/>
            <w:caps w:val="0"/>
            <w:noProof/>
            <w:sz w:val="24"/>
            <w:szCs w:val="24"/>
            <w:lang w:val="cs-CZ" w:eastAsia="cs-CZ"/>
          </w:rPr>
          <w:tab/>
        </w:r>
        <w:r w:rsidR="00D20672" w:rsidRPr="00946225">
          <w:rPr>
            <w:rStyle w:val="Hypertextovodkaz"/>
            <w:noProof/>
          </w:rPr>
          <w:t>Závažnost problému</w:t>
        </w:r>
        <w:r w:rsidR="00D20672">
          <w:rPr>
            <w:noProof/>
            <w:webHidden/>
          </w:rPr>
          <w:tab/>
        </w:r>
        <w:r w:rsidR="00D20672">
          <w:rPr>
            <w:noProof/>
            <w:webHidden/>
          </w:rPr>
          <w:fldChar w:fldCharType="begin"/>
        </w:r>
        <w:r w:rsidR="00D20672">
          <w:rPr>
            <w:noProof/>
            <w:webHidden/>
          </w:rPr>
          <w:instrText xml:space="preserve"> PAGEREF _Toc81755622 \h </w:instrText>
        </w:r>
        <w:r w:rsidR="00D20672">
          <w:rPr>
            <w:noProof/>
            <w:webHidden/>
          </w:rPr>
        </w:r>
        <w:r w:rsidR="00D20672">
          <w:rPr>
            <w:noProof/>
            <w:webHidden/>
          </w:rPr>
          <w:fldChar w:fldCharType="separate"/>
        </w:r>
        <w:r w:rsidR="00D20672">
          <w:rPr>
            <w:noProof/>
            <w:webHidden/>
          </w:rPr>
          <w:t>58</w:t>
        </w:r>
        <w:r w:rsidR="00D20672">
          <w:rPr>
            <w:noProof/>
            <w:webHidden/>
          </w:rPr>
          <w:fldChar w:fldCharType="end"/>
        </w:r>
      </w:hyperlink>
    </w:p>
    <w:p w14:paraId="1F016821" w14:textId="7B9CC5EE" w:rsidR="00D20672" w:rsidRDefault="0005469C">
      <w:pPr>
        <w:pStyle w:val="Obsah1"/>
        <w:tabs>
          <w:tab w:val="left" w:pos="480"/>
        </w:tabs>
        <w:rPr>
          <w:rFonts w:asciiTheme="minorHAnsi" w:eastAsiaTheme="minorEastAsia" w:hAnsiTheme="minorHAnsi"/>
          <w:b w:val="0"/>
          <w:bCs w:val="0"/>
          <w:caps w:val="0"/>
          <w:noProof/>
          <w:sz w:val="24"/>
          <w:szCs w:val="24"/>
          <w:lang w:val="cs-CZ" w:eastAsia="cs-CZ"/>
        </w:rPr>
      </w:pPr>
      <w:hyperlink w:anchor="_Toc81755623" w:history="1">
        <w:r w:rsidR="00D20672" w:rsidRPr="00946225">
          <w:rPr>
            <w:rStyle w:val="Hypertextovodkaz"/>
            <w:noProof/>
          </w:rPr>
          <w:t>5</w:t>
        </w:r>
        <w:r w:rsidR="00D20672">
          <w:rPr>
            <w:rFonts w:asciiTheme="minorHAnsi" w:eastAsiaTheme="minorEastAsia" w:hAnsiTheme="minorHAnsi"/>
            <w:b w:val="0"/>
            <w:bCs w:val="0"/>
            <w:caps w:val="0"/>
            <w:noProof/>
            <w:sz w:val="24"/>
            <w:szCs w:val="24"/>
            <w:lang w:val="cs-CZ" w:eastAsia="cs-CZ"/>
          </w:rPr>
          <w:tab/>
        </w:r>
        <w:r w:rsidR="00D20672" w:rsidRPr="00946225">
          <w:rPr>
            <w:rStyle w:val="Hypertextovodkaz"/>
            <w:noProof/>
          </w:rPr>
          <w:t>Existence/neexistence možnosti efektivního řešení v rámci nástrojů SZP, které lze uvažovat v nových návrzích SZP</w:t>
        </w:r>
        <w:r w:rsidR="00D20672">
          <w:rPr>
            <w:noProof/>
            <w:webHidden/>
          </w:rPr>
          <w:tab/>
        </w:r>
        <w:r w:rsidR="00D20672">
          <w:rPr>
            <w:noProof/>
            <w:webHidden/>
          </w:rPr>
          <w:fldChar w:fldCharType="begin"/>
        </w:r>
        <w:r w:rsidR="00D20672">
          <w:rPr>
            <w:noProof/>
            <w:webHidden/>
          </w:rPr>
          <w:instrText xml:space="preserve"> PAGEREF _Toc81755623 \h </w:instrText>
        </w:r>
        <w:r w:rsidR="00D20672">
          <w:rPr>
            <w:noProof/>
            <w:webHidden/>
          </w:rPr>
        </w:r>
        <w:r w:rsidR="00D20672">
          <w:rPr>
            <w:noProof/>
            <w:webHidden/>
          </w:rPr>
          <w:fldChar w:fldCharType="separate"/>
        </w:r>
        <w:r w:rsidR="00D20672">
          <w:rPr>
            <w:noProof/>
            <w:webHidden/>
          </w:rPr>
          <w:t>70</w:t>
        </w:r>
        <w:r w:rsidR="00D20672">
          <w:rPr>
            <w:noProof/>
            <w:webHidden/>
          </w:rPr>
          <w:fldChar w:fldCharType="end"/>
        </w:r>
      </w:hyperlink>
    </w:p>
    <w:p w14:paraId="14046A52" w14:textId="3459E6D1" w:rsidR="00D20672" w:rsidRDefault="0005469C">
      <w:pPr>
        <w:pStyle w:val="Obsah1"/>
        <w:tabs>
          <w:tab w:val="left" w:pos="480"/>
        </w:tabs>
        <w:rPr>
          <w:rFonts w:asciiTheme="minorHAnsi" w:eastAsiaTheme="minorEastAsia" w:hAnsiTheme="minorHAnsi"/>
          <w:b w:val="0"/>
          <w:bCs w:val="0"/>
          <w:caps w:val="0"/>
          <w:noProof/>
          <w:sz w:val="24"/>
          <w:szCs w:val="24"/>
          <w:lang w:val="cs-CZ" w:eastAsia="cs-CZ"/>
        </w:rPr>
      </w:pPr>
      <w:hyperlink w:anchor="_Toc81755624" w:history="1">
        <w:r w:rsidR="00D20672" w:rsidRPr="00946225">
          <w:rPr>
            <w:rStyle w:val="Hypertextovodkaz"/>
            <w:noProof/>
          </w:rPr>
          <w:t>6</w:t>
        </w:r>
        <w:r w:rsidR="00D20672">
          <w:rPr>
            <w:rFonts w:asciiTheme="minorHAnsi" w:eastAsiaTheme="minorEastAsia" w:hAnsiTheme="minorHAnsi"/>
            <w:b w:val="0"/>
            <w:bCs w:val="0"/>
            <w:caps w:val="0"/>
            <w:noProof/>
            <w:sz w:val="24"/>
            <w:szCs w:val="24"/>
            <w:lang w:val="cs-CZ" w:eastAsia="cs-CZ"/>
          </w:rPr>
          <w:tab/>
        </w:r>
        <w:r w:rsidR="00D20672" w:rsidRPr="00946225">
          <w:rPr>
            <w:rStyle w:val="Hypertextovodkaz"/>
            <w:noProof/>
          </w:rPr>
          <w:t>Míra stávajícího řešení problému</w:t>
        </w:r>
        <w:r w:rsidR="00D20672">
          <w:rPr>
            <w:noProof/>
            <w:webHidden/>
          </w:rPr>
          <w:tab/>
        </w:r>
        <w:r w:rsidR="00D20672">
          <w:rPr>
            <w:noProof/>
            <w:webHidden/>
          </w:rPr>
          <w:fldChar w:fldCharType="begin"/>
        </w:r>
        <w:r w:rsidR="00D20672">
          <w:rPr>
            <w:noProof/>
            <w:webHidden/>
          </w:rPr>
          <w:instrText xml:space="preserve"> PAGEREF _Toc81755624 \h </w:instrText>
        </w:r>
        <w:r w:rsidR="00D20672">
          <w:rPr>
            <w:noProof/>
            <w:webHidden/>
          </w:rPr>
        </w:r>
        <w:r w:rsidR="00D20672">
          <w:rPr>
            <w:noProof/>
            <w:webHidden/>
          </w:rPr>
          <w:fldChar w:fldCharType="separate"/>
        </w:r>
        <w:r w:rsidR="00D20672">
          <w:rPr>
            <w:noProof/>
            <w:webHidden/>
          </w:rPr>
          <w:t>73</w:t>
        </w:r>
        <w:r w:rsidR="00D20672">
          <w:rPr>
            <w:noProof/>
            <w:webHidden/>
          </w:rPr>
          <w:fldChar w:fldCharType="end"/>
        </w:r>
      </w:hyperlink>
    </w:p>
    <w:p w14:paraId="086F8556" w14:textId="2852AF13" w:rsidR="00D20672" w:rsidRDefault="0005469C">
      <w:pPr>
        <w:pStyle w:val="Obsah2"/>
        <w:rPr>
          <w:rFonts w:asciiTheme="minorHAnsi" w:eastAsiaTheme="minorEastAsia" w:hAnsiTheme="minorHAnsi"/>
          <w:smallCaps w:val="0"/>
          <w:noProof/>
          <w:sz w:val="24"/>
          <w:szCs w:val="24"/>
          <w:lang w:val="cs-CZ" w:eastAsia="cs-CZ"/>
        </w:rPr>
      </w:pPr>
      <w:hyperlink w:anchor="_Toc81755625" w:history="1">
        <w:r w:rsidR="00D20672" w:rsidRPr="00946225">
          <w:rPr>
            <w:rStyle w:val="Hypertextovodkaz"/>
            <w:noProof/>
          </w:rPr>
          <w:t>6.1</w:t>
        </w:r>
        <w:r w:rsidR="00D20672">
          <w:rPr>
            <w:rFonts w:asciiTheme="minorHAnsi" w:eastAsiaTheme="minorEastAsia" w:hAnsiTheme="minorHAnsi"/>
            <w:smallCaps w:val="0"/>
            <w:noProof/>
            <w:sz w:val="24"/>
            <w:szCs w:val="24"/>
            <w:lang w:val="cs-CZ" w:eastAsia="cs-CZ"/>
          </w:rPr>
          <w:tab/>
        </w:r>
        <w:r w:rsidR="00D20672" w:rsidRPr="00946225">
          <w:rPr>
            <w:rStyle w:val="Hypertextovodkaz"/>
            <w:noProof/>
          </w:rPr>
          <w:t>Míra řešení ve stávající SZP (úspěšnost/neúspěšnost)</w:t>
        </w:r>
        <w:r w:rsidR="00D20672">
          <w:rPr>
            <w:noProof/>
            <w:webHidden/>
          </w:rPr>
          <w:tab/>
        </w:r>
        <w:r w:rsidR="00D20672">
          <w:rPr>
            <w:noProof/>
            <w:webHidden/>
          </w:rPr>
          <w:fldChar w:fldCharType="begin"/>
        </w:r>
        <w:r w:rsidR="00D20672">
          <w:rPr>
            <w:noProof/>
            <w:webHidden/>
          </w:rPr>
          <w:instrText xml:space="preserve"> PAGEREF _Toc81755625 \h </w:instrText>
        </w:r>
        <w:r w:rsidR="00D20672">
          <w:rPr>
            <w:noProof/>
            <w:webHidden/>
          </w:rPr>
        </w:r>
        <w:r w:rsidR="00D20672">
          <w:rPr>
            <w:noProof/>
            <w:webHidden/>
          </w:rPr>
          <w:fldChar w:fldCharType="separate"/>
        </w:r>
        <w:r w:rsidR="00D20672">
          <w:rPr>
            <w:noProof/>
            <w:webHidden/>
          </w:rPr>
          <w:t>73</w:t>
        </w:r>
        <w:r w:rsidR="00D20672">
          <w:rPr>
            <w:noProof/>
            <w:webHidden/>
          </w:rPr>
          <w:fldChar w:fldCharType="end"/>
        </w:r>
      </w:hyperlink>
    </w:p>
    <w:p w14:paraId="395AFAE6" w14:textId="5DD508E5" w:rsidR="00D20672" w:rsidRDefault="0005469C">
      <w:pPr>
        <w:pStyle w:val="Obsah2"/>
        <w:rPr>
          <w:rFonts w:asciiTheme="minorHAnsi" w:eastAsiaTheme="minorEastAsia" w:hAnsiTheme="minorHAnsi"/>
          <w:smallCaps w:val="0"/>
          <w:noProof/>
          <w:sz w:val="24"/>
          <w:szCs w:val="24"/>
          <w:lang w:val="cs-CZ" w:eastAsia="cs-CZ"/>
        </w:rPr>
      </w:pPr>
      <w:hyperlink w:anchor="_Toc81755626" w:history="1">
        <w:r w:rsidR="00D20672" w:rsidRPr="00946225">
          <w:rPr>
            <w:rStyle w:val="Hypertextovodkaz"/>
            <w:noProof/>
          </w:rPr>
          <w:t>6.2</w:t>
        </w:r>
        <w:r w:rsidR="00D20672">
          <w:rPr>
            <w:rFonts w:asciiTheme="minorHAnsi" w:eastAsiaTheme="minorEastAsia" w:hAnsiTheme="minorHAnsi"/>
            <w:smallCaps w:val="0"/>
            <w:noProof/>
            <w:sz w:val="24"/>
            <w:szCs w:val="24"/>
            <w:lang w:val="cs-CZ" w:eastAsia="cs-CZ"/>
          </w:rPr>
          <w:tab/>
        </w:r>
        <w:r w:rsidR="00D20672" w:rsidRPr="00946225">
          <w:rPr>
            <w:rStyle w:val="Hypertextovodkaz"/>
            <w:noProof/>
          </w:rPr>
          <w:t>Míra současného řešení problému jinými politikami</w:t>
        </w:r>
        <w:r w:rsidR="00D20672">
          <w:rPr>
            <w:noProof/>
            <w:webHidden/>
          </w:rPr>
          <w:tab/>
        </w:r>
        <w:r w:rsidR="00D20672">
          <w:rPr>
            <w:noProof/>
            <w:webHidden/>
          </w:rPr>
          <w:fldChar w:fldCharType="begin"/>
        </w:r>
        <w:r w:rsidR="00D20672">
          <w:rPr>
            <w:noProof/>
            <w:webHidden/>
          </w:rPr>
          <w:instrText xml:space="preserve"> PAGEREF _Toc81755626 \h </w:instrText>
        </w:r>
        <w:r w:rsidR="00D20672">
          <w:rPr>
            <w:noProof/>
            <w:webHidden/>
          </w:rPr>
        </w:r>
        <w:r w:rsidR="00D20672">
          <w:rPr>
            <w:noProof/>
            <w:webHidden/>
          </w:rPr>
          <w:fldChar w:fldCharType="separate"/>
        </w:r>
        <w:r w:rsidR="00D20672">
          <w:rPr>
            <w:noProof/>
            <w:webHidden/>
          </w:rPr>
          <w:t>73</w:t>
        </w:r>
        <w:r w:rsidR="00D20672">
          <w:rPr>
            <w:noProof/>
            <w:webHidden/>
          </w:rPr>
          <w:fldChar w:fldCharType="end"/>
        </w:r>
      </w:hyperlink>
    </w:p>
    <w:p w14:paraId="72582E68" w14:textId="3E33E896" w:rsidR="00D20672" w:rsidRDefault="0005469C">
      <w:pPr>
        <w:pStyle w:val="Obsah1"/>
        <w:tabs>
          <w:tab w:val="left" w:pos="480"/>
        </w:tabs>
        <w:rPr>
          <w:rFonts w:asciiTheme="minorHAnsi" w:eastAsiaTheme="minorEastAsia" w:hAnsiTheme="minorHAnsi"/>
          <w:b w:val="0"/>
          <w:bCs w:val="0"/>
          <w:caps w:val="0"/>
          <w:noProof/>
          <w:sz w:val="24"/>
          <w:szCs w:val="24"/>
          <w:lang w:val="cs-CZ" w:eastAsia="cs-CZ"/>
        </w:rPr>
      </w:pPr>
      <w:hyperlink w:anchor="_Toc81755627" w:history="1">
        <w:r w:rsidR="00D20672" w:rsidRPr="00946225">
          <w:rPr>
            <w:rStyle w:val="Hypertextovodkaz"/>
            <w:noProof/>
          </w:rPr>
          <w:t>7</w:t>
        </w:r>
        <w:r w:rsidR="00D20672">
          <w:rPr>
            <w:rFonts w:asciiTheme="minorHAnsi" w:eastAsiaTheme="minorEastAsia" w:hAnsiTheme="minorHAnsi"/>
            <w:b w:val="0"/>
            <w:bCs w:val="0"/>
            <w:caps w:val="0"/>
            <w:noProof/>
            <w:sz w:val="24"/>
            <w:szCs w:val="24"/>
            <w:lang w:val="cs-CZ" w:eastAsia="cs-CZ"/>
          </w:rPr>
          <w:tab/>
        </w:r>
        <w:r w:rsidR="00D20672" w:rsidRPr="00946225">
          <w:rPr>
            <w:rStyle w:val="Hypertextovodkaz"/>
            <w:noProof/>
          </w:rPr>
          <w:t>Detailnější posouzení vlivu předpisů</w:t>
        </w:r>
        <w:r w:rsidR="00D20672">
          <w:rPr>
            <w:noProof/>
            <w:webHidden/>
          </w:rPr>
          <w:tab/>
        </w:r>
        <w:r w:rsidR="00D20672">
          <w:rPr>
            <w:noProof/>
            <w:webHidden/>
          </w:rPr>
          <w:fldChar w:fldCharType="begin"/>
        </w:r>
        <w:r w:rsidR="00D20672">
          <w:rPr>
            <w:noProof/>
            <w:webHidden/>
          </w:rPr>
          <w:instrText xml:space="preserve"> PAGEREF _Toc81755627 \h </w:instrText>
        </w:r>
        <w:r w:rsidR="00D20672">
          <w:rPr>
            <w:noProof/>
            <w:webHidden/>
          </w:rPr>
        </w:r>
        <w:r w:rsidR="00D20672">
          <w:rPr>
            <w:noProof/>
            <w:webHidden/>
          </w:rPr>
          <w:fldChar w:fldCharType="separate"/>
        </w:r>
        <w:r w:rsidR="00D20672">
          <w:rPr>
            <w:noProof/>
            <w:webHidden/>
          </w:rPr>
          <w:t>75</w:t>
        </w:r>
        <w:r w:rsidR="00D20672">
          <w:rPr>
            <w:noProof/>
            <w:webHidden/>
          </w:rPr>
          <w:fldChar w:fldCharType="end"/>
        </w:r>
      </w:hyperlink>
    </w:p>
    <w:p w14:paraId="3BF9385A" w14:textId="403F53BB" w:rsidR="00D20672" w:rsidRDefault="0005469C">
      <w:pPr>
        <w:pStyle w:val="Obsah1"/>
        <w:tabs>
          <w:tab w:val="left" w:pos="480"/>
        </w:tabs>
        <w:rPr>
          <w:rFonts w:asciiTheme="minorHAnsi" w:eastAsiaTheme="minorEastAsia" w:hAnsiTheme="minorHAnsi"/>
          <w:b w:val="0"/>
          <w:bCs w:val="0"/>
          <w:caps w:val="0"/>
          <w:noProof/>
          <w:sz w:val="24"/>
          <w:szCs w:val="24"/>
          <w:lang w:val="cs-CZ" w:eastAsia="cs-CZ"/>
        </w:rPr>
      </w:pPr>
      <w:hyperlink w:anchor="_Toc81755628" w:history="1">
        <w:r w:rsidR="00D20672" w:rsidRPr="00946225">
          <w:rPr>
            <w:rStyle w:val="Hypertextovodkaz"/>
            <w:noProof/>
          </w:rPr>
          <w:t>8</w:t>
        </w:r>
        <w:r w:rsidR="00D20672">
          <w:rPr>
            <w:rFonts w:asciiTheme="minorHAnsi" w:eastAsiaTheme="minorEastAsia" w:hAnsiTheme="minorHAnsi"/>
            <w:b w:val="0"/>
            <w:bCs w:val="0"/>
            <w:caps w:val="0"/>
            <w:noProof/>
            <w:sz w:val="24"/>
            <w:szCs w:val="24"/>
            <w:lang w:val="cs-CZ" w:eastAsia="cs-CZ"/>
          </w:rPr>
          <w:tab/>
        </w:r>
        <w:r w:rsidR="00D20672" w:rsidRPr="00946225">
          <w:rPr>
            <w:rStyle w:val="Hypertextovodkaz"/>
            <w:noProof/>
          </w:rPr>
          <w:t>Jak by se situace vyvíjela bez zavedení příslušných intervencí?</w:t>
        </w:r>
        <w:r w:rsidR="00D20672">
          <w:rPr>
            <w:noProof/>
            <w:webHidden/>
          </w:rPr>
          <w:tab/>
        </w:r>
        <w:r w:rsidR="00D20672">
          <w:rPr>
            <w:noProof/>
            <w:webHidden/>
          </w:rPr>
          <w:fldChar w:fldCharType="begin"/>
        </w:r>
        <w:r w:rsidR="00D20672">
          <w:rPr>
            <w:noProof/>
            <w:webHidden/>
          </w:rPr>
          <w:instrText xml:space="preserve"> PAGEREF _Toc81755628 \h </w:instrText>
        </w:r>
        <w:r w:rsidR="00D20672">
          <w:rPr>
            <w:noProof/>
            <w:webHidden/>
          </w:rPr>
        </w:r>
        <w:r w:rsidR="00D20672">
          <w:rPr>
            <w:noProof/>
            <w:webHidden/>
          </w:rPr>
          <w:fldChar w:fldCharType="separate"/>
        </w:r>
        <w:r w:rsidR="00D20672">
          <w:rPr>
            <w:noProof/>
            <w:webHidden/>
          </w:rPr>
          <w:t>77</w:t>
        </w:r>
        <w:r w:rsidR="00D20672">
          <w:rPr>
            <w:noProof/>
            <w:webHidden/>
          </w:rPr>
          <w:fldChar w:fldCharType="end"/>
        </w:r>
      </w:hyperlink>
    </w:p>
    <w:p w14:paraId="62F3B62D" w14:textId="4A88A57B" w:rsidR="00D20672" w:rsidRDefault="0005469C">
      <w:pPr>
        <w:pStyle w:val="Obsah1"/>
        <w:tabs>
          <w:tab w:val="left" w:pos="480"/>
        </w:tabs>
        <w:rPr>
          <w:rFonts w:asciiTheme="minorHAnsi" w:eastAsiaTheme="minorEastAsia" w:hAnsiTheme="minorHAnsi"/>
          <w:b w:val="0"/>
          <w:bCs w:val="0"/>
          <w:caps w:val="0"/>
          <w:noProof/>
          <w:sz w:val="24"/>
          <w:szCs w:val="24"/>
          <w:lang w:val="cs-CZ" w:eastAsia="cs-CZ"/>
        </w:rPr>
      </w:pPr>
      <w:hyperlink w:anchor="_Toc81755629" w:history="1">
        <w:r w:rsidR="00D20672" w:rsidRPr="00946225">
          <w:rPr>
            <w:rStyle w:val="Hypertextovodkaz"/>
            <w:noProof/>
          </w:rPr>
          <w:t>9</w:t>
        </w:r>
        <w:r w:rsidR="00D20672">
          <w:rPr>
            <w:rFonts w:asciiTheme="minorHAnsi" w:eastAsiaTheme="minorEastAsia" w:hAnsiTheme="minorHAnsi"/>
            <w:b w:val="0"/>
            <w:bCs w:val="0"/>
            <w:caps w:val="0"/>
            <w:noProof/>
            <w:sz w:val="24"/>
            <w:szCs w:val="24"/>
            <w:lang w:val="cs-CZ" w:eastAsia="cs-CZ"/>
          </w:rPr>
          <w:tab/>
        </w:r>
        <w:r w:rsidR="00D20672" w:rsidRPr="00946225">
          <w:rPr>
            <w:rStyle w:val="Hypertextovodkaz"/>
            <w:noProof/>
          </w:rPr>
          <w:t>SWOT analýza</w:t>
        </w:r>
        <w:r w:rsidR="00D20672">
          <w:rPr>
            <w:noProof/>
            <w:webHidden/>
          </w:rPr>
          <w:tab/>
        </w:r>
        <w:r w:rsidR="00D20672">
          <w:rPr>
            <w:noProof/>
            <w:webHidden/>
          </w:rPr>
          <w:fldChar w:fldCharType="begin"/>
        </w:r>
        <w:r w:rsidR="00D20672">
          <w:rPr>
            <w:noProof/>
            <w:webHidden/>
          </w:rPr>
          <w:instrText xml:space="preserve"> PAGEREF _Toc81755629 \h </w:instrText>
        </w:r>
        <w:r w:rsidR="00D20672">
          <w:rPr>
            <w:noProof/>
            <w:webHidden/>
          </w:rPr>
        </w:r>
        <w:r w:rsidR="00D20672">
          <w:rPr>
            <w:noProof/>
            <w:webHidden/>
          </w:rPr>
          <w:fldChar w:fldCharType="separate"/>
        </w:r>
        <w:r w:rsidR="00D20672">
          <w:rPr>
            <w:noProof/>
            <w:webHidden/>
          </w:rPr>
          <w:t>78</w:t>
        </w:r>
        <w:r w:rsidR="00D20672">
          <w:rPr>
            <w:noProof/>
            <w:webHidden/>
          </w:rPr>
          <w:fldChar w:fldCharType="end"/>
        </w:r>
      </w:hyperlink>
    </w:p>
    <w:p w14:paraId="3AA0C240" w14:textId="159EA1B5" w:rsidR="00D20672" w:rsidRDefault="0005469C">
      <w:pPr>
        <w:pStyle w:val="Obsah1"/>
        <w:rPr>
          <w:rFonts w:asciiTheme="minorHAnsi" w:eastAsiaTheme="minorEastAsia" w:hAnsiTheme="minorHAnsi"/>
          <w:b w:val="0"/>
          <w:bCs w:val="0"/>
          <w:caps w:val="0"/>
          <w:noProof/>
          <w:sz w:val="24"/>
          <w:szCs w:val="24"/>
          <w:lang w:val="cs-CZ" w:eastAsia="cs-CZ"/>
        </w:rPr>
      </w:pPr>
      <w:hyperlink w:anchor="_Toc81755630" w:history="1">
        <w:r w:rsidR="00D20672" w:rsidRPr="00946225">
          <w:rPr>
            <w:rStyle w:val="Hypertextovodkaz"/>
            <w:noProof/>
          </w:rPr>
          <w:t>C. ANIMAL WELFARE</w:t>
        </w:r>
        <w:r w:rsidR="00D20672">
          <w:rPr>
            <w:noProof/>
            <w:webHidden/>
          </w:rPr>
          <w:tab/>
        </w:r>
        <w:r w:rsidR="00D20672">
          <w:rPr>
            <w:noProof/>
            <w:webHidden/>
          </w:rPr>
          <w:fldChar w:fldCharType="begin"/>
        </w:r>
        <w:r w:rsidR="00D20672">
          <w:rPr>
            <w:noProof/>
            <w:webHidden/>
          </w:rPr>
          <w:instrText xml:space="preserve"> PAGEREF _Toc81755630 \h </w:instrText>
        </w:r>
        <w:r w:rsidR="00D20672">
          <w:rPr>
            <w:noProof/>
            <w:webHidden/>
          </w:rPr>
        </w:r>
        <w:r w:rsidR="00D20672">
          <w:rPr>
            <w:noProof/>
            <w:webHidden/>
          </w:rPr>
          <w:fldChar w:fldCharType="separate"/>
        </w:r>
        <w:r w:rsidR="00D20672">
          <w:rPr>
            <w:noProof/>
            <w:webHidden/>
          </w:rPr>
          <w:t>81</w:t>
        </w:r>
        <w:r w:rsidR="00D20672">
          <w:rPr>
            <w:noProof/>
            <w:webHidden/>
          </w:rPr>
          <w:fldChar w:fldCharType="end"/>
        </w:r>
      </w:hyperlink>
    </w:p>
    <w:p w14:paraId="4448EC4A" w14:textId="0B88BC1E" w:rsidR="00D20672" w:rsidRDefault="0005469C">
      <w:pPr>
        <w:pStyle w:val="Obsah1"/>
        <w:tabs>
          <w:tab w:val="left" w:pos="480"/>
        </w:tabs>
        <w:rPr>
          <w:rFonts w:asciiTheme="minorHAnsi" w:eastAsiaTheme="minorEastAsia" w:hAnsiTheme="minorHAnsi"/>
          <w:b w:val="0"/>
          <w:bCs w:val="0"/>
          <w:caps w:val="0"/>
          <w:noProof/>
          <w:sz w:val="24"/>
          <w:szCs w:val="24"/>
          <w:lang w:val="cs-CZ" w:eastAsia="cs-CZ"/>
        </w:rPr>
      </w:pPr>
      <w:hyperlink w:anchor="_Toc81755631" w:history="1">
        <w:r w:rsidR="00D20672" w:rsidRPr="00946225">
          <w:rPr>
            <w:rStyle w:val="Hypertextovodkaz"/>
            <w:noProof/>
          </w:rPr>
          <w:t>1</w:t>
        </w:r>
        <w:r w:rsidR="00D20672">
          <w:rPr>
            <w:rFonts w:asciiTheme="minorHAnsi" w:eastAsiaTheme="minorEastAsia" w:hAnsiTheme="minorHAnsi"/>
            <w:b w:val="0"/>
            <w:bCs w:val="0"/>
            <w:caps w:val="0"/>
            <w:noProof/>
            <w:sz w:val="24"/>
            <w:szCs w:val="24"/>
            <w:lang w:val="cs-CZ" w:eastAsia="cs-CZ"/>
          </w:rPr>
          <w:tab/>
        </w:r>
        <w:r w:rsidR="00D20672" w:rsidRPr="00946225">
          <w:rPr>
            <w:rStyle w:val="Hypertextovodkaz"/>
            <w:noProof/>
          </w:rPr>
          <w:t>Analýza stávajících/navrhovaných právních předpisů EK/ČR a pravděpodobné nastavení směrů a cílů SZP</w:t>
        </w:r>
        <w:r w:rsidR="00D20672">
          <w:rPr>
            <w:noProof/>
            <w:webHidden/>
          </w:rPr>
          <w:tab/>
        </w:r>
        <w:r w:rsidR="00D20672">
          <w:rPr>
            <w:noProof/>
            <w:webHidden/>
          </w:rPr>
          <w:fldChar w:fldCharType="begin"/>
        </w:r>
        <w:r w:rsidR="00D20672">
          <w:rPr>
            <w:noProof/>
            <w:webHidden/>
          </w:rPr>
          <w:instrText xml:space="preserve"> PAGEREF _Toc81755631 \h </w:instrText>
        </w:r>
        <w:r w:rsidR="00D20672">
          <w:rPr>
            <w:noProof/>
            <w:webHidden/>
          </w:rPr>
        </w:r>
        <w:r w:rsidR="00D20672">
          <w:rPr>
            <w:noProof/>
            <w:webHidden/>
          </w:rPr>
          <w:fldChar w:fldCharType="separate"/>
        </w:r>
        <w:r w:rsidR="00D20672">
          <w:rPr>
            <w:noProof/>
            <w:webHidden/>
          </w:rPr>
          <w:t>81</w:t>
        </w:r>
        <w:r w:rsidR="00D20672">
          <w:rPr>
            <w:noProof/>
            <w:webHidden/>
          </w:rPr>
          <w:fldChar w:fldCharType="end"/>
        </w:r>
      </w:hyperlink>
    </w:p>
    <w:p w14:paraId="3C9DA0F5" w14:textId="7015D18A" w:rsidR="00D20672" w:rsidRDefault="0005469C">
      <w:pPr>
        <w:pStyle w:val="Obsah1"/>
        <w:tabs>
          <w:tab w:val="left" w:pos="480"/>
        </w:tabs>
        <w:rPr>
          <w:rFonts w:asciiTheme="minorHAnsi" w:eastAsiaTheme="minorEastAsia" w:hAnsiTheme="minorHAnsi"/>
          <w:b w:val="0"/>
          <w:bCs w:val="0"/>
          <w:caps w:val="0"/>
          <w:noProof/>
          <w:sz w:val="24"/>
          <w:szCs w:val="24"/>
          <w:lang w:val="cs-CZ" w:eastAsia="cs-CZ"/>
        </w:rPr>
      </w:pPr>
      <w:hyperlink w:anchor="_Toc81755632" w:history="1">
        <w:r w:rsidR="00D20672" w:rsidRPr="00946225">
          <w:rPr>
            <w:rStyle w:val="Hypertextovodkaz"/>
            <w:noProof/>
          </w:rPr>
          <w:t>2</w:t>
        </w:r>
        <w:r w:rsidR="00D20672">
          <w:rPr>
            <w:rFonts w:asciiTheme="minorHAnsi" w:eastAsiaTheme="minorEastAsia" w:hAnsiTheme="minorHAnsi"/>
            <w:b w:val="0"/>
            <w:bCs w:val="0"/>
            <w:caps w:val="0"/>
            <w:noProof/>
            <w:sz w:val="24"/>
            <w:szCs w:val="24"/>
            <w:lang w:val="cs-CZ" w:eastAsia="cs-CZ"/>
          </w:rPr>
          <w:tab/>
        </w:r>
        <w:r w:rsidR="00D20672" w:rsidRPr="00946225">
          <w:rPr>
            <w:rStyle w:val="Hypertextovodkaz"/>
            <w:noProof/>
          </w:rPr>
          <w:t>Stanovení skutečného problému, na který má politika reagovat (Co je skutečným problémem, na který má/by měla politika v rámci jednotlivých dílčích cílů reagovat)?</w:t>
        </w:r>
        <w:r w:rsidR="00D20672">
          <w:rPr>
            <w:noProof/>
            <w:webHidden/>
          </w:rPr>
          <w:tab/>
        </w:r>
        <w:r w:rsidR="00D20672">
          <w:rPr>
            <w:noProof/>
            <w:webHidden/>
          </w:rPr>
          <w:fldChar w:fldCharType="begin"/>
        </w:r>
        <w:r w:rsidR="00D20672">
          <w:rPr>
            <w:noProof/>
            <w:webHidden/>
          </w:rPr>
          <w:instrText xml:space="preserve"> PAGEREF _Toc81755632 \h </w:instrText>
        </w:r>
        <w:r w:rsidR="00D20672">
          <w:rPr>
            <w:noProof/>
            <w:webHidden/>
          </w:rPr>
        </w:r>
        <w:r w:rsidR="00D20672">
          <w:rPr>
            <w:noProof/>
            <w:webHidden/>
          </w:rPr>
          <w:fldChar w:fldCharType="separate"/>
        </w:r>
        <w:r w:rsidR="00D20672">
          <w:rPr>
            <w:noProof/>
            <w:webHidden/>
          </w:rPr>
          <w:t>85</w:t>
        </w:r>
        <w:r w:rsidR="00D20672">
          <w:rPr>
            <w:noProof/>
            <w:webHidden/>
          </w:rPr>
          <w:fldChar w:fldCharType="end"/>
        </w:r>
      </w:hyperlink>
    </w:p>
    <w:p w14:paraId="0634BB30" w14:textId="38625227" w:rsidR="00D20672" w:rsidRDefault="0005469C">
      <w:pPr>
        <w:pStyle w:val="Obsah1"/>
        <w:tabs>
          <w:tab w:val="left" w:pos="480"/>
        </w:tabs>
        <w:rPr>
          <w:rFonts w:asciiTheme="minorHAnsi" w:eastAsiaTheme="minorEastAsia" w:hAnsiTheme="minorHAnsi"/>
          <w:b w:val="0"/>
          <w:bCs w:val="0"/>
          <w:caps w:val="0"/>
          <w:noProof/>
          <w:sz w:val="24"/>
          <w:szCs w:val="24"/>
          <w:lang w:val="cs-CZ" w:eastAsia="cs-CZ"/>
        </w:rPr>
      </w:pPr>
      <w:hyperlink w:anchor="_Toc81755633" w:history="1">
        <w:r w:rsidR="00D20672" w:rsidRPr="00946225">
          <w:rPr>
            <w:rStyle w:val="Hypertextovodkaz"/>
            <w:noProof/>
          </w:rPr>
          <w:t>3</w:t>
        </w:r>
        <w:r w:rsidR="00D20672">
          <w:rPr>
            <w:rFonts w:asciiTheme="minorHAnsi" w:eastAsiaTheme="minorEastAsia" w:hAnsiTheme="minorHAnsi"/>
            <w:b w:val="0"/>
            <w:bCs w:val="0"/>
            <w:caps w:val="0"/>
            <w:noProof/>
            <w:sz w:val="24"/>
            <w:szCs w:val="24"/>
            <w:lang w:val="cs-CZ" w:eastAsia="cs-CZ"/>
          </w:rPr>
          <w:tab/>
        </w:r>
        <w:r w:rsidR="00D20672" w:rsidRPr="00946225">
          <w:rPr>
            <w:rStyle w:val="Hypertextovodkaz"/>
            <w:noProof/>
          </w:rPr>
          <w:t>Mechanismus a příčiny problému</w:t>
        </w:r>
        <w:r w:rsidR="00D20672">
          <w:rPr>
            <w:noProof/>
            <w:webHidden/>
          </w:rPr>
          <w:tab/>
        </w:r>
        <w:r w:rsidR="00D20672">
          <w:rPr>
            <w:noProof/>
            <w:webHidden/>
          </w:rPr>
          <w:fldChar w:fldCharType="begin"/>
        </w:r>
        <w:r w:rsidR="00D20672">
          <w:rPr>
            <w:noProof/>
            <w:webHidden/>
          </w:rPr>
          <w:instrText xml:space="preserve"> PAGEREF _Toc81755633 \h </w:instrText>
        </w:r>
        <w:r w:rsidR="00D20672">
          <w:rPr>
            <w:noProof/>
            <w:webHidden/>
          </w:rPr>
        </w:r>
        <w:r w:rsidR="00D20672">
          <w:rPr>
            <w:noProof/>
            <w:webHidden/>
          </w:rPr>
          <w:fldChar w:fldCharType="separate"/>
        </w:r>
        <w:r w:rsidR="00D20672">
          <w:rPr>
            <w:noProof/>
            <w:webHidden/>
          </w:rPr>
          <w:t>87</w:t>
        </w:r>
        <w:r w:rsidR="00D20672">
          <w:rPr>
            <w:noProof/>
            <w:webHidden/>
          </w:rPr>
          <w:fldChar w:fldCharType="end"/>
        </w:r>
      </w:hyperlink>
    </w:p>
    <w:p w14:paraId="2FFDCE4C" w14:textId="7B456188" w:rsidR="00D20672" w:rsidRDefault="0005469C">
      <w:pPr>
        <w:pStyle w:val="Obsah1"/>
        <w:tabs>
          <w:tab w:val="left" w:pos="480"/>
        </w:tabs>
        <w:rPr>
          <w:rFonts w:asciiTheme="minorHAnsi" w:eastAsiaTheme="minorEastAsia" w:hAnsiTheme="minorHAnsi"/>
          <w:b w:val="0"/>
          <w:bCs w:val="0"/>
          <w:caps w:val="0"/>
          <w:noProof/>
          <w:sz w:val="24"/>
          <w:szCs w:val="24"/>
          <w:lang w:val="cs-CZ" w:eastAsia="cs-CZ"/>
        </w:rPr>
      </w:pPr>
      <w:hyperlink w:anchor="_Toc81755634" w:history="1">
        <w:r w:rsidR="00D20672" w:rsidRPr="00946225">
          <w:rPr>
            <w:rStyle w:val="Hypertextovodkaz"/>
            <w:noProof/>
          </w:rPr>
          <w:t>4</w:t>
        </w:r>
        <w:r w:rsidR="00D20672">
          <w:rPr>
            <w:rFonts w:asciiTheme="minorHAnsi" w:eastAsiaTheme="minorEastAsia" w:hAnsiTheme="minorHAnsi"/>
            <w:b w:val="0"/>
            <w:bCs w:val="0"/>
            <w:caps w:val="0"/>
            <w:noProof/>
            <w:sz w:val="24"/>
            <w:szCs w:val="24"/>
            <w:lang w:val="cs-CZ" w:eastAsia="cs-CZ"/>
          </w:rPr>
          <w:tab/>
        </w:r>
        <w:r w:rsidR="00D20672" w:rsidRPr="00946225">
          <w:rPr>
            <w:rStyle w:val="Hypertextovodkaz"/>
            <w:noProof/>
          </w:rPr>
          <w:t>Závažnost problému</w:t>
        </w:r>
        <w:r w:rsidR="00D20672">
          <w:rPr>
            <w:noProof/>
            <w:webHidden/>
          </w:rPr>
          <w:tab/>
        </w:r>
        <w:r w:rsidR="00D20672">
          <w:rPr>
            <w:noProof/>
            <w:webHidden/>
          </w:rPr>
          <w:fldChar w:fldCharType="begin"/>
        </w:r>
        <w:r w:rsidR="00D20672">
          <w:rPr>
            <w:noProof/>
            <w:webHidden/>
          </w:rPr>
          <w:instrText xml:space="preserve"> PAGEREF _Toc81755634 \h </w:instrText>
        </w:r>
        <w:r w:rsidR="00D20672">
          <w:rPr>
            <w:noProof/>
            <w:webHidden/>
          </w:rPr>
        </w:r>
        <w:r w:rsidR="00D20672">
          <w:rPr>
            <w:noProof/>
            <w:webHidden/>
          </w:rPr>
          <w:fldChar w:fldCharType="separate"/>
        </w:r>
        <w:r w:rsidR="00D20672">
          <w:rPr>
            <w:noProof/>
            <w:webHidden/>
          </w:rPr>
          <w:t>90</w:t>
        </w:r>
        <w:r w:rsidR="00D20672">
          <w:rPr>
            <w:noProof/>
            <w:webHidden/>
          </w:rPr>
          <w:fldChar w:fldCharType="end"/>
        </w:r>
      </w:hyperlink>
    </w:p>
    <w:p w14:paraId="36DFF361" w14:textId="286BAC7A" w:rsidR="00D20672" w:rsidRDefault="0005469C">
      <w:pPr>
        <w:pStyle w:val="Obsah1"/>
        <w:tabs>
          <w:tab w:val="left" w:pos="480"/>
        </w:tabs>
        <w:rPr>
          <w:rFonts w:asciiTheme="minorHAnsi" w:eastAsiaTheme="minorEastAsia" w:hAnsiTheme="minorHAnsi"/>
          <w:b w:val="0"/>
          <w:bCs w:val="0"/>
          <w:caps w:val="0"/>
          <w:noProof/>
          <w:sz w:val="24"/>
          <w:szCs w:val="24"/>
          <w:lang w:val="cs-CZ" w:eastAsia="cs-CZ"/>
        </w:rPr>
      </w:pPr>
      <w:hyperlink w:anchor="_Toc81755635" w:history="1">
        <w:r w:rsidR="00D20672" w:rsidRPr="00946225">
          <w:rPr>
            <w:rStyle w:val="Hypertextovodkaz"/>
            <w:noProof/>
          </w:rPr>
          <w:t>5</w:t>
        </w:r>
        <w:r w:rsidR="00D20672">
          <w:rPr>
            <w:rFonts w:asciiTheme="minorHAnsi" w:eastAsiaTheme="minorEastAsia" w:hAnsiTheme="minorHAnsi"/>
            <w:b w:val="0"/>
            <w:bCs w:val="0"/>
            <w:caps w:val="0"/>
            <w:noProof/>
            <w:sz w:val="24"/>
            <w:szCs w:val="24"/>
            <w:lang w:val="cs-CZ" w:eastAsia="cs-CZ"/>
          </w:rPr>
          <w:tab/>
        </w:r>
        <w:r w:rsidR="00D20672" w:rsidRPr="00946225">
          <w:rPr>
            <w:rStyle w:val="Hypertextovodkaz"/>
            <w:noProof/>
          </w:rPr>
          <w:t>EXISTENCE/NEEXISTENCE MOŽNOSTI EFEKTIVNÍHO ŘEŠENÍ V RÁMCI NÁSTROJŮ SZP, KTERÉ LZE UVAŽOVAT V NOVÝCH NÁVRZÍCH SZP</w:t>
        </w:r>
        <w:r w:rsidR="00D20672">
          <w:rPr>
            <w:noProof/>
            <w:webHidden/>
          </w:rPr>
          <w:tab/>
        </w:r>
        <w:r w:rsidR="00D20672">
          <w:rPr>
            <w:noProof/>
            <w:webHidden/>
          </w:rPr>
          <w:fldChar w:fldCharType="begin"/>
        </w:r>
        <w:r w:rsidR="00D20672">
          <w:rPr>
            <w:noProof/>
            <w:webHidden/>
          </w:rPr>
          <w:instrText xml:space="preserve"> PAGEREF _Toc81755635 \h </w:instrText>
        </w:r>
        <w:r w:rsidR="00D20672">
          <w:rPr>
            <w:noProof/>
            <w:webHidden/>
          </w:rPr>
        </w:r>
        <w:r w:rsidR="00D20672">
          <w:rPr>
            <w:noProof/>
            <w:webHidden/>
          </w:rPr>
          <w:fldChar w:fldCharType="separate"/>
        </w:r>
        <w:r w:rsidR="00D20672">
          <w:rPr>
            <w:noProof/>
            <w:webHidden/>
          </w:rPr>
          <w:t>96</w:t>
        </w:r>
        <w:r w:rsidR="00D20672">
          <w:rPr>
            <w:noProof/>
            <w:webHidden/>
          </w:rPr>
          <w:fldChar w:fldCharType="end"/>
        </w:r>
      </w:hyperlink>
    </w:p>
    <w:p w14:paraId="4888ABCD" w14:textId="6998CF85" w:rsidR="00D20672" w:rsidRDefault="0005469C">
      <w:pPr>
        <w:pStyle w:val="Obsah1"/>
        <w:tabs>
          <w:tab w:val="left" w:pos="480"/>
        </w:tabs>
        <w:rPr>
          <w:rFonts w:asciiTheme="minorHAnsi" w:eastAsiaTheme="minorEastAsia" w:hAnsiTheme="minorHAnsi"/>
          <w:b w:val="0"/>
          <w:bCs w:val="0"/>
          <w:caps w:val="0"/>
          <w:noProof/>
          <w:sz w:val="24"/>
          <w:szCs w:val="24"/>
          <w:lang w:val="cs-CZ" w:eastAsia="cs-CZ"/>
        </w:rPr>
      </w:pPr>
      <w:hyperlink w:anchor="_Toc81755636" w:history="1">
        <w:r w:rsidR="00D20672" w:rsidRPr="00946225">
          <w:rPr>
            <w:rStyle w:val="Hypertextovodkaz"/>
            <w:noProof/>
          </w:rPr>
          <w:t>6</w:t>
        </w:r>
        <w:r w:rsidR="00D20672">
          <w:rPr>
            <w:rFonts w:asciiTheme="minorHAnsi" w:eastAsiaTheme="minorEastAsia" w:hAnsiTheme="minorHAnsi"/>
            <w:b w:val="0"/>
            <w:bCs w:val="0"/>
            <w:caps w:val="0"/>
            <w:noProof/>
            <w:sz w:val="24"/>
            <w:szCs w:val="24"/>
            <w:lang w:val="cs-CZ" w:eastAsia="cs-CZ"/>
          </w:rPr>
          <w:tab/>
        </w:r>
        <w:r w:rsidR="00D20672" w:rsidRPr="00946225">
          <w:rPr>
            <w:rStyle w:val="Hypertextovodkaz"/>
            <w:noProof/>
          </w:rPr>
          <w:t>MÍRA STÁVAJÍCÍHO ŘEŠENÍ PROBLÉMU</w:t>
        </w:r>
        <w:r w:rsidR="00D20672">
          <w:rPr>
            <w:noProof/>
            <w:webHidden/>
          </w:rPr>
          <w:tab/>
        </w:r>
        <w:r w:rsidR="00D20672">
          <w:rPr>
            <w:noProof/>
            <w:webHidden/>
          </w:rPr>
          <w:fldChar w:fldCharType="begin"/>
        </w:r>
        <w:r w:rsidR="00D20672">
          <w:rPr>
            <w:noProof/>
            <w:webHidden/>
          </w:rPr>
          <w:instrText xml:space="preserve"> PAGEREF _Toc81755636 \h </w:instrText>
        </w:r>
        <w:r w:rsidR="00D20672">
          <w:rPr>
            <w:noProof/>
            <w:webHidden/>
          </w:rPr>
        </w:r>
        <w:r w:rsidR="00D20672">
          <w:rPr>
            <w:noProof/>
            <w:webHidden/>
          </w:rPr>
          <w:fldChar w:fldCharType="separate"/>
        </w:r>
        <w:r w:rsidR="00D20672">
          <w:rPr>
            <w:noProof/>
            <w:webHidden/>
          </w:rPr>
          <w:t>97</w:t>
        </w:r>
        <w:r w:rsidR="00D20672">
          <w:rPr>
            <w:noProof/>
            <w:webHidden/>
          </w:rPr>
          <w:fldChar w:fldCharType="end"/>
        </w:r>
      </w:hyperlink>
    </w:p>
    <w:p w14:paraId="3E33AFF7" w14:textId="6418E444" w:rsidR="00D20672" w:rsidRDefault="0005469C">
      <w:pPr>
        <w:pStyle w:val="Obsah2"/>
        <w:rPr>
          <w:rFonts w:asciiTheme="minorHAnsi" w:eastAsiaTheme="minorEastAsia" w:hAnsiTheme="minorHAnsi"/>
          <w:smallCaps w:val="0"/>
          <w:noProof/>
          <w:sz w:val="24"/>
          <w:szCs w:val="24"/>
          <w:lang w:val="cs-CZ" w:eastAsia="cs-CZ"/>
        </w:rPr>
      </w:pPr>
      <w:hyperlink w:anchor="_Toc81755637" w:history="1">
        <w:r w:rsidR="00D20672" w:rsidRPr="00946225">
          <w:rPr>
            <w:rStyle w:val="Hypertextovodkaz"/>
            <w:noProof/>
          </w:rPr>
          <w:t>6.1</w:t>
        </w:r>
        <w:r w:rsidR="00D20672">
          <w:rPr>
            <w:rFonts w:asciiTheme="minorHAnsi" w:eastAsiaTheme="minorEastAsia" w:hAnsiTheme="minorHAnsi"/>
            <w:smallCaps w:val="0"/>
            <w:noProof/>
            <w:sz w:val="24"/>
            <w:szCs w:val="24"/>
            <w:lang w:val="cs-CZ" w:eastAsia="cs-CZ"/>
          </w:rPr>
          <w:tab/>
        </w:r>
        <w:r w:rsidR="00D20672" w:rsidRPr="00946225">
          <w:rPr>
            <w:rStyle w:val="Hypertextovodkaz"/>
            <w:noProof/>
          </w:rPr>
          <w:t>Míra řešení ve stávající SZP</w:t>
        </w:r>
        <w:r w:rsidR="00D20672">
          <w:rPr>
            <w:noProof/>
            <w:webHidden/>
          </w:rPr>
          <w:tab/>
        </w:r>
        <w:r w:rsidR="00D20672">
          <w:rPr>
            <w:noProof/>
            <w:webHidden/>
          </w:rPr>
          <w:fldChar w:fldCharType="begin"/>
        </w:r>
        <w:r w:rsidR="00D20672">
          <w:rPr>
            <w:noProof/>
            <w:webHidden/>
          </w:rPr>
          <w:instrText xml:space="preserve"> PAGEREF _Toc81755637 \h </w:instrText>
        </w:r>
        <w:r w:rsidR="00D20672">
          <w:rPr>
            <w:noProof/>
            <w:webHidden/>
          </w:rPr>
        </w:r>
        <w:r w:rsidR="00D20672">
          <w:rPr>
            <w:noProof/>
            <w:webHidden/>
          </w:rPr>
          <w:fldChar w:fldCharType="separate"/>
        </w:r>
        <w:r w:rsidR="00D20672">
          <w:rPr>
            <w:noProof/>
            <w:webHidden/>
          </w:rPr>
          <w:t>97</w:t>
        </w:r>
        <w:r w:rsidR="00D20672">
          <w:rPr>
            <w:noProof/>
            <w:webHidden/>
          </w:rPr>
          <w:fldChar w:fldCharType="end"/>
        </w:r>
      </w:hyperlink>
    </w:p>
    <w:p w14:paraId="5FF25E10" w14:textId="2EE98BB8" w:rsidR="00D20672" w:rsidRDefault="0005469C">
      <w:pPr>
        <w:pStyle w:val="Obsah2"/>
        <w:rPr>
          <w:rFonts w:asciiTheme="minorHAnsi" w:eastAsiaTheme="minorEastAsia" w:hAnsiTheme="minorHAnsi"/>
          <w:smallCaps w:val="0"/>
          <w:noProof/>
          <w:sz w:val="24"/>
          <w:szCs w:val="24"/>
          <w:lang w:val="cs-CZ" w:eastAsia="cs-CZ"/>
        </w:rPr>
      </w:pPr>
      <w:hyperlink w:anchor="_Toc81755638" w:history="1">
        <w:r w:rsidR="00D20672" w:rsidRPr="00946225">
          <w:rPr>
            <w:rStyle w:val="Hypertextovodkaz"/>
            <w:noProof/>
          </w:rPr>
          <w:t>6.2</w:t>
        </w:r>
        <w:r w:rsidR="00D20672">
          <w:rPr>
            <w:rFonts w:asciiTheme="minorHAnsi" w:eastAsiaTheme="minorEastAsia" w:hAnsiTheme="minorHAnsi"/>
            <w:smallCaps w:val="0"/>
            <w:noProof/>
            <w:sz w:val="24"/>
            <w:szCs w:val="24"/>
            <w:lang w:val="cs-CZ" w:eastAsia="cs-CZ"/>
          </w:rPr>
          <w:tab/>
        </w:r>
        <w:r w:rsidR="00D20672" w:rsidRPr="00946225">
          <w:rPr>
            <w:rStyle w:val="Hypertextovodkaz"/>
            <w:noProof/>
          </w:rPr>
          <w:t>Míra současného řešení problému jinými politikami</w:t>
        </w:r>
        <w:r w:rsidR="00D20672">
          <w:rPr>
            <w:noProof/>
            <w:webHidden/>
          </w:rPr>
          <w:tab/>
        </w:r>
        <w:r w:rsidR="00D20672">
          <w:rPr>
            <w:noProof/>
            <w:webHidden/>
          </w:rPr>
          <w:fldChar w:fldCharType="begin"/>
        </w:r>
        <w:r w:rsidR="00D20672">
          <w:rPr>
            <w:noProof/>
            <w:webHidden/>
          </w:rPr>
          <w:instrText xml:space="preserve"> PAGEREF _Toc81755638 \h </w:instrText>
        </w:r>
        <w:r w:rsidR="00D20672">
          <w:rPr>
            <w:noProof/>
            <w:webHidden/>
          </w:rPr>
        </w:r>
        <w:r w:rsidR="00D20672">
          <w:rPr>
            <w:noProof/>
            <w:webHidden/>
          </w:rPr>
          <w:fldChar w:fldCharType="separate"/>
        </w:r>
        <w:r w:rsidR="00D20672">
          <w:rPr>
            <w:noProof/>
            <w:webHidden/>
          </w:rPr>
          <w:t>98</w:t>
        </w:r>
        <w:r w:rsidR="00D20672">
          <w:rPr>
            <w:noProof/>
            <w:webHidden/>
          </w:rPr>
          <w:fldChar w:fldCharType="end"/>
        </w:r>
      </w:hyperlink>
    </w:p>
    <w:p w14:paraId="700F62A7" w14:textId="2AC49B00" w:rsidR="00D20672" w:rsidRDefault="0005469C">
      <w:pPr>
        <w:pStyle w:val="Obsah1"/>
        <w:tabs>
          <w:tab w:val="left" w:pos="480"/>
        </w:tabs>
        <w:rPr>
          <w:rFonts w:asciiTheme="minorHAnsi" w:eastAsiaTheme="minorEastAsia" w:hAnsiTheme="minorHAnsi"/>
          <w:b w:val="0"/>
          <w:bCs w:val="0"/>
          <w:caps w:val="0"/>
          <w:noProof/>
          <w:sz w:val="24"/>
          <w:szCs w:val="24"/>
          <w:lang w:val="cs-CZ" w:eastAsia="cs-CZ"/>
        </w:rPr>
      </w:pPr>
      <w:hyperlink w:anchor="_Toc81755639" w:history="1">
        <w:r w:rsidR="00D20672" w:rsidRPr="00946225">
          <w:rPr>
            <w:rStyle w:val="Hypertextovodkaz"/>
            <w:noProof/>
          </w:rPr>
          <w:t>7</w:t>
        </w:r>
        <w:r w:rsidR="00D20672">
          <w:rPr>
            <w:rFonts w:asciiTheme="minorHAnsi" w:eastAsiaTheme="minorEastAsia" w:hAnsiTheme="minorHAnsi"/>
            <w:b w:val="0"/>
            <w:bCs w:val="0"/>
            <w:caps w:val="0"/>
            <w:noProof/>
            <w:sz w:val="24"/>
            <w:szCs w:val="24"/>
            <w:lang w:val="cs-CZ" w:eastAsia="cs-CZ"/>
          </w:rPr>
          <w:tab/>
        </w:r>
        <w:r w:rsidR="00D20672" w:rsidRPr="00946225">
          <w:rPr>
            <w:rStyle w:val="Hypertextovodkaz"/>
            <w:noProof/>
          </w:rPr>
          <w:t>Detailnější posouzení Vlivu předpisů</w:t>
        </w:r>
        <w:r w:rsidR="00D20672">
          <w:rPr>
            <w:noProof/>
            <w:webHidden/>
          </w:rPr>
          <w:tab/>
        </w:r>
        <w:r w:rsidR="00D20672">
          <w:rPr>
            <w:noProof/>
            <w:webHidden/>
          </w:rPr>
          <w:fldChar w:fldCharType="begin"/>
        </w:r>
        <w:r w:rsidR="00D20672">
          <w:rPr>
            <w:noProof/>
            <w:webHidden/>
          </w:rPr>
          <w:instrText xml:space="preserve"> PAGEREF _Toc81755639 \h </w:instrText>
        </w:r>
        <w:r w:rsidR="00D20672">
          <w:rPr>
            <w:noProof/>
            <w:webHidden/>
          </w:rPr>
        </w:r>
        <w:r w:rsidR="00D20672">
          <w:rPr>
            <w:noProof/>
            <w:webHidden/>
          </w:rPr>
          <w:fldChar w:fldCharType="separate"/>
        </w:r>
        <w:r w:rsidR="00D20672">
          <w:rPr>
            <w:noProof/>
            <w:webHidden/>
          </w:rPr>
          <w:t>99</w:t>
        </w:r>
        <w:r w:rsidR="00D20672">
          <w:rPr>
            <w:noProof/>
            <w:webHidden/>
          </w:rPr>
          <w:fldChar w:fldCharType="end"/>
        </w:r>
      </w:hyperlink>
    </w:p>
    <w:p w14:paraId="19488E84" w14:textId="7DCBF1A3" w:rsidR="00D20672" w:rsidRDefault="0005469C">
      <w:pPr>
        <w:pStyle w:val="Obsah1"/>
        <w:tabs>
          <w:tab w:val="left" w:pos="480"/>
        </w:tabs>
        <w:rPr>
          <w:rFonts w:asciiTheme="minorHAnsi" w:eastAsiaTheme="minorEastAsia" w:hAnsiTheme="minorHAnsi"/>
          <w:b w:val="0"/>
          <w:bCs w:val="0"/>
          <w:caps w:val="0"/>
          <w:noProof/>
          <w:sz w:val="24"/>
          <w:szCs w:val="24"/>
          <w:lang w:val="cs-CZ" w:eastAsia="cs-CZ"/>
        </w:rPr>
      </w:pPr>
      <w:hyperlink w:anchor="_Toc81755640" w:history="1">
        <w:r w:rsidR="00D20672" w:rsidRPr="00946225">
          <w:rPr>
            <w:rStyle w:val="Hypertextovodkaz"/>
            <w:noProof/>
          </w:rPr>
          <w:t>8</w:t>
        </w:r>
        <w:r w:rsidR="00D20672">
          <w:rPr>
            <w:rFonts w:asciiTheme="minorHAnsi" w:eastAsiaTheme="minorEastAsia" w:hAnsiTheme="minorHAnsi"/>
            <w:b w:val="0"/>
            <w:bCs w:val="0"/>
            <w:caps w:val="0"/>
            <w:noProof/>
            <w:sz w:val="24"/>
            <w:szCs w:val="24"/>
            <w:lang w:val="cs-CZ" w:eastAsia="cs-CZ"/>
          </w:rPr>
          <w:tab/>
        </w:r>
        <w:r w:rsidR="00D20672" w:rsidRPr="00946225">
          <w:rPr>
            <w:rStyle w:val="Hypertextovodkaz"/>
            <w:noProof/>
          </w:rPr>
          <w:t>Jak By se situace vyvíjela bez zavedení příslušných intervencí?</w:t>
        </w:r>
        <w:r w:rsidR="00D20672">
          <w:rPr>
            <w:noProof/>
            <w:webHidden/>
          </w:rPr>
          <w:tab/>
        </w:r>
        <w:r w:rsidR="00D20672">
          <w:rPr>
            <w:noProof/>
            <w:webHidden/>
          </w:rPr>
          <w:fldChar w:fldCharType="begin"/>
        </w:r>
        <w:r w:rsidR="00D20672">
          <w:rPr>
            <w:noProof/>
            <w:webHidden/>
          </w:rPr>
          <w:instrText xml:space="preserve"> PAGEREF _Toc81755640 \h </w:instrText>
        </w:r>
        <w:r w:rsidR="00D20672">
          <w:rPr>
            <w:noProof/>
            <w:webHidden/>
          </w:rPr>
        </w:r>
        <w:r w:rsidR="00D20672">
          <w:rPr>
            <w:noProof/>
            <w:webHidden/>
          </w:rPr>
          <w:fldChar w:fldCharType="separate"/>
        </w:r>
        <w:r w:rsidR="00D20672">
          <w:rPr>
            <w:noProof/>
            <w:webHidden/>
          </w:rPr>
          <w:t>103</w:t>
        </w:r>
        <w:r w:rsidR="00D20672">
          <w:rPr>
            <w:noProof/>
            <w:webHidden/>
          </w:rPr>
          <w:fldChar w:fldCharType="end"/>
        </w:r>
      </w:hyperlink>
    </w:p>
    <w:p w14:paraId="0F901C86" w14:textId="305A2100" w:rsidR="00D20672" w:rsidRDefault="0005469C">
      <w:pPr>
        <w:pStyle w:val="Obsah1"/>
        <w:tabs>
          <w:tab w:val="left" w:pos="480"/>
        </w:tabs>
        <w:rPr>
          <w:rFonts w:asciiTheme="minorHAnsi" w:eastAsiaTheme="minorEastAsia" w:hAnsiTheme="minorHAnsi"/>
          <w:b w:val="0"/>
          <w:bCs w:val="0"/>
          <w:caps w:val="0"/>
          <w:noProof/>
          <w:sz w:val="24"/>
          <w:szCs w:val="24"/>
          <w:lang w:val="cs-CZ" w:eastAsia="cs-CZ"/>
        </w:rPr>
      </w:pPr>
      <w:hyperlink w:anchor="_Toc81755641" w:history="1">
        <w:r w:rsidR="00D20672" w:rsidRPr="00946225">
          <w:rPr>
            <w:rStyle w:val="Hypertextovodkaz"/>
            <w:noProof/>
          </w:rPr>
          <w:t>9</w:t>
        </w:r>
        <w:r w:rsidR="00D20672">
          <w:rPr>
            <w:rFonts w:asciiTheme="minorHAnsi" w:eastAsiaTheme="minorEastAsia" w:hAnsiTheme="minorHAnsi"/>
            <w:b w:val="0"/>
            <w:bCs w:val="0"/>
            <w:caps w:val="0"/>
            <w:noProof/>
            <w:sz w:val="24"/>
            <w:szCs w:val="24"/>
            <w:lang w:val="cs-CZ" w:eastAsia="cs-CZ"/>
          </w:rPr>
          <w:tab/>
        </w:r>
        <w:r w:rsidR="00D20672" w:rsidRPr="00946225">
          <w:rPr>
            <w:rStyle w:val="Hypertextovodkaz"/>
            <w:noProof/>
          </w:rPr>
          <w:t>SWOT ANALÝZA</w:t>
        </w:r>
        <w:r w:rsidR="00D20672">
          <w:rPr>
            <w:noProof/>
            <w:webHidden/>
          </w:rPr>
          <w:tab/>
        </w:r>
        <w:r w:rsidR="00D20672">
          <w:rPr>
            <w:noProof/>
            <w:webHidden/>
          </w:rPr>
          <w:fldChar w:fldCharType="begin"/>
        </w:r>
        <w:r w:rsidR="00D20672">
          <w:rPr>
            <w:noProof/>
            <w:webHidden/>
          </w:rPr>
          <w:instrText xml:space="preserve"> PAGEREF _Toc81755641 \h </w:instrText>
        </w:r>
        <w:r w:rsidR="00D20672">
          <w:rPr>
            <w:noProof/>
            <w:webHidden/>
          </w:rPr>
        </w:r>
        <w:r w:rsidR="00D20672">
          <w:rPr>
            <w:noProof/>
            <w:webHidden/>
          </w:rPr>
          <w:fldChar w:fldCharType="separate"/>
        </w:r>
        <w:r w:rsidR="00D20672">
          <w:rPr>
            <w:noProof/>
            <w:webHidden/>
          </w:rPr>
          <w:t>104</w:t>
        </w:r>
        <w:r w:rsidR="00D20672">
          <w:rPr>
            <w:noProof/>
            <w:webHidden/>
          </w:rPr>
          <w:fldChar w:fldCharType="end"/>
        </w:r>
      </w:hyperlink>
    </w:p>
    <w:p w14:paraId="26A2E77F" w14:textId="2196699C" w:rsidR="00D20672" w:rsidRDefault="0005469C">
      <w:pPr>
        <w:pStyle w:val="Obsah1"/>
        <w:rPr>
          <w:rFonts w:asciiTheme="minorHAnsi" w:eastAsiaTheme="minorEastAsia" w:hAnsiTheme="minorHAnsi"/>
          <w:b w:val="0"/>
          <w:bCs w:val="0"/>
          <w:caps w:val="0"/>
          <w:noProof/>
          <w:sz w:val="24"/>
          <w:szCs w:val="24"/>
          <w:lang w:val="cs-CZ" w:eastAsia="cs-CZ"/>
        </w:rPr>
      </w:pPr>
      <w:hyperlink w:anchor="_Toc81755642" w:history="1">
        <w:r w:rsidR="00D20672" w:rsidRPr="00946225">
          <w:rPr>
            <w:rStyle w:val="Hypertextovodkaz"/>
            <w:noProof/>
          </w:rPr>
          <w:t>Přílohy</w:t>
        </w:r>
        <w:r w:rsidR="00D20672">
          <w:rPr>
            <w:noProof/>
            <w:webHidden/>
          </w:rPr>
          <w:tab/>
        </w:r>
        <w:r w:rsidR="00D20672">
          <w:rPr>
            <w:noProof/>
            <w:webHidden/>
          </w:rPr>
          <w:fldChar w:fldCharType="begin"/>
        </w:r>
        <w:r w:rsidR="00D20672">
          <w:rPr>
            <w:noProof/>
            <w:webHidden/>
          </w:rPr>
          <w:instrText xml:space="preserve"> PAGEREF _Toc81755642 \h </w:instrText>
        </w:r>
        <w:r w:rsidR="00D20672">
          <w:rPr>
            <w:noProof/>
            <w:webHidden/>
          </w:rPr>
        </w:r>
        <w:r w:rsidR="00D20672">
          <w:rPr>
            <w:noProof/>
            <w:webHidden/>
          </w:rPr>
          <w:fldChar w:fldCharType="separate"/>
        </w:r>
        <w:r w:rsidR="00D20672">
          <w:rPr>
            <w:noProof/>
            <w:webHidden/>
          </w:rPr>
          <w:t>107</w:t>
        </w:r>
        <w:r w:rsidR="00D20672">
          <w:rPr>
            <w:noProof/>
            <w:webHidden/>
          </w:rPr>
          <w:fldChar w:fldCharType="end"/>
        </w:r>
      </w:hyperlink>
    </w:p>
    <w:p w14:paraId="5297AA0F" w14:textId="2C4AE7FA" w:rsidR="00D20672" w:rsidRDefault="0005469C" w:rsidP="006817B7">
      <w:pPr>
        <w:pStyle w:val="Obsah4"/>
        <w:rPr>
          <w:rFonts w:asciiTheme="minorHAnsi" w:eastAsiaTheme="minorEastAsia" w:hAnsiTheme="minorHAnsi"/>
          <w:noProof/>
          <w:sz w:val="24"/>
          <w:szCs w:val="24"/>
          <w:lang w:val="cs-CZ" w:eastAsia="cs-CZ"/>
        </w:rPr>
      </w:pPr>
      <w:hyperlink w:anchor="_Toc81755643" w:history="1">
        <w:r w:rsidR="00D20672" w:rsidRPr="00946225">
          <w:rPr>
            <w:rStyle w:val="Hypertextovodkaz"/>
            <w:noProof/>
          </w:rPr>
          <w:t>Příloha A - PESTICIDY</w:t>
        </w:r>
        <w:r w:rsidR="00D20672">
          <w:rPr>
            <w:noProof/>
            <w:webHidden/>
          </w:rPr>
          <w:tab/>
        </w:r>
        <w:r w:rsidR="00D20672">
          <w:rPr>
            <w:noProof/>
            <w:webHidden/>
          </w:rPr>
          <w:fldChar w:fldCharType="begin"/>
        </w:r>
        <w:r w:rsidR="00D20672">
          <w:rPr>
            <w:noProof/>
            <w:webHidden/>
          </w:rPr>
          <w:instrText xml:space="preserve"> PAGEREF _Toc81755643 \h </w:instrText>
        </w:r>
        <w:r w:rsidR="00D20672">
          <w:rPr>
            <w:noProof/>
            <w:webHidden/>
          </w:rPr>
        </w:r>
        <w:r w:rsidR="00D20672">
          <w:rPr>
            <w:noProof/>
            <w:webHidden/>
          </w:rPr>
          <w:fldChar w:fldCharType="separate"/>
        </w:r>
        <w:r w:rsidR="00D20672">
          <w:rPr>
            <w:noProof/>
            <w:webHidden/>
          </w:rPr>
          <w:t>107</w:t>
        </w:r>
        <w:r w:rsidR="00D20672">
          <w:rPr>
            <w:noProof/>
            <w:webHidden/>
          </w:rPr>
          <w:fldChar w:fldCharType="end"/>
        </w:r>
      </w:hyperlink>
    </w:p>
    <w:p w14:paraId="1F63E0C3" w14:textId="6FB76325" w:rsidR="00D20672" w:rsidRDefault="0005469C" w:rsidP="006817B7">
      <w:pPr>
        <w:pStyle w:val="Obsah4"/>
        <w:rPr>
          <w:rFonts w:asciiTheme="minorHAnsi" w:eastAsiaTheme="minorEastAsia" w:hAnsiTheme="minorHAnsi"/>
          <w:noProof/>
          <w:sz w:val="24"/>
          <w:szCs w:val="24"/>
          <w:lang w:val="cs-CZ" w:eastAsia="cs-CZ"/>
        </w:rPr>
      </w:pPr>
      <w:hyperlink w:anchor="_Toc81755644" w:history="1">
        <w:r w:rsidR="00D20672" w:rsidRPr="00946225">
          <w:rPr>
            <w:rStyle w:val="Hypertextovodkaz"/>
            <w:noProof/>
          </w:rPr>
          <w:t>Příloha A1 Monitoring výskytu reziduí pesticidů v pitné a podzemní vodě</w:t>
        </w:r>
        <w:r w:rsidR="00D20672">
          <w:rPr>
            <w:noProof/>
            <w:webHidden/>
          </w:rPr>
          <w:tab/>
        </w:r>
        <w:r w:rsidR="00D20672">
          <w:rPr>
            <w:noProof/>
            <w:webHidden/>
          </w:rPr>
          <w:fldChar w:fldCharType="begin"/>
        </w:r>
        <w:r w:rsidR="00D20672">
          <w:rPr>
            <w:noProof/>
            <w:webHidden/>
          </w:rPr>
          <w:instrText xml:space="preserve"> PAGEREF _Toc81755644 \h </w:instrText>
        </w:r>
        <w:r w:rsidR="00D20672">
          <w:rPr>
            <w:noProof/>
            <w:webHidden/>
          </w:rPr>
        </w:r>
        <w:r w:rsidR="00D20672">
          <w:rPr>
            <w:noProof/>
            <w:webHidden/>
          </w:rPr>
          <w:fldChar w:fldCharType="separate"/>
        </w:r>
        <w:r w:rsidR="00D20672">
          <w:rPr>
            <w:noProof/>
            <w:webHidden/>
          </w:rPr>
          <w:t>107</w:t>
        </w:r>
        <w:r w:rsidR="00D20672">
          <w:rPr>
            <w:noProof/>
            <w:webHidden/>
          </w:rPr>
          <w:fldChar w:fldCharType="end"/>
        </w:r>
      </w:hyperlink>
    </w:p>
    <w:p w14:paraId="55B24E1D" w14:textId="75A2DB76" w:rsidR="00D20672" w:rsidRDefault="0005469C" w:rsidP="006817B7">
      <w:pPr>
        <w:pStyle w:val="Obsah4"/>
        <w:rPr>
          <w:rFonts w:asciiTheme="minorHAnsi" w:eastAsiaTheme="minorEastAsia" w:hAnsiTheme="minorHAnsi"/>
          <w:noProof/>
          <w:sz w:val="24"/>
          <w:szCs w:val="24"/>
          <w:lang w:val="cs-CZ" w:eastAsia="cs-CZ"/>
        </w:rPr>
      </w:pPr>
      <w:hyperlink w:anchor="_Toc81755645" w:history="1">
        <w:r w:rsidR="00D20672" w:rsidRPr="00946225">
          <w:rPr>
            <w:rStyle w:val="Hypertextovodkaz"/>
            <w:noProof/>
          </w:rPr>
          <w:t>Příloha A2 Národní akční plán ke snížení používání pesticidů v České republice (dále jen NAP). Cíle o návrhy opatření pro oblast ochrany vody</w:t>
        </w:r>
        <w:r w:rsidR="00D20672">
          <w:rPr>
            <w:noProof/>
            <w:webHidden/>
          </w:rPr>
          <w:tab/>
        </w:r>
        <w:r w:rsidR="00D20672">
          <w:rPr>
            <w:noProof/>
            <w:webHidden/>
          </w:rPr>
          <w:fldChar w:fldCharType="begin"/>
        </w:r>
        <w:r w:rsidR="00D20672">
          <w:rPr>
            <w:noProof/>
            <w:webHidden/>
          </w:rPr>
          <w:instrText xml:space="preserve"> PAGEREF _Toc81755645 \h </w:instrText>
        </w:r>
        <w:r w:rsidR="00D20672">
          <w:rPr>
            <w:noProof/>
            <w:webHidden/>
          </w:rPr>
        </w:r>
        <w:r w:rsidR="00D20672">
          <w:rPr>
            <w:noProof/>
            <w:webHidden/>
          </w:rPr>
          <w:fldChar w:fldCharType="separate"/>
        </w:r>
        <w:r w:rsidR="00D20672">
          <w:rPr>
            <w:noProof/>
            <w:webHidden/>
          </w:rPr>
          <w:t>115</w:t>
        </w:r>
        <w:r w:rsidR="00D20672">
          <w:rPr>
            <w:noProof/>
            <w:webHidden/>
          </w:rPr>
          <w:fldChar w:fldCharType="end"/>
        </w:r>
      </w:hyperlink>
    </w:p>
    <w:p w14:paraId="346B8DFF" w14:textId="07683879" w:rsidR="00D20672" w:rsidRDefault="0005469C" w:rsidP="006817B7">
      <w:pPr>
        <w:pStyle w:val="Obsah4"/>
        <w:rPr>
          <w:rFonts w:asciiTheme="minorHAnsi" w:eastAsiaTheme="minorEastAsia" w:hAnsiTheme="minorHAnsi"/>
          <w:noProof/>
          <w:sz w:val="24"/>
          <w:szCs w:val="24"/>
          <w:lang w:val="cs-CZ" w:eastAsia="cs-CZ"/>
        </w:rPr>
      </w:pPr>
      <w:hyperlink w:anchor="_Toc81755646" w:history="1">
        <w:r w:rsidR="00D20672" w:rsidRPr="00946225">
          <w:rPr>
            <w:rStyle w:val="Hypertextovodkaz"/>
            <w:noProof/>
          </w:rPr>
          <w:t>Příloha A3 Výskyt vybraných náročných plodin více let po sobě na stejné lokalitě</w:t>
        </w:r>
        <w:r w:rsidR="00D20672">
          <w:rPr>
            <w:noProof/>
            <w:webHidden/>
          </w:rPr>
          <w:tab/>
        </w:r>
        <w:r w:rsidR="00D20672">
          <w:rPr>
            <w:noProof/>
            <w:webHidden/>
          </w:rPr>
          <w:fldChar w:fldCharType="begin"/>
        </w:r>
        <w:r w:rsidR="00D20672">
          <w:rPr>
            <w:noProof/>
            <w:webHidden/>
          </w:rPr>
          <w:instrText xml:space="preserve"> PAGEREF _Toc81755646 \h </w:instrText>
        </w:r>
        <w:r w:rsidR="00D20672">
          <w:rPr>
            <w:noProof/>
            <w:webHidden/>
          </w:rPr>
        </w:r>
        <w:r w:rsidR="00D20672">
          <w:rPr>
            <w:noProof/>
            <w:webHidden/>
          </w:rPr>
          <w:fldChar w:fldCharType="separate"/>
        </w:r>
        <w:r w:rsidR="00D20672">
          <w:rPr>
            <w:noProof/>
            <w:webHidden/>
          </w:rPr>
          <w:t>117</w:t>
        </w:r>
        <w:r w:rsidR="00D20672">
          <w:rPr>
            <w:noProof/>
            <w:webHidden/>
          </w:rPr>
          <w:fldChar w:fldCharType="end"/>
        </w:r>
      </w:hyperlink>
    </w:p>
    <w:p w14:paraId="1D3332DA" w14:textId="06CF68E2" w:rsidR="00D20672" w:rsidRDefault="0005469C" w:rsidP="006817B7">
      <w:pPr>
        <w:pStyle w:val="Obsah4"/>
        <w:rPr>
          <w:rFonts w:asciiTheme="minorHAnsi" w:eastAsiaTheme="minorEastAsia" w:hAnsiTheme="minorHAnsi"/>
          <w:noProof/>
          <w:sz w:val="24"/>
          <w:szCs w:val="24"/>
          <w:lang w:val="cs-CZ" w:eastAsia="cs-CZ"/>
        </w:rPr>
      </w:pPr>
      <w:hyperlink w:anchor="_Toc81755647" w:history="1">
        <w:r w:rsidR="00D20672" w:rsidRPr="00946225">
          <w:rPr>
            <w:rStyle w:val="Hypertextovodkaz"/>
            <w:noProof/>
          </w:rPr>
          <w:t>Příloha A4 Analýza k výskytu reziduí pesticidů ve vodě</w:t>
        </w:r>
        <w:r w:rsidR="00D20672">
          <w:rPr>
            <w:noProof/>
            <w:webHidden/>
          </w:rPr>
          <w:tab/>
        </w:r>
        <w:r w:rsidR="00D20672">
          <w:rPr>
            <w:noProof/>
            <w:webHidden/>
          </w:rPr>
          <w:fldChar w:fldCharType="begin"/>
        </w:r>
        <w:r w:rsidR="00D20672">
          <w:rPr>
            <w:noProof/>
            <w:webHidden/>
          </w:rPr>
          <w:instrText xml:space="preserve"> PAGEREF _Toc81755647 \h </w:instrText>
        </w:r>
        <w:r w:rsidR="00D20672">
          <w:rPr>
            <w:noProof/>
            <w:webHidden/>
          </w:rPr>
        </w:r>
        <w:r w:rsidR="00D20672">
          <w:rPr>
            <w:noProof/>
            <w:webHidden/>
          </w:rPr>
          <w:fldChar w:fldCharType="separate"/>
        </w:r>
        <w:r w:rsidR="00D20672">
          <w:rPr>
            <w:noProof/>
            <w:webHidden/>
          </w:rPr>
          <w:t>126</w:t>
        </w:r>
        <w:r w:rsidR="00D20672">
          <w:rPr>
            <w:noProof/>
            <w:webHidden/>
          </w:rPr>
          <w:fldChar w:fldCharType="end"/>
        </w:r>
      </w:hyperlink>
    </w:p>
    <w:p w14:paraId="5032860C" w14:textId="68F80DB7" w:rsidR="00D20672" w:rsidRDefault="0005469C" w:rsidP="006817B7">
      <w:pPr>
        <w:pStyle w:val="Obsah4"/>
        <w:rPr>
          <w:rFonts w:asciiTheme="minorHAnsi" w:eastAsiaTheme="minorEastAsia" w:hAnsiTheme="minorHAnsi"/>
          <w:noProof/>
          <w:sz w:val="24"/>
          <w:szCs w:val="24"/>
          <w:lang w:val="cs-CZ" w:eastAsia="cs-CZ"/>
        </w:rPr>
      </w:pPr>
      <w:hyperlink w:anchor="_Toc81755648" w:history="1">
        <w:r w:rsidR="00D20672" w:rsidRPr="00946225">
          <w:rPr>
            <w:rStyle w:val="Hypertextovodkaz"/>
            <w:noProof/>
          </w:rPr>
          <w:t>Příloha B - WELFARE</w:t>
        </w:r>
        <w:r w:rsidR="00D20672">
          <w:rPr>
            <w:noProof/>
            <w:webHidden/>
          </w:rPr>
          <w:tab/>
        </w:r>
        <w:r w:rsidR="00D20672">
          <w:rPr>
            <w:noProof/>
            <w:webHidden/>
          </w:rPr>
          <w:fldChar w:fldCharType="begin"/>
        </w:r>
        <w:r w:rsidR="00D20672">
          <w:rPr>
            <w:noProof/>
            <w:webHidden/>
          </w:rPr>
          <w:instrText xml:space="preserve"> PAGEREF _Toc81755648 \h </w:instrText>
        </w:r>
        <w:r w:rsidR="00D20672">
          <w:rPr>
            <w:noProof/>
            <w:webHidden/>
          </w:rPr>
        </w:r>
        <w:r w:rsidR="00D20672">
          <w:rPr>
            <w:noProof/>
            <w:webHidden/>
          </w:rPr>
          <w:fldChar w:fldCharType="separate"/>
        </w:r>
        <w:r w:rsidR="00D20672">
          <w:rPr>
            <w:noProof/>
            <w:webHidden/>
          </w:rPr>
          <w:t>133</w:t>
        </w:r>
        <w:r w:rsidR="00D20672">
          <w:rPr>
            <w:noProof/>
            <w:webHidden/>
          </w:rPr>
          <w:fldChar w:fldCharType="end"/>
        </w:r>
      </w:hyperlink>
    </w:p>
    <w:p w14:paraId="730F8826" w14:textId="3D4D64AF" w:rsidR="0000288B" w:rsidRPr="007434DA" w:rsidRDefault="00933812" w:rsidP="00AB2C5F">
      <w:pPr>
        <w:spacing w:after="160" w:line="259" w:lineRule="auto"/>
        <w:jc w:val="left"/>
        <w:rPr>
          <w:sz w:val="20"/>
          <w:szCs w:val="20"/>
          <w:lang w:val="cs-CZ"/>
        </w:rPr>
      </w:pPr>
      <w:r>
        <w:rPr>
          <w:rFonts w:cs="Arial (Základní text CS)"/>
          <w:b/>
          <w:bCs/>
          <w:caps/>
          <w:sz w:val="20"/>
          <w:szCs w:val="20"/>
          <w:lang w:val="cs-CZ"/>
        </w:rPr>
        <w:fldChar w:fldCharType="end"/>
      </w:r>
      <w:r w:rsidR="00AB2C5F" w:rsidRPr="007434DA">
        <w:rPr>
          <w:sz w:val="20"/>
          <w:szCs w:val="20"/>
          <w:lang w:val="cs-CZ"/>
        </w:rPr>
        <w:br w:type="page"/>
      </w:r>
    </w:p>
    <w:p w14:paraId="0E643D5A" w14:textId="77777777" w:rsidR="00CB2594" w:rsidRPr="007434DA" w:rsidRDefault="00CB2594" w:rsidP="006B29E1">
      <w:pPr>
        <w:pStyle w:val="UZEINadpis1stbezsla"/>
      </w:pPr>
      <w:bookmarkStart w:id="9" w:name="_Toc526270528"/>
      <w:bookmarkStart w:id="10" w:name="_Toc12613393"/>
      <w:bookmarkStart w:id="11" w:name="_Toc80877850"/>
      <w:bookmarkStart w:id="12" w:name="_Toc81755606"/>
      <w:bookmarkStart w:id="13" w:name="_Toc519497843"/>
      <w:r w:rsidRPr="007434DA">
        <w:t>A. Pesticidy a těžké kovy</w:t>
      </w:r>
      <w:bookmarkEnd w:id="9"/>
      <w:bookmarkEnd w:id="10"/>
      <w:bookmarkEnd w:id="11"/>
      <w:bookmarkEnd w:id="12"/>
    </w:p>
    <w:p w14:paraId="36926742" w14:textId="77777777" w:rsidR="00CB2594" w:rsidRPr="007434DA" w:rsidRDefault="00CB2594" w:rsidP="006B29E1">
      <w:pPr>
        <w:pStyle w:val="Nadpis1"/>
      </w:pPr>
      <w:bookmarkStart w:id="14" w:name="_Toc519518196"/>
      <w:bookmarkStart w:id="15" w:name="_Toc519518302"/>
      <w:bookmarkStart w:id="16" w:name="_Toc519581812"/>
      <w:bookmarkStart w:id="17" w:name="_Toc519689324"/>
      <w:bookmarkStart w:id="18" w:name="_Toc12613394"/>
      <w:bookmarkStart w:id="19" w:name="_Toc80877851"/>
      <w:bookmarkStart w:id="20" w:name="_Toc81755607"/>
      <w:bookmarkEnd w:id="13"/>
      <w:r w:rsidRPr="007434DA">
        <w:t>Analýza stávajících/navrhovaných právních předpisů EK/ČR a pravděpodobné nastavení směrů a cílů SZP</w:t>
      </w:r>
      <w:bookmarkEnd w:id="14"/>
      <w:bookmarkEnd w:id="15"/>
      <w:bookmarkEnd w:id="16"/>
      <w:bookmarkEnd w:id="17"/>
      <w:bookmarkEnd w:id="18"/>
      <w:bookmarkEnd w:id="19"/>
      <w:bookmarkEnd w:id="20"/>
    </w:p>
    <w:p w14:paraId="29902658" w14:textId="77777777" w:rsidR="00CB2594" w:rsidRPr="006D13BD" w:rsidRDefault="00CB2594" w:rsidP="006D13BD">
      <w:pPr>
        <w:pStyle w:val="UZEINormaln"/>
        <w:rPr>
          <w:b/>
          <w:bCs/>
        </w:rPr>
      </w:pPr>
      <w:bookmarkStart w:id="21" w:name="_Toc2272414"/>
      <w:bookmarkStart w:id="22" w:name="_Toc12611731"/>
      <w:bookmarkStart w:id="23" w:name="_Toc12613395"/>
      <w:r w:rsidRPr="006D13BD">
        <w:rPr>
          <w:b/>
          <w:bCs/>
        </w:rPr>
        <w:t>Legislativa EU</w:t>
      </w:r>
      <w:bookmarkEnd w:id="21"/>
      <w:bookmarkEnd w:id="22"/>
      <w:bookmarkEnd w:id="23"/>
    </w:p>
    <w:p w14:paraId="1A1BCFDE" w14:textId="77777777" w:rsidR="00CB2594" w:rsidRPr="007434DA" w:rsidRDefault="00CB2594" w:rsidP="00632857">
      <w:pPr>
        <w:pStyle w:val="UZEIOdrky"/>
        <w:rPr>
          <w:lang w:eastAsia="cs-CZ"/>
        </w:rPr>
      </w:pPr>
      <w:r w:rsidRPr="007434DA">
        <w:rPr>
          <w:lang w:eastAsia="cs-CZ"/>
        </w:rPr>
        <w:t xml:space="preserve">Rámcová směrnice o vodě 2000/60/ES, která usiluje o postupné omezení emisí, vypouštění a úniků nebezpečných látek do vody po celé Evropě a zajištění jejího dlouhodobého a udržitelného využívání. </w:t>
      </w:r>
    </w:p>
    <w:p w14:paraId="38023F95" w14:textId="77777777" w:rsidR="00CB2594" w:rsidRPr="007434DA" w:rsidRDefault="00CB2594" w:rsidP="00632857">
      <w:pPr>
        <w:pStyle w:val="UZEIOdrky"/>
        <w:rPr>
          <w:lang w:eastAsia="cs-CZ"/>
        </w:rPr>
      </w:pPr>
      <w:r w:rsidRPr="007434DA">
        <w:rPr>
          <w:lang w:eastAsia="cs-CZ"/>
        </w:rPr>
        <w:t>Směrnice Rady 91/676/EHS ze dne 12. prosince 1991 o ochraně vod před znečištěním dusičnany ze zemědělských zdrojů, ve znění nařízení Evropského parlamentu a Rady (ES) č. 1882/2003 ze dne 29. září 2003 o přizpůsobení ustanovení týkajících se výborů, které jsou nápomocny Komisi při výkonu jejích prováděcích pravomocí, stanovených v právních aktech Rady přijatých postupem podle článku 251 Smlouvy o ES, ustanovením rozhodnutí 1999/468/ES.</w:t>
      </w:r>
    </w:p>
    <w:p w14:paraId="494DF8FE" w14:textId="77777777" w:rsidR="00CB2594" w:rsidRPr="007434DA" w:rsidRDefault="00CB2594" w:rsidP="00632857">
      <w:pPr>
        <w:pStyle w:val="UZEIOdrky"/>
        <w:rPr>
          <w:lang w:eastAsia="cs-CZ"/>
        </w:rPr>
      </w:pPr>
      <w:r w:rsidRPr="007434DA">
        <w:rPr>
          <w:lang w:eastAsia="cs-CZ"/>
        </w:rPr>
        <w:t>Základní opatření pro používání POR je dáno v rámci podmínek pro přímé platby (nařízení Evropského parlamentu a Rady č. 1306/2013, čl. 93, a příloha II.  (DZES 1 Zřízení ochranných pásů podél vodních toků, PPH 4 Bezpečnost potravin, PPH 10 Přípravky na ochranu rostlin)</w:t>
      </w:r>
    </w:p>
    <w:p w14:paraId="4F55F526" w14:textId="77777777" w:rsidR="00CB2594" w:rsidRPr="007434DA" w:rsidRDefault="00CB2594" w:rsidP="00632857">
      <w:pPr>
        <w:pStyle w:val="UZEIOdrky"/>
        <w:rPr>
          <w:lang w:eastAsia="cs-CZ"/>
        </w:rPr>
      </w:pPr>
      <w:r w:rsidRPr="007434DA">
        <w:rPr>
          <w:lang w:eastAsia="cs-CZ"/>
        </w:rPr>
        <w:t>Nařízení EP a Rady (EU) č. 178/2002 ze dne 28. ledna 2002, kterým se stanoví obecné zásady a požadavky potravinového práva, zřizuje se Evropský úřad pro bezpečnost potravin a stanoví postupy týkající se bezpečnosti potravin (Úř. věst. L 31, 1.2.2002, s. 1) Články 14 a 15, čl. 17 odst. 1 ( 3 ) a články 18, 19 a 20</w:t>
      </w:r>
    </w:p>
    <w:p w14:paraId="2FAA9A95" w14:textId="77777777" w:rsidR="00CB2594" w:rsidRPr="007434DA" w:rsidRDefault="00CB2594" w:rsidP="00632857">
      <w:pPr>
        <w:pStyle w:val="UZEIOdrky"/>
        <w:rPr>
          <w:lang w:eastAsia="cs-CZ"/>
        </w:rPr>
      </w:pPr>
      <w:r w:rsidRPr="007434DA">
        <w:rPr>
          <w:lang w:eastAsia="cs-CZ"/>
        </w:rPr>
        <w:t>Nařízení EP a Rady (EU) č. 1107/2009 ze dne 21. října 2009 o uvádění přípravků na ochranu rostlin na trh a o zrušení směrnic Rady 79/117/EHS a 91/414/EHS (Úř. věst. L 309, 24.11.2009, s. 1)</w:t>
      </w:r>
    </w:p>
    <w:p w14:paraId="3EF90F8F" w14:textId="77777777" w:rsidR="00CB2594" w:rsidRPr="007434DA" w:rsidRDefault="00CB2594" w:rsidP="00632857">
      <w:pPr>
        <w:pStyle w:val="UZEIOdrky"/>
        <w:rPr>
          <w:lang w:eastAsia="cs-CZ"/>
        </w:rPr>
      </w:pPr>
      <w:r w:rsidRPr="007434DA">
        <w:rPr>
          <w:lang w:eastAsia="cs-CZ"/>
        </w:rPr>
        <w:t xml:space="preserve">Směrnice EP a Rady (EU) 2009/128/ES ze dne 21. října 2009, kterou se stanoví rámec pro činnost Společenství za účelem dosažení udržitelného používání pesticidů </w:t>
      </w:r>
    </w:p>
    <w:p w14:paraId="73D6BB16" w14:textId="77777777" w:rsidR="00CB2594" w:rsidRPr="007434DA" w:rsidRDefault="00CB2594" w:rsidP="00632857">
      <w:pPr>
        <w:pStyle w:val="UZEIOdrky"/>
        <w:rPr>
          <w:lang w:eastAsia="cs-CZ"/>
        </w:rPr>
      </w:pPr>
      <w:r w:rsidRPr="007434DA">
        <w:rPr>
          <w:lang w:eastAsia="cs-CZ"/>
        </w:rPr>
        <w:t xml:space="preserve">Nařízení EP a Rady (EU) č. 1305/2013 ze dne 17. prosince 2013 o podpoře pro rozvoj venkova z Evropského zemědělského fondu pro rozvoj venkova (EZFRV) a o zrušení nařízení Rady (ES) č. 1698/2005, v platném znění. </w:t>
      </w:r>
    </w:p>
    <w:p w14:paraId="0FD4288A" w14:textId="77777777" w:rsidR="00CB2594" w:rsidRPr="007434DA" w:rsidRDefault="00CB2594" w:rsidP="00632857">
      <w:pPr>
        <w:pStyle w:val="UZEIOdrky"/>
        <w:rPr>
          <w:lang w:eastAsia="cs-CZ"/>
        </w:rPr>
      </w:pPr>
      <w:r w:rsidRPr="007434DA">
        <w:rPr>
          <w:lang w:eastAsia="cs-CZ"/>
        </w:rPr>
        <w:t xml:space="preserve">Nařízení EP a Rady (EU) č. 1306/2013 ze dne 17. prosince 2013 o financování, řízení a sledování společné zemědělské politiky a o zrušení nařízení Rady (EHS) č. 352/78, (ES) č. 165/94, (ES) č. 2799/98, (ES) č. 814/2000, (ES) č. 1290/2005 a (ES) č. 485/2008, v platném znění. </w:t>
      </w:r>
    </w:p>
    <w:p w14:paraId="5923FF30" w14:textId="77777777" w:rsidR="00CB2594" w:rsidRPr="007434DA" w:rsidRDefault="00CB2594" w:rsidP="00632857">
      <w:pPr>
        <w:pStyle w:val="UZEIOdrky"/>
        <w:rPr>
          <w:lang w:eastAsia="cs-CZ"/>
        </w:rPr>
      </w:pPr>
      <w:r w:rsidRPr="007434DA">
        <w:rPr>
          <w:lang w:eastAsia="cs-CZ"/>
        </w:rPr>
        <w:t xml:space="preserve">Nařízení EP a Rady (EU) č. 1307/2013 ze dne 17. prosince 2013, kterým se stanoví pravidla pro přímé platby zemědělcům v režimech podpory v rámci společné zemědělské politiky a kterým se zrušují nařízení Rady (ES) č. 637/2008 a nařízení Rady (ES) č. 73/2009, v platném znění. </w:t>
      </w:r>
    </w:p>
    <w:p w14:paraId="5501B219" w14:textId="77777777" w:rsidR="00CB2594" w:rsidRPr="007434DA" w:rsidRDefault="00CB2594" w:rsidP="00632857">
      <w:pPr>
        <w:pStyle w:val="UZEIOdrky"/>
        <w:rPr>
          <w:lang w:eastAsia="cs-CZ"/>
        </w:rPr>
      </w:pPr>
      <w:r w:rsidRPr="007434DA">
        <w:rPr>
          <w:lang w:eastAsia="cs-CZ"/>
        </w:rPr>
        <w:t xml:space="preserve">NAŘÍZENÍ KOMISE V PŘENESENÉ PRAVOMOCI (EU) č. 639/2014 ze dne 11. března 2014, kterým se doplňuje nařízení Evropského parlamentu a Rady (EU) č. 1307/2013, kterým se stanoví pravidla pro přímé platby zemědělcům v režimech podpory v rámci společné zemědělské politiky, a kterým se mění příloha X uvedeného nařízení, v platném znění. </w:t>
      </w:r>
    </w:p>
    <w:p w14:paraId="3D1A44DF" w14:textId="77777777" w:rsidR="00CB2594" w:rsidRPr="007434DA" w:rsidRDefault="00CB2594" w:rsidP="00632857">
      <w:pPr>
        <w:pStyle w:val="UZEIOdrky"/>
        <w:rPr>
          <w:lang w:eastAsia="cs-CZ"/>
        </w:rPr>
      </w:pPr>
      <w:r w:rsidRPr="007434DA">
        <w:rPr>
          <w:lang w:eastAsia="cs-CZ"/>
        </w:rPr>
        <w:t xml:space="preserve">NAŘÍZENÍ KOMISE V PŘENESENÉ PRAVOMOCI (EU) č. 640/2014 ze dne 11. března 2014, kterým se doplňuje nařízení Evropského parlamentu a Rady (EU) č. 1306/2013, pokud jde o integrovaný administrativní a kontrolní systém a o podmínky pro zamítnutí nebo odnětí plateb a správní sankce uplatňované na přímé platby, podporu na rozvoj venkova a podmíněnost, v platném znění. </w:t>
      </w:r>
    </w:p>
    <w:p w14:paraId="33D0E60B" w14:textId="77777777" w:rsidR="00CB2594" w:rsidRPr="007434DA" w:rsidRDefault="00CB2594" w:rsidP="00632857">
      <w:pPr>
        <w:pStyle w:val="UZEIOdrky"/>
        <w:rPr>
          <w:lang w:eastAsia="cs-CZ"/>
        </w:rPr>
      </w:pPr>
      <w:r w:rsidRPr="007434DA">
        <w:rPr>
          <w:lang w:eastAsia="cs-CZ"/>
        </w:rPr>
        <w:t xml:space="preserve">NAŘÍZENÍ KOMISE V PŘENESENÉ PRAVOMOCI (EU) 2016/1393 ze dne 4. května 2016, kterým se mění nařízení Komise v přenesené pravomoci (EU) č. 640/2014, kterým se doplňuje nařízení Evropského parlamentu a Rady (EU) č. 1306/2013, pokud jde o integrovaný administrativní a kontrolní systém a o podmínky pro zamítnutí nebo odnětí plateb a správní sankce uplatňované na přímé platby, podporu na rozvoj venkova a podmíněnost. </w:t>
      </w:r>
    </w:p>
    <w:p w14:paraId="70161553" w14:textId="77777777" w:rsidR="00CB2594" w:rsidRPr="007434DA" w:rsidRDefault="00CB2594" w:rsidP="00632857">
      <w:pPr>
        <w:pStyle w:val="UZEIOdrky"/>
        <w:rPr>
          <w:lang w:eastAsia="cs-CZ"/>
        </w:rPr>
      </w:pPr>
      <w:r w:rsidRPr="007434DA">
        <w:rPr>
          <w:lang w:eastAsia="cs-CZ"/>
        </w:rPr>
        <w:t xml:space="preserve">PROVÁDĚCÍ NAŘÍZENÍ KOMISE (EU) č. 641/2014 ze dne 16. června 2014, kterým se stanoví prováděcí pravidla k nařízení Evropského parlamentu a Rady (EU) č. 1307/2013, kterým se stanoví pravidla pro přímé platby zemědělcům v režimech podpory v rámci společné zemědělské politiky, v platném znění. </w:t>
      </w:r>
    </w:p>
    <w:p w14:paraId="1A3D0F7C" w14:textId="77777777" w:rsidR="00CB2594" w:rsidRPr="007434DA" w:rsidRDefault="00CB2594" w:rsidP="00632857">
      <w:pPr>
        <w:pStyle w:val="UZEIOdrky"/>
        <w:rPr>
          <w:lang w:eastAsia="cs-CZ"/>
        </w:rPr>
      </w:pPr>
      <w:r w:rsidRPr="007434DA">
        <w:rPr>
          <w:lang w:eastAsia="cs-CZ"/>
        </w:rPr>
        <w:t xml:space="preserve">NAŘÍZENÍ KOMISE V PŘENESENÉ PRAVOMOCI (EU) č. 807/2014 ze dne 11. března 2014, kterým se doplňují některá ustanovení nařízení Evropského parlamentu a Rady (EU) č. 1305/2013 o podpoře pro rozvoj venkova z Evropského zemědělského fondu pro rozvoj venkova (EZFRV) a kterým se zavádějí přechodná ustanovení, v platném znění. </w:t>
      </w:r>
    </w:p>
    <w:p w14:paraId="3387C51D" w14:textId="77777777" w:rsidR="00CB2594" w:rsidRPr="007434DA" w:rsidRDefault="00CB2594" w:rsidP="00632857">
      <w:pPr>
        <w:pStyle w:val="UZEIOdrky"/>
        <w:rPr>
          <w:lang w:eastAsia="cs-CZ"/>
        </w:rPr>
      </w:pPr>
      <w:r w:rsidRPr="007434DA">
        <w:rPr>
          <w:lang w:eastAsia="cs-CZ"/>
        </w:rPr>
        <w:t xml:space="preserve">PROVÁDĚCÍ NAŘÍZENÍ KOMISE (EU) č. 808/2014 ze dne 17. července 2014, kterým se stanoví prováděcí pravidla k nařízení Evropského parlamentu a Rady (EU) č. 1305/2013 o podpoře pro rozvoj venkova z Evropského zemědělského fondu pro rozvoj venkova (EZFRV), v platném znění. </w:t>
      </w:r>
    </w:p>
    <w:p w14:paraId="7AA1C4CB" w14:textId="77777777" w:rsidR="00CB2594" w:rsidRPr="007434DA" w:rsidRDefault="00CB2594" w:rsidP="00632857">
      <w:pPr>
        <w:pStyle w:val="UZEIOdrky"/>
        <w:rPr>
          <w:lang w:eastAsia="cs-CZ"/>
        </w:rPr>
      </w:pPr>
      <w:r w:rsidRPr="007434DA">
        <w:rPr>
          <w:lang w:eastAsia="cs-CZ"/>
        </w:rPr>
        <w:t xml:space="preserve">PROVÁDĚCÍ NAŘÍZENÍ KOMISE (EU) č. 809/2014 ze dne 17. července 2014, kterým se stanoví prováděcí pravidla k nařízení Evropského parlamentu a Rady (EU) č. 1306/2013, pokud jde o integrovaný administrativní a kontrolní systém, opatření pro rozvoj venkova a podmíněnost, v platném znění. </w:t>
      </w:r>
    </w:p>
    <w:p w14:paraId="2B07A917" w14:textId="77777777" w:rsidR="00CB2594" w:rsidRPr="007434DA" w:rsidRDefault="00CB2594" w:rsidP="00632857">
      <w:pPr>
        <w:pStyle w:val="UZEIOdrky"/>
        <w:rPr>
          <w:lang w:eastAsia="cs-CZ"/>
        </w:rPr>
      </w:pPr>
      <w:r w:rsidRPr="007434DA">
        <w:rPr>
          <w:lang w:eastAsia="cs-CZ"/>
        </w:rPr>
        <w:t xml:space="preserve">NAŘÍZENÍ KOMISE V PŘENESENÉ PRAVOMOCI (EU) č. 907/2014 ze dne 11. března 2014, kterým se doplňuje nařízení Evropského parlamentu a Rady (EU) č. 1306/2013, pokud jde o platební agentury a další subjekty, finanční řízení, schválení účetní závěrky, jistoty a použití eura, v platném znění. </w:t>
      </w:r>
    </w:p>
    <w:p w14:paraId="5FEEAF3F" w14:textId="77777777" w:rsidR="00CB2594" w:rsidRPr="007434DA" w:rsidRDefault="00CB2594" w:rsidP="00632857">
      <w:pPr>
        <w:pStyle w:val="UZEIOdrky"/>
        <w:rPr>
          <w:lang w:eastAsia="cs-CZ"/>
        </w:rPr>
      </w:pPr>
      <w:r w:rsidRPr="007434DA">
        <w:rPr>
          <w:lang w:eastAsia="cs-CZ"/>
        </w:rPr>
        <w:t xml:space="preserve">PROVÁDĚCÍ NAŘÍZENÍ KOMISE (EU) č. 908/2014 ze dne 6. července 2014, kterým se stanoví pravidla pro uplatňování nařízení Evropského parlamentu a Rady (EU) č. 1306/2013, pokud jde o platební agentury a další subjekty, finanční řízení, schvalování účetní závěrky, pravidla pro kontroly, jistoty a transparentnost, v platném znění. </w:t>
      </w:r>
    </w:p>
    <w:p w14:paraId="62C5E032" w14:textId="77777777" w:rsidR="00CB2594" w:rsidRPr="007434DA" w:rsidRDefault="00CB2594" w:rsidP="00632857">
      <w:pPr>
        <w:pStyle w:val="UZEIOdrky"/>
        <w:rPr>
          <w:lang w:eastAsia="cs-CZ"/>
        </w:rPr>
      </w:pPr>
      <w:r w:rsidRPr="007434DA">
        <w:rPr>
          <w:lang w:eastAsia="cs-CZ"/>
        </w:rPr>
        <w:t>NAŘÍZENÍ KOMISE (ES) č. 1881/2006 ze dne 19. prosince 2006, kterým se stanoví maximální limity některých kontaminujících látek v potravinách</w:t>
      </w:r>
    </w:p>
    <w:p w14:paraId="5C36D5F9" w14:textId="77777777" w:rsidR="00CB2594" w:rsidRPr="007434DA" w:rsidRDefault="00CB2594" w:rsidP="00632857">
      <w:pPr>
        <w:pStyle w:val="UZEIOdrky"/>
        <w:rPr>
          <w:lang w:eastAsia="cs-CZ"/>
        </w:rPr>
      </w:pPr>
      <w:r w:rsidRPr="007434DA">
        <w:rPr>
          <w:lang w:eastAsia="cs-CZ"/>
        </w:rPr>
        <w:t>NAŘÍZENÍ KOMISE (ES) č. 629/2008 ze dne 2. července 2008, kterým se mění nařízení (ES) č. 1881/2006, kterým se stanoví maximální limity některých kontaminujících látek v potravinách</w:t>
      </w:r>
    </w:p>
    <w:p w14:paraId="3EBB9C4E" w14:textId="77777777" w:rsidR="00CB2594" w:rsidRPr="007434DA" w:rsidRDefault="00CB2594" w:rsidP="00632857">
      <w:pPr>
        <w:pStyle w:val="UZEIOdrky"/>
        <w:rPr>
          <w:lang w:eastAsia="cs-CZ"/>
        </w:rPr>
      </w:pPr>
      <w:r w:rsidRPr="007434DA">
        <w:rPr>
          <w:lang w:eastAsia="cs-CZ"/>
        </w:rPr>
        <w:t>NAŘÍZENÍ KOMISE (EU) 2015/1005 ze dne 25. června 2015, kterým se mění nařízení (ES) č. 1881/2006, pokud jde o maximální limity olova v některých potravinách</w:t>
      </w:r>
    </w:p>
    <w:p w14:paraId="3E6836ED" w14:textId="77777777" w:rsidR="00CB2594" w:rsidRPr="007434DA" w:rsidRDefault="00CB2594" w:rsidP="00632857">
      <w:pPr>
        <w:pStyle w:val="UZEIOdrky"/>
        <w:rPr>
          <w:lang w:eastAsia="cs-CZ"/>
        </w:rPr>
      </w:pPr>
      <w:r w:rsidRPr="007434DA">
        <w:rPr>
          <w:lang w:eastAsia="cs-CZ"/>
        </w:rPr>
        <w:t>NAŘÍZENÍ KOMISE (EU) č. 488/2014 ze dne 12. května 2014, kterým se mění nařízení (ES) č. 1881/2006, pokud jde o maximální limity kadmia v potravinách</w:t>
      </w:r>
    </w:p>
    <w:p w14:paraId="3F0FECBA" w14:textId="77777777" w:rsidR="00CB2594" w:rsidRPr="007434DA" w:rsidRDefault="00CB2594" w:rsidP="00632857">
      <w:pPr>
        <w:pStyle w:val="UZEIOdrky"/>
        <w:rPr>
          <w:lang w:eastAsia="cs-CZ"/>
        </w:rPr>
      </w:pPr>
      <w:r w:rsidRPr="007434DA">
        <w:rPr>
          <w:lang w:eastAsia="cs-CZ"/>
        </w:rPr>
        <w:t>DOPORUČENÍ KOMISE (EU) 2015/1381 ze dne 10. srpna 2015 o monitorování arsenu v potravinách</w:t>
      </w:r>
    </w:p>
    <w:p w14:paraId="60F9721C" w14:textId="77777777" w:rsidR="00CB2594" w:rsidRPr="007434DA" w:rsidRDefault="00CB2594" w:rsidP="00632857">
      <w:pPr>
        <w:pStyle w:val="UZEIOdrky"/>
        <w:rPr>
          <w:lang w:eastAsia="cs-CZ"/>
        </w:rPr>
      </w:pPr>
      <w:r w:rsidRPr="007434DA">
        <w:rPr>
          <w:lang w:eastAsia="cs-CZ"/>
        </w:rPr>
        <w:t>NAŘÍZENÍ EVROPSKÉHO PARLAMENTU A RADY (ES) C. 396/2005 ze dne 23. února 2005 o maximálních limitech reziduí pesticidů v potravinách a krmivech rostlinného a živočišného původu a na jejich povrchu a o změně směrnice Rady 91/414/EHS</w:t>
      </w:r>
    </w:p>
    <w:p w14:paraId="5C9B9481" w14:textId="77777777" w:rsidR="00CB2594" w:rsidRPr="007434DA" w:rsidRDefault="00CB2594" w:rsidP="00632857">
      <w:pPr>
        <w:pStyle w:val="UZEIOdrky"/>
        <w:rPr>
          <w:lang w:eastAsia="cs-CZ"/>
        </w:rPr>
      </w:pPr>
      <w:r w:rsidRPr="007434DA">
        <w:rPr>
          <w:lang w:eastAsia="cs-CZ"/>
        </w:rPr>
        <w:t>NAŘÍZENÍ KOMISE (EU) 2018/73 ze dne 16. ledna 2018, kterým se mění přílohy II a III nařízení Evropského parlamentu a Rady (EU) č. 396/2005, pokud jde o maximální limity reziduí pro sloučeniny rtuti v některých produktech a na jejich povrchu</w:t>
      </w:r>
    </w:p>
    <w:p w14:paraId="579D0E20" w14:textId="77777777" w:rsidR="00CB2594" w:rsidRPr="007434DA" w:rsidRDefault="00CB2594" w:rsidP="00632857">
      <w:pPr>
        <w:pStyle w:val="UZEIOdrky"/>
        <w:rPr>
          <w:lang w:eastAsia="cs-CZ"/>
        </w:rPr>
      </w:pPr>
      <w:r w:rsidRPr="007434DA">
        <w:rPr>
          <w:lang w:eastAsia="cs-CZ"/>
        </w:rPr>
        <w:t>Nařízení Rady (ES) č. 834/2007 o ekologické produkci a označování ekologických produktů</w:t>
      </w:r>
    </w:p>
    <w:p w14:paraId="3F33C5BB" w14:textId="77777777" w:rsidR="00CB2594" w:rsidRPr="007434DA" w:rsidRDefault="00CB2594" w:rsidP="00632857">
      <w:pPr>
        <w:pStyle w:val="UZEIOdrky"/>
        <w:rPr>
          <w:lang w:eastAsia="cs-CZ"/>
        </w:rPr>
      </w:pPr>
      <w:r w:rsidRPr="007434DA">
        <w:rPr>
          <w:lang w:eastAsia="cs-CZ"/>
        </w:rPr>
        <w:t>Nařízení Komise (ES) č. 889/2008, kterým se stanoví prováděcí pravidla k nařízení Rady (ES) č. 834/2007 o ekologické produkci a označování ekologických produktů, pokud jde o ekologickou produkci, označování a kontrolu</w:t>
      </w:r>
    </w:p>
    <w:p w14:paraId="2BBFE2A7" w14:textId="583ABFB3" w:rsidR="0005469C" w:rsidRPr="00FA3A37" w:rsidRDefault="00CB2594" w:rsidP="00FA3A37">
      <w:pPr>
        <w:pStyle w:val="UZEIOdrky"/>
        <w:rPr>
          <w:b/>
          <w:bCs/>
        </w:rPr>
      </w:pPr>
      <w:r w:rsidRPr="007434DA">
        <w:rPr>
          <w:lang w:eastAsia="cs-CZ"/>
        </w:rPr>
        <w:t>Směrnice 2008/105/ES stanovuje normy environmentální kvality</w:t>
      </w:r>
    </w:p>
    <w:p w14:paraId="279E14E4" w14:textId="77777777" w:rsidR="0005469C" w:rsidRPr="00FA3A37" w:rsidRDefault="00CB2594" w:rsidP="00FA3A37">
      <w:pPr>
        <w:pStyle w:val="UZEIOdrky"/>
        <w:rPr>
          <w:b/>
          <w:bCs/>
        </w:rPr>
      </w:pPr>
      <w:r w:rsidRPr="007434DA">
        <w:rPr>
          <w:lang w:eastAsia="cs-CZ"/>
        </w:rPr>
        <w:t>Příloha III návrhu NAŘÍZENÍ EVROPSKÉHO PARLAMENTU A RADY</w:t>
      </w:r>
      <w:r w:rsidR="00767D80" w:rsidRPr="00767D80">
        <w:rPr>
          <w:lang w:eastAsia="cs-CZ"/>
        </w:rPr>
        <w:t xml:space="preserve"> </w:t>
      </w:r>
      <w:r w:rsidR="00767D80">
        <w:rPr>
          <w:lang w:eastAsia="cs-CZ"/>
        </w:rPr>
        <w:t>(EU) 2021/2115</w:t>
      </w:r>
      <w:r w:rsidRPr="007434DA">
        <w:rPr>
          <w:lang w:eastAsia="cs-CZ"/>
        </w:rPr>
        <w:t xml:space="preserve">, kterým se stanoví pravidla podpory pro strategické plány, jež mají být vypracovány členskými státy v rámci společné zemědělské politiky (strategické plány SZP) a financovány Evropským zemědělským záručním fondem (EZZF) a Evropským zemědělským fondem pro rozvoj venkova (EZFRV), a </w:t>
      </w:r>
      <w:r w:rsidR="00767D80">
        <w:rPr>
          <w:lang w:eastAsia="cs-CZ"/>
        </w:rPr>
        <w:t xml:space="preserve">kterým se </w:t>
      </w:r>
      <w:r w:rsidRPr="007434DA">
        <w:rPr>
          <w:lang w:eastAsia="cs-CZ"/>
        </w:rPr>
        <w:t>zrušuj</w:t>
      </w:r>
      <w:r w:rsidR="00767D80">
        <w:rPr>
          <w:lang w:eastAsia="cs-CZ"/>
        </w:rPr>
        <w:t>í</w:t>
      </w:r>
      <w:r w:rsidRPr="007434DA">
        <w:rPr>
          <w:lang w:eastAsia="cs-CZ"/>
        </w:rPr>
        <w:t xml:space="preserve"> nařízení (EU) č. 1305/2013 a n (EU) č.1307/2013</w:t>
      </w:r>
    </w:p>
    <w:p w14:paraId="771EDC06" w14:textId="60D90E11" w:rsidR="00CB2594" w:rsidRPr="00FA3A37" w:rsidRDefault="00CB2594" w:rsidP="00FA3A37">
      <w:pPr>
        <w:pStyle w:val="UZEIOdrky"/>
        <w:rPr>
          <w:b/>
          <w:bCs/>
        </w:rPr>
      </w:pPr>
      <w:bookmarkStart w:id="24" w:name="_Toc2272415"/>
      <w:bookmarkStart w:id="25" w:name="_Toc12611732"/>
      <w:bookmarkStart w:id="26" w:name="_Toc12613396"/>
      <w:r w:rsidRPr="00FA3A37">
        <w:rPr>
          <w:b/>
          <w:bCs/>
        </w:rPr>
        <w:t>Legislativa ČR</w:t>
      </w:r>
      <w:bookmarkEnd w:id="24"/>
      <w:bookmarkEnd w:id="25"/>
      <w:bookmarkEnd w:id="26"/>
    </w:p>
    <w:p w14:paraId="75EBD1A1" w14:textId="77777777" w:rsidR="00CB2594" w:rsidRPr="007434DA" w:rsidRDefault="00CB2594" w:rsidP="00DD7998">
      <w:pPr>
        <w:pStyle w:val="UZEIOdrky"/>
        <w:rPr>
          <w:lang w:eastAsia="cs-CZ"/>
        </w:rPr>
      </w:pPr>
      <w:r w:rsidRPr="007434DA">
        <w:rPr>
          <w:lang w:eastAsia="cs-CZ"/>
        </w:rPr>
        <w:t xml:space="preserve">Zákon č. 114/1992 Sb., o ochraně přírody a krajiny, ve znění pozdějších předpisů. </w:t>
      </w:r>
    </w:p>
    <w:p w14:paraId="72D60CA4" w14:textId="77777777" w:rsidR="00CB2594" w:rsidRPr="007434DA" w:rsidRDefault="00CB2594" w:rsidP="00DD7998">
      <w:pPr>
        <w:pStyle w:val="UZEIOdrky"/>
        <w:rPr>
          <w:lang w:eastAsia="cs-CZ"/>
        </w:rPr>
      </w:pPr>
      <w:r w:rsidRPr="007434DA">
        <w:rPr>
          <w:lang w:eastAsia="cs-CZ"/>
        </w:rPr>
        <w:t xml:space="preserve">Zákon č. 252/1997 Sb., o zemědělství, ve znění pozdějších předpisů. </w:t>
      </w:r>
    </w:p>
    <w:p w14:paraId="18AFD2DC" w14:textId="77777777" w:rsidR="00CB2594" w:rsidRPr="007434DA" w:rsidRDefault="00CB2594" w:rsidP="00DD7998">
      <w:pPr>
        <w:pStyle w:val="UZEIOdrky"/>
        <w:rPr>
          <w:lang w:eastAsia="cs-CZ"/>
        </w:rPr>
      </w:pPr>
      <w:r w:rsidRPr="007434DA">
        <w:rPr>
          <w:lang w:eastAsia="cs-CZ"/>
        </w:rPr>
        <w:t xml:space="preserve">Zákon č. 219/2003 Sb., o uvádění do oběhu osiva a sadby pěstovaných rostlin a o změně některých zákonů (zákon o oběhu osiva a sadby), ve znění pozdějších předpisů. </w:t>
      </w:r>
    </w:p>
    <w:p w14:paraId="2C390F53" w14:textId="77777777" w:rsidR="00CB2594" w:rsidRPr="007434DA" w:rsidRDefault="00CB2594" w:rsidP="00DD7998">
      <w:pPr>
        <w:pStyle w:val="UZEIOdrky"/>
        <w:rPr>
          <w:lang w:eastAsia="cs-CZ"/>
        </w:rPr>
      </w:pPr>
      <w:r w:rsidRPr="007434DA">
        <w:rPr>
          <w:lang w:eastAsia="cs-CZ"/>
        </w:rPr>
        <w:t>Zákon č. 326/2004 Sb., o rostlinolékařské péči a o změně některých souvisejících zákonů v posledním znění uvádí v § 3 Základní povinnosti fyzických a právnických osob a v § 86 ukládá povinnost vlastnit osvědčení o odborné způsobilosti pro práci s přípravky na ochranu rostlin, a to pro všechny osoby provádějící aplikaci těchto přípravků či manipulaci s nimi</w:t>
      </w:r>
    </w:p>
    <w:p w14:paraId="240DAEFB" w14:textId="77777777" w:rsidR="00CB2594" w:rsidRPr="007434DA" w:rsidRDefault="00CB2594" w:rsidP="00DD7998">
      <w:pPr>
        <w:pStyle w:val="UZEIOdrky"/>
        <w:rPr>
          <w:lang w:eastAsia="cs-CZ"/>
        </w:rPr>
      </w:pPr>
      <w:r w:rsidRPr="007434DA">
        <w:rPr>
          <w:lang w:eastAsia="cs-CZ"/>
        </w:rPr>
        <w:t>Zákon č. 258/2000 Sb., o ochraně veřejného zdraví a o změně některých souvisejících zákonů.</w:t>
      </w:r>
    </w:p>
    <w:p w14:paraId="3BFEA621" w14:textId="77777777" w:rsidR="00CB2594" w:rsidRPr="007434DA" w:rsidRDefault="00CB2594" w:rsidP="00DD7998">
      <w:pPr>
        <w:pStyle w:val="UZEIOdrky"/>
        <w:rPr>
          <w:lang w:eastAsia="cs-CZ"/>
        </w:rPr>
      </w:pPr>
      <w:r w:rsidRPr="007434DA">
        <w:rPr>
          <w:lang w:eastAsia="cs-CZ"/>
        </w:rPr>
        <w:t>Zákon č. 255/2012 Sb., o kontrole (kontrolní řád)</w:t>
      </w:r>
    </w:p>
    <w:p w14:paraId="33381CC0" w14:textId="77777777" w:rsidR="00CB2594" w:rsidRPr="007434DA" w:rsidRDefault="00CB2594" w:rsidP="00DD7998">
      <w:pPr>
        <w:pStyle w:val="UZEIOdrky"/>
        <w:rPr>
          <w:lang w:eastAsia="cs-CZ"/>
        </w:rPr>
      </w:pPr>
      <w:r w:rsidRPr="007434DA">
        <w:rPr>
          <w:lang w:eastAsia="cs-CZ"/>
        </w:rPr>
        <w:t>Zákon č. 242/2000 Sb., o ekologickém zemědělství a o změně zákona č. 368/1992 Sb., o správních poplatcích, ve znění pozdějších předpisů</w:t>
      </w:r>
    </w:p>
    <w:p w14:paraId="0AB3C6A6" w14:textId="77777777" w:rsidR="00CB2594" w:rsidRPr="007434DA" w:rsidRDefault="00CB2594" w:rsidP="00DD7998">
      <w:pPr>
        <w:pStyle w:val="UZEIOdrky"/>
        <w:rPr>
          <w:lang w:eastAsia="cs-CZ"/>
        </w:rPr>
      </w:pPr>
      <w:r w:rsidRPr="007434DA">
        <w:rPr>
          <w:lang w:eastAsia="cs-CZ"/>
        </w:rPr>
        <w:t>Zákon č. 254/2001 Sb., o vodách a o změně některých zákonů¨(vodní zákon), ve znění pozdějších předpisů</w:t>
      </w:r>
      <w:r w:rsidRPr="007434DA">
        <w:rPr>
          <w:rFonts w:ascii="GillSansMT" w:hAnsi="GillSansMT" w:cs="GillSansMT"/>
          <w:sz w:val="18"/>
          <w:szCs w:val="18"/>
          <w:lang w:eastAsia="cs-CZ"/>
        </w:rPr>
        <w:t xml:space="preserve"> </w:t>
      </w:r>
    </w:p>
    <w:p w14:paraId="2DD87A10" w14:textId="4EB9C004" w:rsidR="00CB2594" w:rsidRPr="007434DA" w:rsidRDefault="00767D80" w:rsidP="00DD7998">
      <w:pPr>
        <w:pStyle w:val="UZEIOdrky"/>
        <w:rPr>
          <w:lang w:eastAsia="cs-CZ"/>
        </w:rPr>
      </w:pPr>
      <w:r>
        <w:rPr>
          <w:lang w:eastAsia="cs-CZ"/>
        </w:rPr>
        <w:t>Nařízení vlády</w:t>
      </w:r>
      <w:r w:rsidR="00CB2594" w:rsidRPr="007434DA">
        <w:rPr>
          <w:lang w:eastAsia="cs-CZ"/>
        </w:rPr>
        <w:t xml:space="preserve"> č. 50/2015 Sb., o stanovení některých podmínek poskytování přímých plateb zemědělcům a o změně některých souvisejících nařízení vlády, ve znění pozdějších předpisů. </w:t>
      </w:r>
    </w:p>
    <w:p w14:paraId="64CF94A6" w14:textId="4708376A" w:rsidR="00CB2594" w:rsidRPr="007434DA" w:rsidRDefault="00767D80" w:rsidP="00DD7998">
      <w:pPr>
        <w:pStyle w:val="UZEIOdrky"/>
        <w:rPr>
          <w:lang w:eastAsia="cs-CZ"/>
        </w:rPr>
      </w:pPr>
      <w:r>
        <w:rPr>
          <w:lang w:eastAsia="cs-CZ"/>
        </w:rPr>
        <w:t>Nařízení vlády</w:t>
      </w:r>
      <w:r w:rsidR="00CB2594" w:rsidRPr="007434DA">
        <w:rPr>
          <w:lang w:eastAsia="cs-CZ"/>
        </w:rPr>
        <w:t xml:space="preserve"> č. 48/2017 Sb., o stanovení požadavků podle aktů a standardů dobrého zemědělského a environmentálního stavu pro oblasti pravidel podmíněnosti a důsledků jejich porušení pro poskytování některých zemědělských podpor. </w:t>
      </w:r>
    </w:p>
    <w:p w14:paraId="0A86802C" w14:textId="2142AECF" w:rsidR="00CB2594" w:rsidRPr="007434DA" w:rsidRDefault="00767D80" w:rsidP="00DD7998">
      <w:pPr>
        <w:pStyle w:val="UZEIOdrky"/>
        <w:rPr>
          <w:lang w:eastAsia="cs-CZ"/>
        </w:rPr>
      </w:pPr>
      <w:r>
        <w:rPr>
          <w:lang w:eastAsia="cs-CZ"/>
        </w:rPr>
        <w:t>Nařízení vlády</w:t>
      </w:r>
      <w:r w:rsidRPr="007434DA">
        <w:rPr>
          <w:lang w:eastAsia="cs-CZ"/>
        </w:rPr>
        <w:t xml:space="preserve"> </w:t>
      </w:r>
      <w:r w:rsidR="00CB2594" w:rsidRPr="007434DA">
        <w:rPr>
          <w:lang w:eastAsia="cs-CZ"/>
        </w:rPr>
        <w:t xml:space="preserve">č. 75/2015 Sb., o podmínkách provádění agroenvironmentálně-klimatických opatření a o změně nařízení vlády č. 79/2007 Sb., o podmínkách provádění agroenvironmentálních opatření, ve znění pozdějších předpisů. </w:t>
      </w:r>
    </w:p>
    <w:p w14:paraId="64EFBF9F" w14:textId="1638F1C0" w:rsidR="00CB2594" w:rsidRPr="007434DA" w:rsidRDefault="00767D80" w:rsidP="00DD7998">
      <w:pPr>
        <w:pStyle w:val="UZEIOdrky"/>
        <w:rPr>
          <w:lang w:eastAsia="cs-CZ"/>
        </w:rPr>
      </w:pPr>
      <w:r>
        <w:rPr>
          <w:lang w:eastAsia="cs-CZ"/>
        </w:rPr>
        <w:t>Nařízení vlády</w:t>
      </w:r>
      <w:r w:rsidRPr="007434DA">
        <w:rPr>
          <w:lang w:eastAsia="cs-CZ"/>
        </w:rPr>
        <w:t xml:space="preserve"> </w:t>
      </w:r>
      <w:r w:rsidR="00CB2594" w:rsidRPr="007434DA">
        <w:rPr>
          <w:lang w:eastAsia="cs-CZ"/>
        </w:rPr>
        <w:t xml:space="preserve">č. 76/2015 Sb., o podmínkách provádění opatření ekologické zemědělství, ve znění pozdějších předpisů. </w:t>
      </w:r>
    </w:p>
    <w:p w14:paraId="5C9713F9" w14:textId="77777777" w:rsidR="00CB2594" w:rsidRPr="007434DA" w:rsidRDefault="00CB2594" w:rsidP="00DD7998">
      <w:pPr>
        <w:pStyle w:val="UZEIOdrky"/>
        <w:rPr>
          <w:lang w:eastAsia="cs-CZ"/>
        </w:rPr>
      </w:pPr>
      <w:r w:rsidRPr="007434DA">
        <w:rPr>
          <w:lang w:eastAsia="cs-CZ"/>
        </w:rPr>
        <w:t>Zásady, kterými se stanovují podmínky pro poskytování dotací pro rok 2018 na základě § 1, § 2 a § 2d zákona č. 252/1997 Sb., o zemědělství, ve znění pozdějších předpisů (Podpora ozdravování polních a speciálních plodin)</w:t>
      </w:r>
    </w:p>
    <w:p w14:paraId="2AE60FCD" w14:textId="77777777" w:rsidR="00CB2594" w:rsidRPr="007434DA" w:rsidRDefault="00CB2594" w:rsidP="00DD7998">
      <w:pPr>
        <w:pStyle w:val="UZEIOdrky"/>
        <w:rPr>
          <w:lang w:eastAsia="cs-CZ"/>
        </w:rPr>
      </w:pPr>
      <w:r w:rsidRPr="007434DA">
        <w:rPr>
          <w:lang w:eastAsia="cs-CZ"/>
        </w:rPr>
        <w:t>Vyhláška č. 205/2012 Sb., o obecných zásadách integrované ochrany rostlin</w:t>
      </w:r>
    </w:p>
    <w:p w14:paraId="56F8E4DE" w14:textId="77777777" w:rsidR="00CB2594" w:rsidRPr="007434DA" w:rsidRDefault="00CB2594" w:rsidP="00DD7998">
      <w:pPr>
        <w:pStyle w:val="UZEIOdrky"/>
        <w:rPr>
          <w:lang w:eastAsia="cs-CZ"/>
        </w:rPr>
      </w:pPr>
      <w:r w:rsidRPr="007434DA">
        <w:rPr>
          <w:lang w:eastAsia="cs-CZ"/>
        </w:rPr>
        <w:t>Vyhláška č. 327/2012 Sb., o ochraně včel, zvěře, vodních organismů a dalších necílových organismů při použití přípravků na ochranu rostlin.</w:t>
      </w:r>
    </w:p>
    <w:p w14:paraId="2570F7BC" w14:textId="77777777" w:rsidR="00CB2594" w:rsidRPr="007434DA" w:rsidRDefault="00CB2594" w:rsidP="00DD7998">
      <w:pPr>
        <w:pStyle w:val="UZEIOdrky"/>
        <w:rPr>
          <w:lang w:eastAsia="cs-CZ"/>
        </w:rPr>
      </w:pPr>
      <w:r w:rsidRPr="007434DA">
        <w:rPr>
          <w:lang w:eastAsia="cs-CZ"/>
        </w:rPr>
        <w:t>Vyhláška 98/2001 Sb. o způsobu hodnocení stavu útvarů povrchových vod, způsobu hodnocení ekologického potenciálu silně ovlivněných a umělých útvarů povrchových vod a náležitostech programů zjišťování a hodnocení stavu povrchových vod – mimo jiné řeší problematiku monitoringu povrchových vod, nikoliv ve vazbě na zemědělství.</w:t>
      </w:r>
    </w:p>
    <w:p w14:paraId="79DCAE07" w14:textId="77777777" w:rsidR="00CB2594" w:rsidRPr="007434DA" w:rsidRDefault="00CB2594" w:rsidP="00DD7998">
      <w:pPr>
        <w:pStyle w:val="UZEIOdrky"/>
        <w:rPr>
          <w:lang w:eastAsia="cs-CZ"/>
        </w:rPr>
      </w:pPr>
      <w:r w:rsidRPr="007434DA">
        <w:rPr>
          <w:lang w:eastAsia="cs-CZ"/>
        </w:rPr>
        <w:t>Vyhláška č. 38/2001 Sb. o hygienických požadavcích na výrobky určené pro styk s potravinami a pokrmy</w:t>
      </w:r>
    </w:p>
    <w:p w14:paraId="220D2E5E" w14:textId="77777777" w:rsidR="00CB2594" w:rsidRPr="007434DA" w:rsidRDefault="00CB2594" w:rsidP="00DD7998">
      <w:pPr>
        <w:pStyle w:val="UZEIOdrky"/>
        <w:rPr>
          <w:lang w:eastAsia="cs-CZ"/>
        </w:rPr>
      </w:pPr>
      <w:r w:rsidRPr="007434DA">
        <w:rPr>
          <w:lang w:eastAsia="cs-CZ"/>
        </w:rPr>
        <w:t>Vyhláška 5/2011 Sb. o vymezení hydrogeologických rajonů a útvarů podzemních vod, způsobu hodnocení stavu podzemních vod a náležitostech programů zjišťování a hodnocení stavu podzemních vod – mimo jiné řeší problematiku monitoringu podzemních vod, nikoliv ve vazbě na zemědělství.</w:t>
      </w:r>
    </w:p>
    <w:p w14:paraId="6EB88E4F" w14:textId="77777777" w:rsidR="00CB2594" w:rsidRPr="007434DA" w:rsidRDefault="00CB2594" w:rsidP="00DD7998">
      <w:pPr>
        <w:pStyle w:val="UZEIOdrky"/>
        <w:rPr>
          <w:lang w:eastAsia="cs-CZ"/>
        </w:rPr>
      </w:pPr>
      <w:r w:rsidRPr="007434DA">
        <w:rPr>
          <w:lang w:eastAsia="cs-CZ"/>
        </w:rPr>
        <w:t>Vyhláška 24/2011 Sb. o plánech povodí a plánech pro zvládání povodňových rizik – mimo jiné řeší problematiku opatření např. omezení negativních vlivů pesticidů na povrchové a podzemní vody v rámci opatření Plánů oblastí povodí.</w:t>
      </w:r>
    </w:p>
    <w:p w14:paraId="39385573" w14:textId="77777777" w:rsidR="00CB2594" w:rsidRPr="007434DA" w:rsidRDefault="00CB2594" w:rsidP="00DD7998">
      <w:pPr>
        <w:pStyle w:val="UZEIOdrky"/>
        <w:rPr>
          <w:lang w:eastAsia="cs-CZ"/>
        </w:rPr>
      </w:pPr>
      <w:r w:rsidRPr="007434DA">
        <w:rPr>
          <w:lang w:eastAsia="cs-CZ"/>
        </w:rPr>
        <w:t>Vyhláška č. 295/2015 Sb. o provedení některých ustanovení zákona o krmivech</w:t>
      </w:r>
    </w:p>
    <w:p w14:paraId="4132F438" w14:textId="77777777" w:rsidR="00CB2594" w:rsidRPr="007434DA" w:rsidRDefault="00CB2594" w:rsidP="00DD7998">
      <w:pPr>
        <w:pStyle w:val="UZEIOdrky"/>
        <w:rPr>
          <w:lang w:eastAsia="cs-CZ"/>
        </w:rPr>
      </w:pPr>
      <w:r w:rsidRPr="007434DA">
        <w:rPr>
          <w:lang w:eastAsia="cs-CZ"/>
        </w:rPr>
        <w:t>Vyhláška č. 437/2016 Sb. o podmínkách použití upravených kalů na zemědělské půdě a změně vyhlášky č. 383/2001 Sb., o podrobnostech nakládání s odpady a změně vyhlášky č. 341/2008 Sb., o podrobnostech nakládání s biologicky rozložitelnými odpady a o změně vyhlášky č. 294/2005 Sb., o podmínkách ukládání odpadů na skládky a jejich využívání na povrchu terénu a změně vyhlášky č. 383/2001 Sb., o podrobnostech nakládání s odpady (vyhláška o podrobnostech nakládání s biologicky rozložitelnými odpady).</w:t>
      </w:r>
    </w:p>
    <w:p w14:paraId="5ACFE135" w14:textId="77777777" w:rsidR="00CB2594" w:rsidRPr="007434DA" w:rsidRDefault="00CB2594" w:rsidP="00DD7998">
      <w:pPr>
        <w:pStyle w:val="UZEIOdrky"/>
        <w:rPr>
          <w:bCs/>
        </w:rPr>
      </w:pPr>
      <w:r w:rsidRPr="007434DA">
        <w:t xml:space="preserve">Zákon č. 258/2000 Sb. (v platném znění) o ochraně veřejného zdraví </w:t>
      </w:r>
      <w:r w:rsidRPr="007434DA">
        <w:rPr>
          <w:bCs/>
        </w:rPr>
        <w:t>Vyhláška č. 252/2004 Sb., kterou se stanoví hygienické požadavky na pitnou a teplou vodu a četnost a rozsah kontroly pitné vody</w:t>
      </w:r>
    </w:p>
    <w:p w14:paraId="73FF986D" w14:textId="1B90E54C" w:rsidR="00CB2594" w:rsidRPr="007434DA" w:rsidRDefault="00834E79" w:rsidP="00DD7998">
      <w:pPr>
        <w:pStyle w:val="UZEIOdrky"/>
        <w:rPr>
          <w:bCs/>
        </w:rPr>
      </w:pPr>
      <w:r>
        <w:rPr>
          <w:bCs/>
        </w:rPr>
        <w:t>V</w:t>
      </w:r>
      <w:r w:rsidR="00CB2594" w:rsidRPr="007434DA">
        <w:rPr>
          <w:bCs/>
        </w:rPr>
        <w:t>yhlášk</w:t>
      </w:r>
      <w:r>
        <w:rPr>
          <w:bCs/>
        </w:rPr>
        <w:t>a</w:t>
      </w:r>
      <w:r w:rsidR="00CB2594" w:rsidRPr="007434DA">
        <w:rPr>
          <w:bCs/>
        </w:rPr>
        <w:t xml:space="preserve"> č. 252/2004 Sb., kterou se stanoví hygienické požadavky na pitnou a teplou vodu a četnost a rozsah kontroly pitné vody, ve znění pozdějších předpisů</w:t>
      </w:r>
    </w:p>
    <w:p w14:paraId="2F877633" w14:textId="77777777" w:rsidR="00CB2594" w:rsidRPr="007434DA" w:rsidRDefault="00CB2594" w:rsidP="00DD7998">
      <w:pPr>
        <w:pStyle w:val="UZEIOdrky"/>
        <w:rPr>
          <w:bCs/>
        </w:rPr>
      </w:pPr>
      <w:r w:rsidRPr="007434DA">
        <w:rPr>
          <w:bCs/>
        </w:rPr>
        <w:t>Vyhláška č. 275/2004 Sb. o požadavcích na jakost a zdravotní nezávadnost balených vod a o způsobu jejich úpravy</w:t>
      </w:r>
    </w:p>
    <w:p w14:paraId="7ACE4BE1" w14:textId="20B94324" w:rsidR="00CB2594" w:rsidRPr="007434DA" w:rsidRDefault="00CB2594" w:rsidP="00767D80">
      <w:pPr>
        <w:pStyle w:val="UZEIOdrky"/>
        <w:rPr>
          <w:bCs/>
        </w:rPr>
      </w:pPr>
      <w:r w:rsidRPr="007434DA">
        <w:rPr>
          <w:bCs/>
        </w:rPr>
        <w:t>Vyhláška č. 428/2001 Sb., kterou se provádí zákon č. 274/2001 Sb.</w:t>
      </w:r>
      <w:r w:rsidR="00767D80">
        <w:rPr>
          <w:bCs/>
        </w:rPr>
        <w:t xml:space="preserve">, o </w:t>
      </w:r>
      <w:r w:rsidR="00767D80" w:rsidRPr="00767D80">
        <w:rPr>
          <w:bCs/>
        </w:rPr>
        <w:t>vodovodech a kanalizacích pro veřejnou potřebu a o změně některých zákonů</w:t>
      </w:r>
    </w:p>
    <w:p w14:paraId="5741F045" w14:textId="7E518E32" w:rsidR="00CB2594" w:rsidRPr="007434DA" w:rsidRDefault="00834E79" w:rsidP="00DD7998">
      <w:pPr>
        <w:pStyle w:val="UZEIOdrky"/>
        <w:rPr>
          <w:bCs/>
        </w:rPr>
      </w:pPr>
      <w:r>
        <w:rPr>
          <w:bCs/>
        </w:rPr>
        <w:t>Nařízení vlády</w:t>
      </w:r>
      <w:r w:rsidRPr="007434DA">
        <w:rPr>
          <w:bCs/>
        </w:rPr>
        <w:t xml:space="preserve"> </w:t>
      </w:r>
      <w:r w:rsidR="00CB2594" w:rsidRPr="007434DA">
        <w:rPr>
          <w:bCs/>
        </w:rPr>
        <w:t>č. 61/2003 Sb. o ukazatelích a hodnotách přípustného znečištění povrchových vod a odpadních vod, náležitostech povolení k vypouštění odpadních vod do vod povrchových a do kanalizací a o citlivých oblastech</w:t>
      </w:r>
    </w:p>
    <w:p w14:paraId="17AB78E3" w14:textId="77777777" w:rsidR="00CB2594" w:rsidRPr="007434DA" w:rsidRDefault="00CB2594" w:rsidP="00DD7998">
      <w:pPr>
        <w:pStyle w:val="UZEIOdrky"/>
      </w:pPr>
      <w:r w:rsidRPr="007434DA">
        <w:t>Vyhláška č. 5/2011 Sb. o vymezení hydrogeologických rajonů a útvary podzemních vod, způsobu hodnocení stavu podzemních vod a náležitostech programů zajišťování a hodnocení jejich stavu</w:t>
      </w:r>
    </w:p>
    <w:p w14:paraId="28494C92" w14:textId="77777777" w:rsidR="00CB2594" w:rsidRPr="007434DA" w:rsidRDefault="00CB2594" w:rsidP="00DD7998">
      <w:pPr>
        <w:pStyle w:val="UZEIOdrky"/>
      </w:pPr>
      <w:r w:rsidRPr="007434DA">
        <w:t>Vyhláška č. 98/2011 o způsobu hodnocení stavu útvarů povrchových vod, způsobu hodnocení</w:t>
      </w:r>
      <w:r w:rsidRPr="007434DA">
        <w:br/>
        <w:t>ekologického potenciálu silně ovlivněných a umělých útvarů povrchových vod a náležitostech</w:t>
      </w:r>
      <w:r w:rsidRPr="007434DA">
        <w:br/>
        <w:t>programů zjišťování a hodnocení stavu povrchových vod</w:t>
      </w:r>
    </w:p>
    <w:p w14:paraId="1F0B480B" w14:textId="77777777" w:rsidR="00CB2594" w:rsidRPr="007434DA" w:rsidRDefault="00CB2594" w:rsidP="00DD7998">
      <w:pPr>
        <w:pStyle w:val="UZEIOdrky"/>
      </w:pPr>
      <w:r w:rsidRPr="007434DA">
        <w:t>Nařízení vlády č. 145/2008 seznam znečišťujících látek a prahových hodnot a údaje</w:t>
      </w:r>
      <w:r w:rsidRPr="007434DA">
        <w:br/>
        <w:t>požadované pro ohlašování do integrovaného registru znečišťování životního prostředí</w:t>
      </w:r>
    </w:p>
    <w:p w14:paraId="0ED7A105" w14:textId="77777777" w:rsidR="00CB2594" w:rsidRPr="007434DA" w:rsidRDefault="00CB2594" w:rsidP="00DD7998">
      <w:pPr>
        <w:pStyle w:val="UZEIOdrky"/>
        <w:rPr>
          <w:lang w:eastAsia="cs-CZ"/>
        </w:rPr>
      </w:pPr>
      <w:r w:rsidRPr="007434DA">
        <w:rPr>
          <w:lang w:eastAsia="cs-CZ"/>
        </w:rPr>
        <w:t>Nařízení vlády č. 262/2012 Sb., o stanovení zranitelných oblastí a akčním programu, ve znění pozdějších předpisů</w:t>
      </w:r>
    </w:p>
    <w:p w14:paraId="0148FA30" w14:textId="77777777" w:rsidR="00CB2594" w:rsidRPr="007434DA" w:rsidRDefault="00CB2594" w:rsidP="00DD7998">
      <w:pPr>
        <w:pStyle w:val="UZEIOdrky"/>
        <w:rPr>
          <w:lang w:eastAsia="cs-CZ"/>
        </w:rPr>
      </w:pPr>
      <w:r w:rsidRPr="007434DA">
        <w:rPr>
          <w:lang w:eastAsia="cs-CZ"/>
        </w:rPr>
        <w:t>Nařízení vlády č. 309/2014Sb., o stanovení důsledků porušení podmíněnosti poskytování některých zemědělských podpor, ve znění pozdějších předpisů.</w:t>
      </w:r>
    </w:p>
    <w:p w14:paraId="67B2ADD8" w14:textId="77777777" w:rsidR="00CB2594" w:rsidRPr="007434DA" w:rsidRDefault="00CB2594" w:rsidP="00DD7998">
      <w:pPr>
        <w:pStyle w:val="UZEIOdrky"/>
        <w:rPr>
          <w:lang w:eastAsia="cs-CZ"/>
        </w:rPr>
      </w:pPr>
      <w:r w:rsidRPr="007434DA">
        <w:rPr>
          <w:lang w:eastAsia="cs-CZ"/>
        </w:rPr>
        <w:t>Nařízení vlády č. 307/2014 Sb., o stanovení podrobností evidence využití půdy podle uživatelských vztahů.</w:t>
      </w:r>
    </w:p>
    <w:p w14:paraId="1D7EEB4C" w14:textId="5EAF9C9C" w:rsidR="00CB2594" w:rsidRPr="007434DA" w:rsidRDefault="00CB2594" w:rsidP="00DD7998">
      <w:pPr>
        <w:pStyle w:val="UZEIOdrky"/>
        <w:rPr>
          <w:lang w:eastAsia="cs-CZ"/>
        </w:rPr>
      </w:pPr>
      <w:r w:rsidRPr="007434DA">
        <w:t>Metodický pokyn Ministerstva Životního prostředí MŽP 1/2012 – indikátory znečištění.</w:t>
      </w:r>
      <w:r w:rsidRPr="007434DA">
        <w:rPr>
          <w:lang w:eastAsia="cs-CZ"/>
        </w:rPr>
        <w:t xml:space="preserve"> </w:t>
      </w:r>
    </w:p>
    <w:p w14:paraId="291581DA" w14:textId="60A79A3F" w:rsidR="00CB2594" w:rsidRPr="006D13BD" w:rsidRDefault="00CB2594" w:rsidP="006D13BD">
      <w:pPr>
        <w:pStyle w:val="UZEINormaln"/>
        <w:rPr>
          <w:b/>
          <w:bCs/>
        </w:rPr>
      </w:pPr>
      <w:r w:rsidRPr="006D13BD">
        <w:rPr>
          <w:b/>
          <w:bCs/>
        </w:rPr>
        <w:t>Strategie</w:t>
      </w:r>
    </w:p>
    <w:p w14:paraId="3923475C" w14:textId="77777777" w:rsidR="00CB2594" w:rsidRPr="007434DA" w:rsidRDefault="00CB2594" w:rsidP="00DD7998">
      <w:pPr>
        <w:pStyle w:val="UZEIOdrky"/>
        <w:rPr>
          <w:lang w:eastAsia="cs-CZ"/>
        </w:rPr>
      </w:pPr>
      <w:r w:rsidRPr="007434DA">
        <w:rPr>
          <w:lang w:eastAsia="cs-CZ"/>
        </w:rPr>
        <w:t>Národní akční plán k bezpečnému používání pesticidů v České republice pro 2018-2022 (dále NAP)</w:t>
      </w:r>
    </w:p>
    <w:p w14:paraId="197572FC" w14:textId="77777777" w:rsidR="00CB2594" w:rsidRPr="007434DA" w:rsidRDefault="00CB2594" w:rsidP="00DD7998">
      <w:pPr>
        <w:pStyle w:val="UZEIOdrky"/>
        <w:rPr>
          <w:lang w:eastAsia="cs-CZ"/>
        </w:rPr>
      </w:pPr>
      <w:r w:rsidRPr="007434DA">
        <w:rPr>
          <w:lang w:eastAsia="cs-CZ"/>
        </w:rPr>
        <w:t>Strategie resortu Ministerstva zemědělství České republiky s výhledem do roku 2030</w:t>
      </w:r>
    </w:p>
    <w:p w14:paraId="49C8E9DD" w14:textId="77777777" w:rsidR="00CB2594" w:rsidRPr="007434DA" w:rsidRDefault="00CB2594" w:rsidP="00DD7998">
      <w:pPr>
        <w:pStyle w:val="UZEIOdrky"/>
        <w:rPr>
          <w:lang w:eastAsia="cs-CZ"/>
        </w:rPr>
      </w:pPr>
      <w:r w:rsidRPr="007434DA">
        <w:rPr>
          <w:lang w:eastAsia="cs-CZ"/>
        </w:rPr>
        <w:t>Implementační plán Strategie resortu Ministerstva zemědělství ČR na období 2017</w:t>
      </w:r>
      <w:r w:rsidRPr="007434DA">
        <w:rPr>
          <w:lang w:eastAsia="cs-CZ"/>
        </w:rPr>
        <w:noBreakHyphen/>
        <w:t>2020</w:t>
      </w:r>
    </w:p>
    <w:p w14:paraId="3BC0A597" w14:textId="77777777" w:rsidR="00CB2594" w:rsidRPr="007434DA" w:rsidRDefault="00CB2594" w:rsidP="00DD7998">
      <w:pPr>
        <w:pStyle w:val="UZEIOdrky"/>
        <w:rPr>
          <w:lang w:eastAsia="cs-CZ"/>
        </w:rPr>
      </w:pPr>
      <w:r w:rsidRPr="007434DA">
        <w:rPr>
          <w:lang w:eastAsia="cs-CZ"/>
        </w:rPr>
        <w:t>Akční plán ČR pro rozvoj ekologického zemědělství v letech 2021–2027</w:t>
      </w:r>
    </w:p>
    <w:p w14:paraId="689D77AE" w14:textId="19C9175E" w:rsidR="00CB2594" w:rsidRPr="007434DA" w:rsidRDefault="00CB2594" w:rsidP="00DD7998">
      <w:pPr>
        <w:pStyle w:val="UZEIOdrky"/>
        <w:rPr>
          <w:lang w:eastAsia="cs-CZ"/>
        </w:rPr>
      </w:pPr>
      <w:r w:rsidRPr="007434DA">
        <w:rPr>
          <w:lang w:eastAsia="cs-CZ"/>
        </w:rPr>
        <w:t xml:space="preserve">Strategie bezpečnosti potravin a výživy </w:t>
      </w:r>
      <w:r w:rsidR="00834E79">
        <w:rPr>
          <w:lang w:eastAsia="cs-CZ"/>
        </w:rPr>
        <w:t>2030</w:t>
      </w:r>
    </w:p>
    <w:p w14:paraId="7C0548A4" w14:textId="206B2E78" w:rsidR="00CB2594" w:rsidRPr="007434DA" w:rsidRDefault="00CB2594" w:rsidP="00DD7998">
      <w:pPr>
        <w:pStyle w:val="UZEIOdrky"/>
        <w:rPr>
          <w:lang w:eastAsia="cs-CZ"/>
        </w:rPr>
      </w:pPr>
      <w:r w:rsidRPr="007434DA">
        <w:rPr>
          <w:lang w:eastAsia="cs-CZ"/>
        </w:rPr>
        <w:t xml:space="preserve">Národní plány povodí: </w:t>
      </w:r>
      <w:r w:rsidR="00DD7998" w:rsidRPr="007434DA">
        <w:rPr>
          <w:lang w:eastAsia="cs-CZ"/>
        </w:rPr>
        <w:tab/>
      </w:r>
      <w:r w:rsidRPr="007434DA">
        <w:rPr>
          <w:lang w:eastAsia="cs-CZ"/>
        </w:rPr>
        <w:t xml:space="preserve">Národní plán povodí Labe pro období 2015-2021 </w:t>
      </w:r>
    </w:p>
    <w:p w14:paraId="71C0B423" w14:textId="77777777" w:rsidR="00CB2594" w:rsidRPr="007434DA" w:rsidRDefault="00CB2594" w:rsidP="00DD7998">
      <w:pPr>
        <w:pStyle w:val="UZEINormaln"/>
        <w:ind w:left="2880" w:firstLine="720"/>
      </w:pPr>
      <w:r w:rsidRPr="007434DA">
        <w:t xml:space="preserve">Národní plán povodí Dunaje pro období 2015-2021 </w:t>
      </w:r>
    </w:p>
    <w:p w14:paraId="08CB8699" w14:textId="77777777" w:rsidR="00CB2594" w:rsidRPr="007434DA" w:rsidRDefault="00CB2594" w:rsidP="00DD7998">
      <w:pPr>
        <w:pStyle w:val="UZEINormaln"/>
        <w:ind w:left="2880" w:firstLine="720"/>
        <w:rPr>
          <w:b/>
        </w:rPr>
      </w:pPr>
      <w:r w:rsidRPr="007434DA">
        <w:t xml:space="preserve">Národní plán povodí Odry pro období 2015-2021 </w:t>
      </w:r>
    </w:p>
    <w:p w14:paraId="02F75402" w14:textId="60F548D9" w:rsidR="00CB2594" w:rsidRPr="007434DA" w:rsidRDefault="00CB2594" w:rsidP="00683FA4">
      <w:pPr>
        <w:pStyle w:val="UZEINormaln"/>
        <w:rPr>
          <w:b/>
          <w:bCs/>
        </w:rPr>
      </w:pPr>
      <w:bookmarkStart w:id="27" w:name="_Hlk516731695"/>
      <w:bookmarkStart w:id="28" w:name="_Hlk520373864"/>
      <w:r w:rsidRPr="007434DA">
        <w:rPr>
          <w:b/>
          <w:bCs/>
        </w:rPr>
        <w:t>Specifický cíl:</w:t>
      </w:r>
    </w:p>
    <w:p w14:paraId="371BD6BD" w14:textId="10ADBB6F" w:rsidR="00216801" w:rsidRPr="007434DA" w:rsidRDefault="00CB2594" w:rsidP="00683FA4">
      <w:pPr>
        <w:pStyle w:val="UZEINormaln"/>
      </w:pPr>
      <w:r w:rsidRPr="007434DA">
        <w:t xml:space="preserve">Zlepšovat reakci zemědělství </w:t>
      </w:r>
      <w:r w:rsidR="0005469C">
        <w:t>Unie</w:t>
      </w:r>
      <w:r w:rsidRPr="007434DA">
        <w:t xml:space="preserve"> na společenskou poptávku </w:t>
      </w:r>
      <w:r w:rsidR="0005469C">
        <w:t xml:space="preserve">týkající se potravin </w:t>
      </w:r>
      <w:r w:rsidRPr="007434DA">
        <w:t>a zdraví, včetně</w:t>
      </w:r>
      <w:r w:rsidR="0005469C">
        <w:t xml:space="preserve"> vysoce kvalitních,</w:t>
      </w:r>
      <w:r w:rsidRPr="007434DA">
        <w:t xml:space="preserve"> bezpečných </w:t>
      </w:r>
      <w:r w:rsidR="0005469C">
        <w:t xml:space="preserve">a </w:t>
      </w:r>
      <w:r w:rsidRPr="007434DA">
        <w:t xml:space="preserve">výživných potravin </w:t>
      </w:r>
      <w:r w:rsidR="0005469C">
        <w:t>vyprodukovaných udržitelným způsobem, omezit plýtvání potravinami, jakož i zlepšit životní podmínky zvířat a eliminovat antimikrobiální rezistenci</w:t>
      </w:r>
    </w:p>
    <w:p w14:paraId="51CF4347" w14:textId="77777777" w:rsidR="00CB2594" w:rsidRPr="006D13BD" w:rsidRDefault="00CB2594" w:rsidP="006D13BD">
      <w:pPr>
        <w:pStyle w:val="UZEINormaln"/>
        <w:rPr>
          <w:b/>
          <w:bCs/>
        </w:rPr>
      </w:pPr>
      <w:bookmarkStart w:id="29" w:name="_Toc12466313"/>
      <w:bookmarkStart w:id="30" w:name="_Toc12611733"/>
      <w:bookmarkStart w:id="31" w:name="_Toc12613397"/>
      <w:bookmarkEnd w:id="27"/>
      <w:r w:rsidRPr="006D13BD">
        <w:rPr>
          <w:b/>
          <w:bCs/>
        </w:rPr>
        <w:t>Uvažované ukazatele - indikátory (dopadové, výsledkové, výstupové)</w:t>
      </w:r>
      <w:bookmarkEnd w:id="29"/>
      <w:bookmarkEnd w:id="30"/>
      <w:bookmarkEnd w:id="31"/>
    </w:p>
    <w:p w14:paraId="1754E1AC" w14:textId="77777777" w:rsidR="00CB2594" w:rsidRPr="007434DA" w:rsidRDefault="00CB2594" w:rsidP="00683FA4">
      <w:pPr>
        <w:pStyle w:val="UZEINormaln"/>
        <w:rPr>
          <w:b/>
          <w:bCs/>
        </w:rPr>
      </w:pPr>
      <w:r w:rsidRPr="007434DA">
        <w:rPr>
          <w:b/>
          <w:bCs/>
        </w:rPr>
        <w:t>Základní soubor ukazatelů</w:t>
      </w:r>
    </w:p>
    <w:p w14:paraId="2E624606" w14:textId="77777777" w:rsidR="00CB2594" w:rsidRPr="007434DA" w:rsidRDefault="00CB2594" w:rsidP="00683FA4">
      <w:pPr>
        <w:pStyle w:val="UZEINormaln"/>
        <w:rPr>
          <w:b/>
          <w:bCs/>
        </w:rPr>
      </w:pPr>
      <w:r w:rsidRPr="007434DA">
        <w:rPr>
          <w:b/>
          <w:bCs/>
        </w:rPr>
        <w:t>Dopadové indikátory:</w:t>
      </w:r>
    </w:p>
    <w:p w14:paraId="0B25130C" w14:textId="2BDDB867" w:rsidR="00CB2594" w:rsidRPr="007434DA" w:rsidRDefault="00CB2594" w:rsidP="00F579AB">
      <w:pPr>
        <w:pStyle w:val="UZEINormaln"/>
        <w:ind w:left="720"/>
      </w:pPr>
      <w:r w:rsidRPr="007434DA">
        <w:t>I.</w:t>
      </w:r>
      <w:r w:rsidR="00D311DE">
        <w:t>18</w:t>
      </w:r>
      <w:r w:rsidRPr="007434DA">
        <w:t xml:space="preserve"> Udržitelné </w:t>
      </w:r>
      <w:r w:rsidR="00D311DE">
        <w:t xml:space="preserve">a </w:t>
      </w:r>
      <w:r w:rsidR="00D9475C">
        <w:t>omezené</w:t>
      </w:r>
      <w:r w:rsidR="00D311DE">
        <w:t xml:space="preserve"> </w:t>
      </w:r>
      <w:r w:rsidRPr="007434DA">
        <w:t xml:space="preserve">používání pesticidů: </w:t>
      </w:r>
      <w:r w:rsidR="00D9475C">
        <w:t>R</w:t>
      </w:r>
      <w:r w:rsidR="00D311DE">
        <w:t>izika, použití a dopady pesticidů</w:t>
      </w:r>
      <w:r w:rsidRPr="007434DA">
        <w:t>.</w:t>
      </w:r>
    </w:p>
    <w:p w14:paraId="64B57729" w14:textId="15256FD4" w:rsidR="00CB2594" w:rsidRDefault="00CB2594" w:rsidP="00F579AB">
      <w:pPr>
        <w:pStyle w:val="UZEINormaln"/>
        <w:rPr>
          <w:b/>
          <w:bCs/>
        </w:rPr>
      </w:pPr>
      <w:r w:rsidRPr="007434DA">
        <w:rPr>
          <w:b/>
          <w:bCs/>
        </w:rPr>
        <w:t>Výsledkové indikátory:</w:t>
      </w:r>
    </w:p>
    <w:p w14:paraId="583FD707" w14:textId="6632B515" w:rsidR="00D9475C" w:rsidRPr="00A96F54" w:rsidRDefault="00D9475C" w:rsidP="00A96F54">
      <w:pPr>
        <w:pStyle w:val="UZEINormaln"/>
        <w:ind w:left="720"/>
        <w:rPr>
          <w:bCs/>
        </w:rPr>
      </w:pPr>
      <w:r w:rsidRPr="00A96F54">
        <w:rPr>
          <w:bCs/>
        </w:rPr>
        <w:t>R.21</w:t>
      </w:r>
      <w:r w:rsidR="00A96F54" w:rsidRPr="00A96F54">
        <w:rPr>
          <w:vertAlign w:val="superscript"/>
        </w:rPr>
        <w:t xml:space="preserve"> PR</w:t>
      </w:r>
      <w:r w:rsidR="00A96F54">
        <w:rPr>
          <w:vertAlign w:val="superscript"/>
        </w:rPr>
        <w:t xml:space="preserve"> </w:t>
      </w:r>
      <w:r w:rsidR="00A96F54">
        <w:t>Ochrana kvality vod: Podíl využívané zemědělské půdy, na niž se vztahují podpořené závazky týkající se kvality vod.</w:t>
      </w:r>
    </w:p>
    <w:p w14:paraId="20A940B4" w14:textId="1BE90995" w:rsidR="00CB2594" w:rsidRPr="007434DA" w:rsidRDefault="00CB2594" w:rsidP="00F579AB">
      <w:pPr>
        <w:pStyle w:val="UZEINormaln"/>
        <w:ind w:left="720"/>
      </w:pPr>
      <w:r w:rsidRPr="007434DA">
        <w:t>R.</w:t>
      </w:r>
      <w:r w:rsidR="00431FC5">
        <w:t>24</w:t>
      </w:r>
      <w:r w:rsidR="00D9475C" w:rsidRPr="00D9475C">
        <w:rPr>
          <w:b/>
          <w:vertAlign w:val="superscript"/>
        </w:rPr>
        <w:t xml:space="preserve"> </w:t>
      </w:r>
      <w:r w:rsidR="00D9475C" w:rsidRPr="00A96F54">
        <w:rPr>
          <w:vertAlign w:val="superscript"/>
        </w:rPr>
        <w:t>PR</w:t>
      </w:r>
      <w:r w:rsidR="00D9475C" w:rsidRPr="007434DA" w:rsidDel="00431FC5">
        <w:t xml:space="preserve"> </w:t>
      </w:r>
      <w:r w:rsidRPr="007434DA">
        <w:t xml:space="preserve"> Udržitelné </w:t>
      </w:r>
      <w:r w:rsidR="00431FC5">
        <w:t xml:space="preserve">a </w:t>
      </w:r>
      <w:r w:rsidR="00D9475C">
        <w:t>omezené</w:t>
      </w:r>
      <w:r w:rsidR="00431FC5">
        <w:t xml:space="preserve"> </w:t>
      </w:r>
      <w:r w:rsidRPr="007434DA">
        <w:t xml:space="preserve">používání pesticidů: </w:t>
      </w:r>
      <w:r w:rsidR="00D9475C">
        <w:t>P</w:t>
      </w:r>
      <w:r w:rsidRPr="007434DA">
        <w:t xml:space="preserve">odíl </w:t>
      </w:r>
      <w:r w:rsidR="00431FC5">
        <w:t xml:space="preserve">využívané </w:t>
      </w:r>
      <w:r w:rsidRPr="007434DA">
        <w:t>zemědělské půdy</w:t>
      </w:r>
      <w:r w:rsidR="00D9475C">
        <w:t xml:space="preserve">, jíž se týkají podpořené specifické závazky, </w:t>
      </w:r>
      <w:r w:rsidRPr="007434DA">
        <w:t>, které vedou k udržitelnému používání pesticidů za účelem snížení jejich rizik a dopadů</w:t>
      </w:r>
      <w:r w:rsidR="00A96F54">
        <w:t>,</w:t>
      </w:r>
      <w:r w:rsidRPr="007434DA">
        <w:t xml:space="preserve"> jako je únik pesticidů.</w:t>
      </w:r>
    </w:p>
    <w:p w14:paraId="182406F2" w14:textId="4CB2D740" w:rsidR="00CB2594" w:rsidRDefault="00CB2594" w:rsidP="00F579AB">
      <w:pPr>
        <w:pStyle w:val="UZEINormaln"/>
        <w:rPr>
          <w:b/>
          <w:bCs/>
        </w:rPr>
      </w:pPr>
      <w:r w:rsidRPr="007434DA">
        <w:rPr>
          <w:b/>
          <w:bCs/>
        </w:rPr>
        <w:t>Výstupové indikátory:</w:t>
      </w:r>
    </w:p>
    <w:p w14:paraId="272648CD" w14:textId="41E8A2FE" w:rsidR="00CB2594" w:rsidRPr="007434DA" w:rsidRDefault="00A96F54" w:rsidP="00FA3A37">
      <w:pPr>
        <w:pStyle w:val="UZEINormaln"/>
        <w:rPr>
          <w:rFonts w:ascii="Arial" w:hAnsi="Arial" w:cs="Arial"/>
          <w:sz w:val="20"/>
          <w:szCs w:val="20"/>
        </w:rPr>
      </w:pPr>
      <w:r w:rsidRPr="00A96F54">
        <w:rPr>
          <w:bCs/>
        </w:rPr>
        <w:t>O</w:t>
      </w:r>
      <w:r w:rsidR="00D9475C" w:rsidRPr="00A96F54">
        <w:rPr>
          <w:bCs/>
        </w:rPr>
        <w:t>.14</w:t>
      </w:r>
      <w:r>
        <w:rPr>
          <w:bCs/>
        </w:rPr>
        <w:t xml:space="preserve"> Počet hektarů (vyjma lesní půdy) nebo počet jiných jednotek, na něž se vztahují závazky v oblasti životního prostředí nebo klimatu nad rámec závazných požadavků.</w:t>
      </w:r>
      <w:bookmarkEnd w:id="28"/>
    </w:p>
    <w:p w14:paraId="60783A0B" w14:textId="7A02AAF1" w:rsidR="00CB2594" w:rsidRPr="007434DA" w:rsidRDefault="00CB2594" w:rsidP="006B29E1">
      <w:pPr>
        <w:pStyle w:val="Nadpis1"/>
      </w:pPr>
      <w:bookmarkStart w:id="32" w:name="_Toc519518197"/>
      <w:bookmarkStart w:id="33" w:name="_Toc519518303"/>
      <w:bookmarkStart w:id="34" w:name="_Toc519581813"/>
      <w:bookmarkStart w:id="35" w:name="_Toc519689325"/>
      <w:bookmarkStart w:id="36" w:name="_Toc12613398"/>
      <w:bookmarkStart w:id="37" w:name="_Toc80877852"/>
      <w:bookmarkStart w:id="38" w:name="_Toc81755608"/>
      <w:r w:rsidRPr="007434DA">
        <w:t>Stanovení skutečného problému, na který má politika reagovat (Co je skutečným problémem, na který má/by měla politika v rámci jednotlivých dílčích cílů reagovat?</w:t>
      </w:r>
      <w:bookmarkEnd w:id="32"/>
      <w:bookmarkEnd w:id="33"/>
      <w:bookmarkEnd w:id="34"/>
      <w:bookmarkEnd w:id="35"/>
      <w:r w:rsidRPr="007434DA">
        <w:t>)</w:t>
      </w:r>
      <w:bookmarkEnd w:id="36"/>
      <w:bookmarkEnd w:id="37"/>
      <w:bookmarkEnd w:id="38"/>
    </w:p>
    <w:p w14:paraId="7F579F8B" w14:textId="77777777" w:rsidR="00CB2594" w:rsidRPr="002622E7" w:rsidRDefault="00CB2594" w:rsidP="002622E7">
      <w:pPr>
        <w:pStyle w:val="UZEINormaln"/>
        <w:rPr>
          <w:b/>
          <w:bCs/>
        </w:rPr>
      </w:pPr>
      <w:bookmarkStart w:id="39" w:name="_Toc12466315"/>
      <w:bookmarkStart w:id="40" w:name="_Toc12611735"/>
      <w:bookmarkStart w:id="41" w:name="_Toc12613399"/>
      <w:r w:rsidRPr="002622E7">
        <w:rPr>
          <w:b/>
          <w:bCs/>
        </w:rPr>
        <w:t>Pesticidy</w:t>
      </w:r>
      <w:bookmarkEnd w:id="39"/>
      <w:bookmarkEnd w:id="40"/>
      <w:bookmarkEnd w:id="41"/>
    </w:p>
    <w:p w14:paraId="5F9098BF" w14:textId="77777777" w:rsidR="00CB2594" w:rsidRPr="007434DA" w:rsidRDefault="00CB2594" w:rsidP="00F82655">
      <w:pPr>
        <w:pStyle w:val="UZEINormaln"/>
      </w:pPr>
      <w:bookmarkStart w:id="42" w:name="_Toc12466316"/>
      <w:r w:rsidRPr="007434DA">
        <w:t>Problém nadměrného využívání pesticidů</w:t>
      </w:r>
      <w:r w:rsidRPr="007434DA">
        <w:rPr>
          <w:rStyle w:val="Znakapoznpodarou"/>
          <w:rFonts w:ascii="Arial" w:hAnsi="Arial" w:cs="Arial"/>
          <w:color w:val="000000"/>
          <w:sz w:val="20"/>
          <w:szCs w:val="20"/>
        </w:rPr>
        <w:footnoteReference w:id="2"/>
      </w:r>
      <w:r w:rsidRPr="007434DA">
        <w:t xml:space="preserve"> je závažný zejména z hlediska ochrany zdraví spotřebitelů, z pohledu bezpečnosti potravin, vody, krmiv a také z hlediska ochrany životního prostředí.</w:t>
      </w:r>
    </w:p>
    <w:p w14:paraId="4940BDF7" w14:textId="20C66F21" w:rsidR="00CB2594" w:rsidRPr="007434DA" w:rsidRDefault="00CB2594" w:rsidP="00F82655">
      <w:pPr>
        <w:pStyle w:val="UZEINormaln"/>
      </w:pPr>
      <w:r w:rsidRPr="007434DA">
        <w:t>Podle průzkumu ÚZEI z roku 2019</w:t>
      </w:r>
      <w:r w:rsidRPr="007434DA">
        <w:rPr>
          <w:rStyle w:val="Znakapoznpodarou"/>
          <w:rFonts w:ascii="Arial" w:hAnsi="Arial" w:cs="Arial"/>
          <w:sz w:val="20"/>
          <w:szCs w:val="20"/>
        </w:rPr>
        <w:footnoteReference w:id="3"/>
      </w:r>
      <w:r w:rsidRPr="007434DA">
        <w:t>, který byl proveden na reprezentativním vzorku 1 214 respondentů</w:t>
      </w:r>
      <w:r w:rsidR="00016EE9">
        <w:t>,</w:t>
      </w:r>
      <w:r w:rsidRPr="007434DA">
        <w:t xml:space="preserve"> vnímají čeští spotřebitelé kvalitu potravin jako významnou. Více než 80 % z nich uvedlo, že by bylo ochotno si připlatit za potraviny pocházející z produktů rostlinné výroby</w:t>
      </w:r>
      <w:r w:rsidR="00016EE9">
        <w:t>,</w:t>
      </w:r>
      <w:r w:rsidRPr="007434DA">
        <w:t xml:space="preserve"> u nichž byly omezeny při pěstování pesticidy. Zároveň 70 % respondentů uvedlo, že podle nich ovlivňuje zemědělství kvalitu spodních vod. Naproti tomu pouze 11 % respondentů je přesvědčeno, že zemědělství znečišťuje životní prostředí více než průmysl a</w:t>
      </w:r>
      <w:r w:rsidR="00093D52">
        <w:t xml:space="preserve"> </w:t>
      </w:r>
      <w:r w:rsidRPr="007434DA">
        <w:t>12 % si myslí, že zemědělství znečišťuje ovzduší více než doprava.</w:t>
      </w:r>
    </w:p>
    <w:p w14:paraId="53C479C2" w14:textId="77777777" w:rsidR="00CB2594" w:rsidRPr="007434DA" w:rsidRDefault="00CB2594" w:rsidP="00F82655">
      <w:pPr>
        <w:pStyle w:val="UZEINormaln"/>
      </w:pPr>
      <w:r w:rsidRPr="007434DA">
        <w:t>Potraviny ekologického zemědělství je schopno identifikovat v obchodní síti 54 % respondentů a zájem o ně stále roste. Ze šetření prováděném ÚZEI</w:t>
      </w:r>
      <w:r w:rsidRPr="007434DA">
        <w:rPr>
          <w:rStyle w:val="Znakapoznpodarou"/>
          <w:rFonts w:ascii="Arial" w:hAnsi="Arial" w:cs="Arial"/>
          <w:sz w:val="20"/>
          <w:szCs w:val="20"/>
        </w:rPr>
        <w:footnoteReference w:id="4"/>
      </w:r>
      <w:r w:rsidRPr="007434DA">
        <w:t xml:space="preserve"> vyplývá, že v trhu s biopotravinami se v ČR od roku 2012 do roku 2019 zvýšil obrat téměř 3,4násobně, podíl na celkové spotřebě potravin a nápojů vzrostl o téměř 0,9 p. b. Roční spotřeba biopotravin na obyvatele se podle uvedeného šetření zvýšila o více než 191 % na 492 Kč. </w:t>
      </w:r>
    </w:p>
    <w:p w14:paraId="337FD6D4" w14:textId="77777777" w:rsidR="00CB2594" w:rsidRPr="007434DA" w:rsidRDefault="00CB2594" w:rsidP="00F82655">
      <w:pPr>
        <w:pStyle w:val="UZEINormaln"/>
      </w:pPr>
      <w:r w:rsidRPr="007434DA">
        <w:t xml:space="preserve">Zemědělská prvovýroba dlouhodobě směřuje k vyšší intenzifikaci, </w:t>
      </w:r>
      <w:r w:rsidRPr="007434DA">
        <w:rPr>
          <w:color w:val="000000"/>
        </w:rPr>
        <w:t>při které je např. v rostlinné výrobě pro udržení efektivity mj. nezbytné použití prostředků ochrany rostlin vůči škodlivým organismům. Látky užívané v POR se tak mohou dostávat do půdy a následně do vody, popřípadě i do potravin a krmiv.</w:t>
      </w:r>
    </w:p>
    <w:p w14:paraId="4A614434" w14:textId="77777777" w:rsidR="00CB2594" w:rsidRPr="007434DA" w:rsidRDefault="00CB2594" w:rsidP="00F82655">
      <w:pPr>
        <w:pStyle w:val="UZEINormaln"/>
        <w:rPr>
          <w:color w:val="000000"/>
        </w:rPr>
      </w:pPr>
      <w:r w:rsidRPr="007434DA">
        <w:rPr>
          <w:color w:val="000000"/>
        </w:rPr>
        <w:t xml:space="preserve">Skutečným problémem, na který by měla nová společná zemědělská politika reagovat, je především ohrožení kvality pitné vody v důsledku používání POR proti škodlivým organismům. V posledním období, zejména v posledních 5 letech, je v ČR dokladována vysoká frekvence výskytu reziduí pesticidů a jejich metabolitů nad legislativně stanovenými limity v pitné vodě i ve vodě podzemní, která je významným zdrojem pitné </w:t>
      </w:r>
      <w:r w:rsidRPr="007434DA">
        <w:t xml:space="preserve">vody (příloha A, tab. A1). </w:t>
      </w:r>
      <w:r w:rsidRPr="007434DA">
        <w:rPr>
          <w:color w:val="000000"/>
        </w:rPr>
        <w:t>Zvýšený výskyt reziduí pesticidů v pitné vodě přináší řadu problémů a rizik zdravotních i ekonomických jak pro spotřebitele vody, tak pro poskytovatele vody.</w:t>
      </w:r>
    </w:p>
    <w:p w14:paraId="108259C8" w14:textId="77777777" w:rsidR="00CB2594" w:rsidRPr="007434DA" w:rsidRDefault="00CB2594" w:rsidP="00F82655">
      <w:pPr>
        <w:pStyle w:val="UZEINormaln"/>
      </w:pPr>
      <w:bookmarkStart w:id="43" w:name="_Hlk11944578"/>
      <w:r w:rsidRPr="007434DA">
        <w:t>V současnosti je v ČR regulace rizikových pesticidů pro vodu založena na zákazu jejich použití v II. ochranných pásmech zdrojů pitné vody</w:t>
      </w:r>
      <w:r w:rsidRPr="007434DA">
        <w:footnoteReference w:id="5"/>
      </w:r>
      <w:r w:rsidRPr="007434DA">
        <w:t xml:space="preserve">. Nadlimitní výskyty nejvíce rizikových pesticidů v podzemní i pitné vodě jsou detekovány jak ve zdrojích v ochranných pásmech, tak ve zdrojích mimo tyto pásma. </w:t>
      </w:r>
      <w:bookmarkEnd w:id="43"/>
      <w:r w:rsidRPr="007434DA">
        <w:t>Z toho plyne, že ochranná pásma jsou stanovena nedostatečně, nebo že omezení v ochranných pásmech, i pokud jsou dodržována, jsou nedostačující.</w:t>
      </w:r>
    </w:p>
    <w:p w14:paraId="73BB0DCB" w14:textId="3303CEF4" w:rsidR="00CB2594" w:rsidRPr="007434DA" w:rsidRDefault="00CB2594" w:rsidP="00F82655">
      <w:pPr>
        <w:pStyle w:val="UZEINormaln"/>
      </w:pPr>
      <w:r w:rsidRPr="007434DA">
        <w:t>Z analýzy</w:t>
      </w:r>
      <w:r w:rsidRPr="007434DA">
        <w:rPr>
          <w:rStyle w:val="Znakapoznpodarou"/>
          <w:rFonts w:ascii="Arial" w:hAnsi="Arial" w:cs="Arial"/>
          <w:color w:val="000000" w:themeColor="text1"/>
          <w:sz w:val="20"/>
          <w:szCs w:val="20"/>
        </w:rPr>
        <w:footnoteReference w:id="6"/>
      </w:r>
      <w:r w:rsidRPr="007434DA">
        <w:t xml:space="preserve"> vyplývá (viz. Příloha A1 tab. A1, tab. A2), že ze 6 nejčastěji zachycovaných účinných látek pesticidů a jejich metabolitů ve vodě je detekována u 3 z nich vysoká frekvence nadlimitního výskytu a dochází tak v současném období k vytváření zátěží pro budoucnost. EU má legislativně stanovené limity reziduí účinných látek přípravků na ochranu rostlin. Tyto limity byly stanoveny arbitrárně, jednotně pro účinné látky a většinu jejich metabolitů ve výši0,l µg/litr bez vazby na hodnocení zdravotních rizik. Takové stanovení vychází z principu předběžné opatrnosti a zajišťuje prevenci zdravotních rizik, které by mohly nastat při výskytech reziduí účinných látek přípravků nad těmito limity. V současném období je v EU povoleno přes 350 účinných látek přípravků na ochranu rostlin. Jedná se o velmi různorodé spektrum, pokud se týká chemické struktury látek, molekulové hmotnosti, fyzikálních a chemických vlastnosti. Z tohoto důvodu ani není možné stanovit pro vodu jiné než jednotné limity reziduí.  </w:t>
      </w:r>
    </w:p>
    <w:p w14:paraId="6A0D112A" w14:textId="77777777" w:rsidR="00CB2594" w:rsidRPr="007434DA" w:rsidRDefault="00CB2594" w:rsidP="00F82655">
      <w:pPr>
        <w:pStyle w:val="UZEINormaln"/>
      </w:pPr>
      <w:r w:rsidRPr="007434DA">
        <w:t>Kontaminace povrchových a podzemních vod pesticidy byla zcela jednoznačně prokázána dlouhodobým monitoringem na celém území České republiky. Problém nejsou pouze vysoké koncentrace, které mohou dosahovat i desítek mikrogramů na litr, ale i zasažení vod širokým spektrem látek - výjimkou nejsou vzorky vod, kde byla identifikována přítomnost více než 10 různých pesticidních látek a jejich metabolitů (Příloha A1 obr. A4 a A5).</w:t>
      </w:r>
    </w:p>
    <w:p w14:paraId="6620A367" w14:textId="009B68CD" w:rsidR="00CB2594" w:rsidRPr="007434DA" w:rsidRDefault="00CB2594" w:rsidP="00F82655">
      <w:pPr>
        <w:pStyle w:val="UZEINormaln"/>
      </w:pPr>
      <w:r w:rsidRPr="007434DA">
        <w:t xml:space="preserve">Působení takovýchto „směsicí“ na lidské zdraví a vodní prostředí není dosud probádáno, neboť vzhledem k velké komplexitě problému se s výzkumem vlivu směsicí cizorodých organických látek (kam pesticidy patří) ve světě teprve začíná, na místě je tedy třeba použít institut předběžné opatrnosti. Vzhledem k tomu, že téměř v 95 % ze 614 lokalit sledovaných na přítomnost pesticidních látek byly v období 2016 až 2017 odebrány vzorky povrchových vod obsahující rezidua alespoň jedné pesticidní látky (Příloha A1 obr. A4) a obdobně v 60 % ze 710 lokalit byla v období 2015-2017 ve vzorcích nalezena rezidua pesticidů v podzemních vodách (Příloha A1 obr. 5), je zcela na místě tento princip předběžné opatrnosti uplatňovat. </w:t>
      </w:r>
    </w:p>
    <w:p w14:paraId="0D2980B6" w14:textId="25E79545" w:rsidR="00CB2594" w:rsidRPr="002622E7" w:rsidRDefault="00CB2594" w:rsidP="002622E7">
      <w:pPr>
        <w:pStyle w:val="UZEINormaln"/>
        <w:rPr>
          <w:b/>
          <w:bCs/>
        </w:rPr>
      </w:pPr>
      <w:bookmarkStart w:id="44" w:name="_Toc12611736"/>
      <w:bookmarkStart w:id="45" w:name="_Toc12613400"/>
      <w:r w:rsidRPr="002622E7">
        <w:rPr>
          <w:b/>
          <w:bCs/>
        </w:rPr>
        <w:t>Těžké kovy</w:t>
      </w:r>
      <w:bookmarkEnd w:id="42"/>
      <w:bookmarkEnd w:id="44"/>
      <w:bookmarkEnd w:id="45"/>
    </w:p>
    <w:p w14:paraId="0C3B74E0" w14:textId="77777777" w:rsidR="00CB2594" w:rsidRPr="007434DA" w:rsidRDefault="00CB2594" w:rsidP="00F82655">
      <w:pPr>
        <w:pStyle w:val="UZEINormaln"/>
      </w:pPr>
      <w:bookmarkStart w:id="46" w:name="_Toc519518198"/>
      <w:bookmarkStart w:id="47" w:name="_Toc519518304"/>
      <w:bookmarkStart w:id="48" w:name="_Toc519581814"/>
      <w:bookmarkStart w:id="49" w:name="_Toc519689326"/>
      <w:r w:rsidRPr="007434DA">
        <w:t>Těžké kovy</w:t>
      </w:r>
      <w:r w:rsidRPr="007434DA">
        <w:rPr>
          <w:vertAlign w:val="superscript"/>
        </w:rPr>
        <w:footnoteReference w:id="7"/>
      </w:r>
      <w:r w:rsidRPr="007434DA">
        <w:t xml:space="preserve"> jsou významnými kontaminanty potravin. Významný výskyt těžkých kovů je zejména v potravinách rostlinného původu. V případě velkých množství těžké kovy poškozují játra, ledviny a nervový systém. Jedná se zejména o kadmium, olovo, rtuť a arsen. Do prostředí, kde jsou přirozenou součástí půdy, se tyto prvky dostávají také působením lidské činnosti. Hlavními antropogenními zdroji kontaminace těžkými kovy je spalování fosilních paliv, doprava, průmyslová výroba kovů, nadměrné používání minerálních hnojiv a jiných agrochemikálií a aplikace čistírenských kalů do půdy. Zemědělskou činností se těžké kovy vnáší do půd zejména užíváním hnojiv, pesticidů, aplikacemi kompostů, sedimentů a kalů. Zejména kaly z komunálních a průmyslových čistíren odpadních vod jsou významným vstupem těžkých kovů do zemědělských půd. </w:t>
      </w:r>
    </w:p>
    <w:p w14:paraId="5FFF7609" w14:textId="77777777" w:rsidR="00CB2594" w:rsidRPr="007434DA" w:rsidRDefault="00CB2594" w:rsidP="00F82655">
      <w:pPr>
        <w:pStyle w:val="UZEINormaln"/>
      </w:pPr>
      <w:r w:rsidRPr="007434DA">
        <w:t>Z hlediska kontaminace potravin mají význam především toxické prvky olovo, kadmium a rtuť, v menší míře také thalium, cín a zinek.</w:t>
      </w:r>
    </w:p>
    <w:p w14:paraId="66602E1B" w14:textId="3F844855" w:rsidR="00F82655" w:rsidRPr="007434DA" w:rsidRDefault="00CB2594" w:rsidP="00F82655">
      <w:pPr>
        <w:pStyle w:val="UZEINormaln"/>
      </w:pPr>
      <w:r w:rsidRPr="007434DA">
        <w:t>Distribuce kovů v jednotlivých částech rostlin je nerovnoměrná. Pokud je listový příjem oproti kořenovému zanedbatelný (málo znečištěné lokality), klesají obvykle koncentrace těchto prvků v řadě: kořeny&gt; listy&gt; stonky&gt; plody&gt; semena. Tyto faktory je třeba vzít v úvahu při hodnocení obsahu toxických prvků v rostlinách, neboť pouze určité části některých rostlin jsou konzumovány býložravými živočichy a pouze určité části kulturních rostlin jsou zpracovávány pro potravinářské nebo krmivářské využití, a tak v nich obsažené chemické prvky vstupují do dalších článků potravního řetězce. Z hlediska vstupu toxických prvků do potravních řetězců je důležitý nejenom jejich obsah v půdě, ale také přístupnost pro rostliny. Pro hodnocení výskytu jednotlivých kontaminujících látek v potravinách se používá nejvyšší přípustné množství (NPM).</w:t>
      </w:r>
    </w:p>
    <w:p w14:paraId="7488CF44" w14:textId="347E1B04" w:rsidR="00CB2594" w:rsidRPr="007434DA" w:rsidRDefault="00F82655" w:rsidP="00F82655">
      <w:pPr>
        <w:spacing w:after="160" w:line="259" w:lineRule="auto"/>
        <w:jc w:val="left"/>
        <w:rPr>
          <w:rFonts w:eastAsia="Times New Roman" w:cstheme="minorHAnsi"/>
          <w:szCs w:val="24"/>
          <w:lang w:val="cs-CZ" w:eastAsia="cs-CZ"/>
        </w:rPr>
      </w:pPr>
      <w:r w:rsidRPr="007434DA">
        <w:rPr>
          <w:lang w:val="cs-CZ"/>
        </w:rPr>
        <w:br w:type="page"/>
      </w:r>
    </w:p>
    <w:p w14:paraId="12D59ECC" w14:textId="77777777" w:rsidR="00CB2594" w:rsidRPr="007434DA" w:rsidRDefault="00CB2594" w:rsidP="006B29E1">
      <w:pPr>
        <w:pStyle w:val="Nadpis1"/>
      </w:pPr>
      <w:bookmarkStart w:id="50" w:name="_Toc12613401"/>
      <w:bookmarkStart w:id="51" w:name="_Toc80877853"/>
      <w:bookmarkStart w:id="52" w:name="_Toc81755609"/>
      <w:r w:rsidRPr="007434DA">
        <w:t>Mechanismus a příčiny problému</w:t>
      </w:r>
      <w:bookmarkEnd w:id="46"/>
      <w:bookmarkEnd w:id="47"/>
      <w:bookmarkEnd w:id="48"/>
      <w:bookmarkEnd w:id="49"/>
      <w:bookmarkEnd w:id="50"/>
      <w:bookmarkEnd w:id="51"/>
      <w:bookmarkEnd w:id="52"/>
      <w:r w:rsidRPr="007434DA">
        <w:t xml:space="preserve"> </w:t>
      </w:r>
    </w:p>
    <w:p w14:paraId="2839BB8C" w14:textId="77777777" w:rsidR="00CB2594" w:rsidRPr="007434DA" w:rsidRDefault="00CB2594" w:rsidP="006A6196">
      <w:pPr>
        <w:pStyle w:val="UZEINormaln"/>
      </w:pPr>
      <w:r w:rsidRPr="007434DA">
        <w:t xml:space="preserve">Příčinou vzniku a trvání problému je mnohdy </w:t>
      </w:r>
      <w:bookmarkStart w:id="53" w:name="_Hlk12554273"/>
      <w:r w:rsidRPr="007434DA">
        <w:t xml:space="preserve">nevhodný způsob hospodaření v intenzivním zemědělství (nízká pestrost osevních postupů, omezená struktura plodin, nízký obsah organické hmoty v půdě, </w:t>
      </w:r>
      <w:bookmarkEnd w:id="53"/>
      <w:r w:rsidRPr="007434DA">
        <w:t>aj.). Použití prostředků ochrany rostlin vůči škodlivým organismům v intenzivním zemědělství je však nezbytné. Současné pěstební technologie v rostlinné výrobě jsou postaveny na používání pesticidů, přičemž pěstitelé zejména polních plodin používají přípravky na ochranu rostlin v celé řadě případů preventivně</w:t>
      </w:r>
      <w:r w:rsidRPr="007434DA">
        <w:rPr>
          <w:vertAlign w:val="superscript"/>
        </w:rPr>
        <w:t>5</w:t>
      </w:r>
      <w:r w:rsidRPr="007434DA">
        <w:t xml:space="preserve">. </w:t>
      </w:r>
    </w:p>
    <w:p w14:paraId="49DCAF9E" w14:textId="77777777" w:rsidR="00CB2594" w:rsidRPr="007434DA" w:rsidRDefault="00CB2594" w:rsidP="006A6196">
      <w:pPr>
        <w:pStyle w:val="UZEINormaln"/>
      </w:pPr>
      <w:r w:rsidRPr="007434DA">
        <w:t>Z </w:t>
      </w:r>
      <w:bookmarkStart w:id="54" w:name="_Hlk12465011"/>
      <w:r w:rsidRPr="007434DA">
        <w:t>používaných pesticidů v současnosti jsou nejvíce rizikové pro pitnou vodu prostředky učené k regulaci plevelů, tj. herbicidy</w:t>
      </w:r>
      <w:bookmarkEnd w:id="54"/>
      <w:r w:rsidRPr="007434DA">
        <w:t xml:space="preserve">. </w:t>
      </w:r>
      <w:bookmarkStart w:id="55" w:name="_Hlk11851317"/>
      <w:r w:rsidRPr="007434DA">
        <w:t xml:space="preserve">Bez použití herbicidů dochází k vysokému zaplevelení porostů a významné výnosové depresi nejenom v roce pěstování, ale i v následujících letech ale také v následných plodinách. </w:t>
      </w:r>
      <w:bookmarkEnd w:id="55"/>
      <w:r w:rsidRPr="007434DA">
        <w:t xml:space="preserve">Přitom pro </w:t>
      </w:r>
      <w:bookmarkStart w:id="56" w:name="_Hlk12554391"/>
      <w:r w:rsidRPr="007434DA">
        <w:t xml:space="preserve">vodu jsou riziková rezidua 6 účinných látek herbicidů a jejich metabolitů používaných v současnosti v cukrové řepě, řepce a kukuřici. </w:t>
      </w:r>
      <w:bookmarkEnd w:id="56"/>
      <w:r w:rsidRPr="007434DA">
        <w:t>Žádná z těchto 6 rizikových účinných látek nemá v současnosti známou méně rizikovou, dostatečně účinnou alternativně použitelnou účinnou látku. Pokud je taková náhrada účinné látky k dispozici, pak vytváří další agronomická rizika jako je nárůst zaplevelení skupinou plevelů (např. heřmánkovými pleveli v řepce) nebo rizika zvýšené selekce rezistence plevelů k jiné účinné látce herbicidu, jejíž dopady s poklesem účinnosti by byly pro pěstitele ekonomicky závažné</w:t>
      </w:r>
      <w:r w:rsidRPr="007434DA">
        <w:rPr>
          <w:color w:val="FF0000"/>
        </w:rPr>
        <w:t xml:space="preserve">. </w:t>
      </w:r>
    </w:p>
    <w:p w14:paraId="324A1E5C" w14:textId="77777777" w:rsidR="00CB2594" w:rsidRPr="007434DA" w:rsidRDefault="00CB2594" w:rsidP="006A6196">
      <w:pPr>
        <w:pStyle w:val="UZEINormaln"/>
      </w:pPr>
      <w:bookmarkStart w:id="57" w:name="_Hlk526182686"/>
      <w:r w:rsidRPr="007434DA">
        <w:t xml:space="preserve">Vzhledem k tomu, že jako </w:t>
      </w:r>
      <w:bookmarkStart w:id="58" w:name="_Hlk12554453"/>
      <w:bookmarkStart w:id="59" w:name="_Hlk12465070"/>
      <w:r w:rsidRPr="007434DA">
        <w:t xml:space="preserve">problematické látky jsou označeny herbicidy používané pro ošetření řepky, kukuřice a cukrové řepy, </w:t>
      </w:r>
      <w:bookmarkEnd w:id="58"/>
      <w:r w:rsidRPr="007434DA">
        <w:t>přičemž výměra těchto plodin v průměru let 2014-2018 v součtu dosáhla 31,5 %</w:t>
      </w:r>
      <w:r w:rsidRPr="007434DA">
        <w:rPr>
          <w:rStyle w:val="Znakapoznpodarou"/>
          <w:rFonts w:ascii="Arial" w:hAnsi="Arial" w:cs="Arial"/>
          <w:sz w:val="20"/>
          <w:szCs w:val="20"/>
        </w:rPr>
        <w:footnoteReference w:id="8"/>
      </w:r>
      <w:r w:rsidRPr="007434DA">
        <w:t xml:space="preserve"> výměry orné půdy </w:t>
      </w:r>
      <w:bookmarkEnd w:id="59"/>
      <w:r w:rsidRPr="007434DA">
        <w:t>v ČR, mají v porovnání s účinnými látkami používanými pro ošetření obilovin (více než 50 % výměry orné půdy) velmi negativní vliv na jakost podzemních vod v ČR (Příloha A1 obr. 6). Z tohoto pohledu je třeba se při ochraně vodních zdrojů (jak podzemních, tak povrchových) soustředit právě na problematické látky, zejména na metazachlor a metolachlor. Látkou, jejíž metabolity se v podzemních vodách vyskytují nejčastěji a v nejvyšších koncentracích je chloridazon, ačkoliv se používá pouze pro ošetření cukrové řepy, tj. na vcelku malé rozloze (2,5 % z plochy z o. p.). Vzhledem k tomu, že se ze strany EU očekává v roce 2020 zákaz použití přípravků s účinnou látkou chloridazon, bylo by na výskyty této látky v pitné vodě pohlíženo jako na starou zátěž a cukrová řepa by tak byla vyřazena z rizikových plodin pro pitnou vodu.</w:t>
      </w:r>
    </w:p>
    <w:p w14:paraId="607B80B8" w14:textId="77777777" w:rsidR="00CB2594" w:rsidRPr="007434DA" w:rsidRDefault="00CB2594" w:rsidP="006A6196">
      <w:pPr>
        <w:pStyle w:val="UZEINormaln"/>
      </w:pPr>
      <w:bookmarkStart w:id="60" w:name="_Hlk12465134"/>
      <w:r w:rsidRPr="007434DA">
        <w:t>Problematické herbicidy se aplikují pre-emergentně nebo v raných růstových fázích plodin. Jsou tedy aplikovány na půdní povrch, což umožňuje snadný transport do půdního profilu, kde dochází k jejich postupné metabolizaci</w:t>
      </w:r>
      <w:bookmarkEnd w:id="60"/>
      <w:r w:rsidRPr="007434DA">
        <w:t xml:space="preserve">. Tyto látky i jejich metabolity jsou v půdním profilu mobilní a jsou transportovány srážkami do povrchových i podzemních vod. Vzhledem k významné podobnosti v dynamice vyplavování chloracetamidových pesticidů do povrchových vod (Příloha A1 obr. A7), kdy po aplikaci koncentrace samotných účinných látek v tocích rychle klesají na rozdíl od jejich metabolitů, které se tvoří a hromadí v půdním profilu a jsou z něho pomalu vyplavovány (zejména ESA metabolity) do povrchových i podzemních vod v průběhu celého roku dokonce ještě 10 let po ukončení používání (alachlor), lze chloracetamidové herbicidy používané v současnosti (metazachlor, metolachlor, dimethachlor) považovat z pohledu ochrany vodních zdrojů za vysoce problematické. Dnes si takto vytváříme další budoucí „starou zátěž“, jako se stalo v případě alachloru, acetochloru nebo atrazinu. </w:t>
      </w:r>
    </w:p>
    <w:p w14:paraId="7D05EFC0" w14:textId="77777777" w:rsidR="00CB2594" w:rsidRPr="007434DA" w:rsidRDefault="00CB2594" w:rsidP="006A6196">
      <w:pPr>
        <w:pStyle w:val="UZEINormaln"/>
      </w:pPr>
      <w:r w:rsidRPr="007434DA">
        <w:t>V hodnocení podzemní vody je i přes přirozenou půdní a horninovou bariéru zasaženo na území ČR dominantně pesticidy cca 60 % vzorků, cca 40 % vzorků překračuje prahovou hodnotu. V ČR nebyla dosud na rozdíl od dusičnanů</w:t>
      </w:r>
      <w:r w:rsidRPr="00FA3A37">
        <w:rPr>
          <w:vertAlign w:val="superscript"/>
        </w:rPr>
        <w:footnoteReference w:id="9"/>
      </w:r>
      <w:r w:rsidRPr="007434DA">
        <w:t xml:space="preserve"> implementována žádná systematická opatření pro snižování koncentrací pesticidů ve vodách. Chování pesticidů v půdním prostředí a jejich následný výskyt ve vodách se liší nejen mezi jednotlivými účinnými látkami ale i mezi jednotlivými půdními typy v závislosti na vlastnostech půdy, které řídí procesy klíčové pro následný možný transport a kontaminaci vod (zejména se jedná o obsah organické hmoty, pH, obsah jílu, popřípadě kationtovou výměnnou kapacitu, obsah CaCO3 nebo salinitu půdy). Pokud kombinace vlastností dané účinné látky a půdního prostředí způsobí, že účinná látka nebo její metabolit není v půdním profilu efektivně zadržen (sorbován na půdní materiál), (Příloha A1 obr. A8), nebo zcela rozložen (úplná metabolizace), může následně kontaminovat podzemní vody v lokalitách, kde může dojít k transportu až na hladinu podzemní vody (Příloha A1 obr. A 9). </w:t>
      </w:r>
    </w:p>
    <w:p w14:paraId="67CBA1F1" w14:textId="77777777" w:rsidR="00CB2594" w:rsidRPr="007434DA" w:rsidRDefault="00CB2594" w:rsidP="006A6196">
      <w:pPr>
        <w:pStyle w:val="UZEINormaln"/>
      </w:pPr>
      <w:r w:rsidRPr="007434DA">
        <w:t xml:space="preserve">U kontaminované vody je náprava stavu velmi problematická. </w:t>
      </w:r>
      <w:bookmarkStart w:id="61" w:name="_Hlk12554735"/>
      <w:r w:rsidRPr="007434DA">
        <w:t>Neexistují žádné metody odstranění těchto látek v kolektoru podzemní vody</w:t>
      </w:r>
      <w:bookmarkEnd w:id="61"/>
      <w:r w:rsidRPr="007434DA">
        <w:t xml:space="preserve"> (kontaminace ve vodě dobře rozpustnými látkami na velkém území) na rozdíl od metod, které se rutinně využívají pro sanaci podzemních vod zasažených průmyslovými kontaminanty (lokální znečištění). V tomto případě zbývají pouze technická opatření na straně provozovatelů vodárenských zdrojů. Z pohledu ochrany vodních zdrojů je nanejvýš vhodné přijmout preventivní opatření zamezující vstupu pesticidů do vod a nespoléhat se pouze čistě na technologická řešení. </w:t>
      </w:r>
    </w:p>
    <w:p w14:paraId="0A108ADF" w14:textId="77777777" w:rsidR="00CB2594" w:rsidRPr="007434DA" w:rsidRDefault="00CB2594" w:rsidP="006A6196">
      <w:pPr>
        <w:pStyle w:val="UZEINormaln"/>
      </w:pPr>
      <w:r w:rsidRPr="007434DA">
        <w:t xml:space="preserve">Struktura osevních ploch se za posledních dvacet let změnila. Jedním z hlavních důvodů této změny bylo výrazné snížení objemu živočišné výroby a s tím spojené snížení potřeby pěstování pícnin. V počátku devadesátých let se na osevním postupu výrazněji podílely i okopaniny (brambory, cukrovka), bílkovinné plodiny, včetně pícnin (41 %), řepka se naopak pěstovala v podílu do 5 % (ČSÚ). Současná struktura osevních postupů v ČR je dle údajů ČSÚ tvořena převážně třemi plodinami – obiloviny (především pšenice, ječmen, kukuřice) představují přibližně cca 55 % plochy, řepka (cca 16 %), kukuřice na zeleno a na zrno (cca 14 %) a ostatní plodiny (cca 17 %). </w:t>
      </w:r>
      <w:bookmarkEnd w:id="57"/>
    </w:p>
    <w:p w14:paraId="67CDDA96" w14:textId="65481900" w:rsidR="00CB2594" w:rsidRPr="007434DA" w:rsidRDefault="00CB2594" w:rsidP="00D0420B">
      <w:pPr>
        <w:pStyle w:val="UZEINormaln"/>
      </w:pPr>
      <w:r w:rsidRPr="007434DA">
        <w:t>Nevhodnými osevními postupy, kdy se tatáž plodina pěstuje v krátkém časovém sledu po sobě, se při použití POR vytvářejí vyšší rizika pro životní prostředí a vodu, to platí zejména při pěstování kukuřice a řepky, které se řadí mezi plodiny, u nichž se nyní používají k ochraně rostlin herbicidy obsahující škodlivé PL (viz. tab. 1 a tab. A6-A8 v příloze A3). Z tab. 1 je patrné, že kukuřice byla v ČR pěstována ve třech letech po sobě na 14 % z celkové její plochy a na 24 % třikrát během sledovaného období. U řepky bylo analyzována frekvence pěstování jednak dva roky po sobě a jednak dvakrát během hodnoceného období, Ačkoli je doporučováno, aby se řepka pěstovala minimálně v rozmezí 5 let, byla v období let 2015-2018 pěstována hned dvakrát na téměř 44 % z její celkové plochy.</w:t>
      </w:r>
    </w:p>
    <w:p w14:paraId="5F479E62" w14:textId="78EF8331" w:rsidR="00CB2594" w:rsidRPr="007434DA" w:rsidRDefault="00CB2594" w:rsidP="005B07CE">
      <w:pPr>
        <w:pStyle w:val="UZEITaB"/>
        <w:ind w:hanging="1004"/>
        <w:rPr>
          <w:color w:val="000000"/>
        </w:rPr>
      </w:pPr>
      <w:bookmarkStart w:id="62" w:name="_Toc94095274"/>
      <w:r w:rsidRPr="007434DA">
        <w:t>Výměra ploch osetých kukuřicí a řepkou vícekrát za období 2015-2018</w:t>
      </w:r>
      <w:bookmarkEnd w:id="62"/>
    </w:p>
    <w:tbl>
      <w:tblPr>
        <w:tblW w:w="8921" w:type="dxa"/>
        <w:tblCellMar>
          <w:left w:w="70" w:type="dxa"/>
          <w:right w:w="70" w:type="dxa"/>
        </w:tblCellMar>
        <w:tblLook w:val="04A0" w:firstRow="1" w:lastRow="0" w:firstColumn="1" w:lastColumn="0" w:noHBand="0" w:noVBand="1"/>
      </w:tblPr>
      <w:tblGrid>
        <w:gridCol w:w="952"/>
        <w:gridCol w:w="3782"/>
        <w:gridCol w:w="1649"/>
        <w:gridCol w:w="2552"/>
      </w:tblGrid>
      <w:tr w:rsidR="00CB2594" w:rsidRPr="00FA3A37" w14:paraId="4439A2AA" w14:textId="77777777" w:rsidTr="004A57B3">
        <w:trPr>
          <w:trHeight w:val="765"/>
        </w:trPr>
        <w:tc>
          <w:tcPr>
            <w:tcW w:w="4720" w:type="dxa"/>
            <w:gridSpan w:val="2"/>
            <w:tcBorders>
              <w:top w:val="single" w:sz="8" w:space="0" w:color="auto"/>
              <w:left w:val="single" w:sz="8" w:space="0" w:color="auto"/>
              <w:bottom w:val="single" w:sz="4" w:space="0" w:color="auto"/>
              <w:right w:val="single" w:sz="4" w:space="0" w:color="000000"/>
            </w:tcBorders>
            <w:shd w:val="clear" w:color="auto" w:fill="auto"/>
            <w:noWrap/>
            <w:vAlign w:val="center"/>
            <w:hideMark/>
          </w:tcPr>
          <w:p w14:paraId="5993F309" w14:textId="77777777" w:rsidR="00CB2594" w:rsidRPr="007434DA" w:rsidRDefault="00CB2594" w:rsidP="004A57B3">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Plodina</w:t>
            </w:r>
          </w:p>
        </w:tc>
        <w:tc>
          <w:tcPr>
            <w:tcW w:w="1649" w:type="dxa"/>
            <w:tcBorders>
              <w:top w:val="single" w:sz="8" w:space="0" w:color="auto"/>
              <w:left w:val="nil"/>
              <w:bottom w:val="single" w:sz="4" w:space="0" w:color="auto"/>
              <w:right w:val="single" w:sz="4" w:space="0" w:color="auto"/>
            </w:tcBorders>
            <w:shd w:val="clear" w:color="auto" w:fill="auto"/>
            <w:noWrap/>
            <w:vAlign w:val="center"/>
            <w:hideMark/>
          </w:tcPr>
          <w:p w14:paraId="1BDF8D84" w14:textId="77777777" w:rsidR="00CB2594" w:rsidRPr="007434DA" w:rsidRDefault="00CB2594" w:rsidP="004A57B3">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ha</w:t>
            </w:r>
          </w:p>
        </w:tc>
        <w:tc>
          <w:tcPr>
            <w:tcW w:w="2552" w:type="dxa"/>
            <w:tcBorders>
              <w:top w:val="single" w:sz="8" w:space="0" w:color="auto"/>
              <w:left w:val="nil"/>
              <w:bottom w:val="single" w:sz="4" w:space="0" w:color="auto"/>
              <w:right w:val="single" w:sz="8" w:space="0" w:color="auto"/>
            </w:tcBorders>
            <w:shd w:val="clear" w:color="auto" w:fill="auto"/>
            <w:vAlign w:val="center"/>
            <w:hideMark/>
          </w:tcPr>
          <w:p w14:paraId="6A44D459" w14:textId="77777777" w:rsidR="00CB2594" w:rsidRPr="007434DA" w:rsidRDefault="00CB2594" w:rsidP="004A57B3">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 xml:space="preserve">podíl </w:t>
            </w:r>
          </w:p>
          <w:p w14:paraId="6D933A8A" w14:textId="77777777" w:rsidR="00CB2594" w:rsidRPr="007434DA" w:rsidRDefault="00CB2594" w:rsidP="004A57B3">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z celkové plochy plodiny</w:t>
            </w:r>
          </w:p>
        </w:tc>
      </w:tr>
      <w:tr w:rsidR="00CB2594" w:rsidRPr="007434DA" w14:paraId="658458D2" w14:textId="77777777" w:rsidTr="004A57B3">
        <w:trPr>
          <w:trHeight w:val="300"/>
        </w:trPr>
        <w:tc>
          <w:tcPr>
            <w:tcW w:w="938" w:type="dxa"/>
            <w:vMerge w:val="restart"/>
            <w:tcBorders>
              <w:top w:val="nil"/>
              <w:left w:val="single" w:sz="8" w:space="0" w:color="auto"/>
              <w:bottom w:val="single" w:sz="4" w:space="0" w:color="auto"/>
              <w:right w:val="single" w:sz="4" w:space="0" w:color="auto"/>
            </w:tcBorders>
            <w:shd w:val="clear" w:color="000000" w:fill="FDE9D9"/>
            <w:noWrap/>
            <w:vAlign w:val="center"/>
            <w:hideMark/>
          </w:tcPr>
          <w:p w14:paraId="72222833" w14:textId="77777777" w:rsidR="00CB2594" w:rsidRPr="007434DA" w:rsidRDefault="00CB2594" w:rsidP="004A57B3">
            <w:pPr>
              <w:rPr>
                <w:rFonts w:eastAsia="Times New Roman" w:cs="Times New Roman"/>
                <w:b/>
                <w:bCs/>
                <w:color w:val="000000"/>
                <w:sz w:val="20"/>
                <w:szCs w:val="20"/>
                <w:lang w:val="cs-CZ" w:eastAsia="cs-CZ"/>
              </w:rPr>
            </w:pPr>
            <w:r w:rsidRPr="007434DA">
              <w:rPr>
                <w:rFonts w:eastAsia="Times New Roman" w:cs="Times New Roman"/>
                <w:b/>
                <w:bCs/>
                <w:color w:val="000000"/>
                <w:sz w:val="20"/>
                <w:szCs w:val="20"/>
                <w:lang w:val="cs-CZ" w:eastAsia="cs-CZ"/>
              </w:rPr>
              <w:t>Kukuřice</w:t>
            </w:r>
          </w:p>
        </w:tc>
        <w:tc>
          <w:tcPr>
            <w:tcW w:w="3782" w:type="dxa"/>
            <w:tcBorders>
              <w:top w:val="nil"/>
              <w:left w:val="nil"/>
              <w:bottom w:val="single" w:sz="4" w:space="0" w:color="auto"/>
              <w:right w:val="single" w:sz="4" w:space="0" w:color="auto"/>
            </w:tcBorders>
            <w:shd w:val="clear" w:color="000000" w:fill="FDE9D9"/>
            <w:noWrap/>
            <w:vAlign w:val="center"/>
            <w:hideMark/>
          </w:tcPr>
          <w:p w14:paraId="236D2191" w14:textId="77777777" w:rsidR="00CB2594" w:rsidRPr="007434DA" w:rsidRDefault="00CB2594" w:rsidP="004A57B3">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pěstována 3 x po sobě</w:t>
            </w:r>
          </w:p>
        </w:tc>
        <w:tc>
          <w:tcPr>
            <w:tcW w:w="1649" w:type="dxa"/>
            <w:tcBorders>
              <w:top w:val="nil"/>
              <w:left w:val="nil"/>
              <w:bottom w:val="single" w:sz="4" w:space="0" w:color="auto"/>
              <w:right w:val="single" w:sz="4" w:space="0" w:color="auto"/>
            </w:tcBorders>
            <w:shd w:val="clear" w:color="000000" w:fill="FDE9D9"/>
            <w:noWrap/>
            <w:vAlign w:val="center"/>
            <w:hideMark/>
          </w:tcPr>
          <w:p w14:paraId="2CAD8707" w14:textId="77777777" w:rsidR="00CB2594" w:rsidRPr="007434DA" w:rsidRDefault="00CB2594" w:rsidP="004A57B3">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43 882</w:t>
            </w:r>
          </w:p>
        </w:tc>
        <w:tc>
          <w:tcPr>
            <w:tcW w:w="2552" w:type="dxa"/>
            <w:tcBorders>
              <w:top w:val="nil"/>
              <w:left w:val="nil"/>
              <w:bottom w:val="single" w:sz="4" w:space="0" w:color="auto"/>
              <w:right w:val="single" w:sz="8" w:space="0" w:color="auto"/>
            </w:tcBorders>
            <w:shd w:val="clear" w:color="000000" w:fill="FDE9D9"/>
            <w:noWrap/>
            <w:vAlign w:val="center"/>
            <w:hideMark/>
          </w:tcPr>
          <w:p w14:paraId="1821D8BC" w14:textId="77777777" w:rsidR="00CB2594" w:rsidRPr="007434DA" w:rsidRDefault="00CB2594" w:rsidP="004A57B3">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14,2</w:t>
            </w:r>
          </w:p>
        </w:tc>
      </w:tr>
      <w:tr w:rsidR="00CB2594" w:rsidRPr="007434DA" w14:paraId="6D8247FF" w14:textId="77777777" w:rsidTr="004A57B3">
        <w:trPr>
          <w:trHeight w:val="300"/>
        </w:trPr>
        <w:tc>
          <w:tcPr>
            <w:tcW w:w="938" w:type="dxa"/>
            <w:vMerge/>
            <w:tcBorders>
              <w:top w:val="nil"/>
              <w:left w:val="single" w:sz="8" w:space="0" w:color="auto"/>
              <w:bottom w:val="single" w:sz="4" w:space="0" w:color="auto"/>
              <w:right w:val="single" w:sz="4" w:space="0" w:color="auto"/>
            </w:tcBorders>
            <w:vAlign w:val="center"/>
            <w:hideMark/>
          </w:tcPr>
          <w:p w14:paraId="215056CB" w14:textId="77777777" w:rsidR="00CB2594" w:rsidRPr="007434DA" w:rsidRDefault="00CB2594" w:rsidP="004A57B3">
            <w:pPr>
              <w:rPr>
                <w:rFonts w:eastAsia="Times New Roman" w:cs="Times New Roman"/>
                <w:b/>
                <w:bCs/>
                <w:color w:val="000000"/>
                <w:sz w:val="20"/>
                <w:szCs w:val="20"/>
                <w:lang w:val="cs-CZ" w:eastAsia="cs-CZ"/>
              </w:rPr>
            </w:pPr>
          </w:p>
        </w:tc>
        <w:tc>
          <w:tcPr>
            <w:tcW w:w="3782" w:type="dxa"/>
            <w:tcBorders>
              <w:top w:val="nil"/>
              <w:left w:val="nil"/>
              <w:bottom w:val="single" w:sz="4" w:space="0" w:color="auto"/>
              <w:right w:val="single" w:sz="4" w:space="0" w:color="auto"/>
            </w:tcBorders>
            <w:shd w:val="clear" w:color="000000" w:fill="FDE9D9"/>
            <w:noWrap/>
            <w:vAlign w:val="center"/>
            <w:hideMark/>
          </w:tcPr>
          <w:p w14:paraId="221E6FCE" w14:textId="77777777" w:rsidR="00CB2594" w:rsidRPr="007434DA" w:rsidRDefault="00CB2594" w:rsidP="004A57B3">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pěstována 3 x za období 2015-2018</w:t>
            </w:r>
          </w:p>
        </w:tc>
        <w:tc>
          <w:tcPr>
            <w:tcW w:w="1649" w:type="dxa"/>
            <w:tcBorders>
              <w:top w:val="nil"/>
              <w:left w:val="nil"/>
              <w:bottom w:val="single" w:sz="4" w:space="0" w:color="auto"/>
              <w:right w:val="single" w:sz="4" w:space="0" w:color="auto"/>
            </w:tcBorders>
            <w:shd w:val="clear" w:color="000000" w:fill="FDE9D9"/>
            <w:noWrap/>
            <w:vAlign w:val="center"/>
            <w:hideMark/>
          </w:tcPr>
          <w:p w14:paraId="04B4054F" w14:textId="77777777" w:rsidR="00CB2594" w:rsidRPr="007434DA" w:rsidRDefault="00CB2594" w:rsidP="004A57B3">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73 947</w:t>
            </w:r>
          </w:p>
        </w:tc>
        <w:tc>
          <w:tcPr>
            <w:tcW w:w="2552" w:type="dxa"/>
            <w:tcBorders>
              <w:top w:val="nil"/>
              <w:left w:val="nil"/>
              <w:bottom w:val="single" w:sz="4" w:space="0" w:color="auto"/>
              <w:right w:val="single" w:sz="8" w:space="0" w:color="auto"/>
            </w:tcBorders>
            <w:shd w:val="clear" w:color="000000" w:fill="FDE9D9"/>
            <w:noWrap/>
            <w:vAlign w:val="center"/>
            <w:hideMark/>
          </w:tcPr>
          <w:p w14:paraId="093C6884" w14:textId="77777777" w:rsidR="00CB2594" w:rsidRPr="007434DA" w:rsidRDefault="00CB2594" w:rsidP="004A57B3">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24,1</w:t>
            </w:r>
          </w:p>
        </w:tc>
      </w:tr>
      <w:tr w:rsidR="00CB2594" w:rsidRPr="007434DA" w14:paraId="6EE76B55" w14:textId="77777777" w:rsidTr="004A57B3">
        <w:trPr>
          <w:trHeight w:val="300"/>
        </w:trPr>
        <w:tc>
          <w:tcPr>
            <w:tcW w:w="938"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3A10FCBF" w14:textId="77777777" w:rsidR="00CB2594" w:rsidRPr="007434DA" w:rsidRDefault="00CB2594" w:rsidP="004A57B3">
            <w:pPr>
              <w:rPr>
                <w:rFonts w:eastAsia="Times New Roman" w:cs="Times New Roman"/>
                <w:b/>
                <w:bCs/>
                <w:color w:val="000000"/>
                <w:sz w:val="20"/>
                <w:szCs w:val="20"/>
                <w:lang w:val="cs-CZ" w:eastAsia="cs-CZ"/>
              </w:rPr>
            </w:pPr>
            <w:r w:rsidRPr="007434DA">
              <w:rPr>
                <w:rFonts w:eastAsia="Times New Roman" w:cs="Times New Roman"/>
                <w:b/>
                <w:bCs/>
                <w:color w:val="000000"/>
                <w:sz w:val="20"/>
                <w:szCs w:val="20"/>
                <w:lang w:val="cs-CZ" w:eastAsia="cs-CZ"/>
              </w:rPr>
              <w:t>Řepka</w:t>
            </w:r>
          </w:p>
        </w:tc>
        <w:tc>
          <w:tcPr>
            <w:tcW w:w="3782" w:type="dxa"/>
            <w:tcBorders>
              <w:top w:val="nil"/>
              <w:left w:val="nil"/>
              <w:bottom w:val="single" w:sz="4" w:space="0" w:color="auto"/>
              <w:right w:val="single" w:sz="4" w:space="0" w:color="auto"/>
            </w:tcBorders>
            <w:shd w:val="clear" w:color="auto" w:fill="auto"/>
            <w:noWrap/>
            <w:vAlign w:val="center"/>
            <w:hideMark/>
          </w:tcPr>
          <w:p w14:paraId="38BCEFA6" w14:textId="77777777" w:rsidR="00CB2594" w:rsidRPr="007434DA" w:rsidRDefault="00CB2594" w:rsidP="004A57B3">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pěstována 2 x po sobě</w:t>
            </w:r>
          </w:p>
        </w:tc>
        <w:tc>
          <w:tcPr>
            <w:tcW w:w="1649" w:type="dxa"/>
            <w:tcBorders>
              <w:top w:val="nil"/>
              <w:left w:val="nil"/>
              <w:bottom w:val="single" w:sz="4" w:space="0" w:color="auto"/>
              <w:right w:val="single" w:sz="4" w:space="0" w:color="auto"/>
            </w:tcBorders>
            <w:shd w:val="clear" w:color="auto" w:fill="auto"/>
            <w:noWrap/>
            <w:vAlign w:val="center"/>
            <w:hideMark/>
          </w:tcPr>
          <w:p w14:paraId="434278FD" w14:textId="77777777" w:rsidR="00CB2594" w:rsidRPr="007434DA" w:rsidRDefault="00CB2594" w:rsidP="004A57B3">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14 421</w:t>
            </w:r>
          </w:p>
        </w:tc>
        <w:tc>
          <w:tcPr>
            <w:tcW w:w="2552" w:type="dxa"/>
            <w:tcBorders>
              <w:top w:val="nil"/>
              <w:left w:val="nil"/>
              <w:bottom w:val="single" w:sz="4" w:space="0" w:color="auto"/>
              <w:right w:val="single" w:sz="8" w:space="0" w:color="auto"/>
            </w:tcBorders>
            <w:shd w:val="clear" w:color="auto" w:fill="auto"/>
            <w:noWrap/>
            <w:vAlign w:val="center"/>
            <w:hideMark/>
          </w:tcPr>
          <w:p w14:paraId="682858E6" w14:textId="77777777" w:rsidR="00CB2594" w:rsidRPr="007434DA" w:rsidRDefault="00CB2594" w:rsidP="004A57B3">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3,6</w:t>
            </w:r>
          </w:p>
        </w:tc>
      </w:tr>
      <w:tr w:rsidR="00CB2594" w:rsidRPr="007434DA" w14:paraId="0B47C855" w14:textId="77777777" w:rsidTr="004A57B3">
        <w:trPr>
          <w:trHeight w:val="315"/>
        </w:trPr>
        <w:tc>
          <w:tcPr>
            <w:tcW w:w="938" w:type="dxa"/>
            <w:vMerge/>
            <w:tcBorders>
              <w:top w:val="nil"/>
              <w:left w:val="single" w:sz="8" w:space="0" w:color="auto"/>
              <w:bottom w:val="single" w:sz="8" w:space="0" w:color="000000"/>
              <w:right w:val="single" w:sz="4" w:space="0" w:color="auto"/>
            </w:tcBorders>
            <w:vAlign w:val="center"/>
            <w:hideMark/>
          </w:tcPr>
          <w:p w14:paraId="3F0D9EC7" w14:textId="77777777" w:rsidR="00CB2594" w:rsidRPr="007434DA" w:rsidRDefault="00CB2594" w:rsidP="004A57B3">
            <w:pPr>
              <w:rPr>
                <w:rFonts w:eastAsia="Times New Roman" w:cs="Times New Roman"/>
                <w:b/>
                <w:bCs/>
                <w:color w:val="000000"/>
                <w:sz w:val="20"/>
                <w:szCs w:val="20"/>
                <w:lang w:val="cs-CZ" w:eastAsia="cs-CZ"/>
              </w:rPr>
            </w:pPr>
          </w:p>
        </w:tc>
        <w:tc>
          <w:tcPr>
            <w:tcW w:w="3782" w:type="dxa"/>
            <w:tcBorders>
              <w:top w:val="nil"/>
              <w:left w:val="nil"/>
              <w:bottom w:val="single" w:sz="8" w:space="0" w:color="auto"/>
              <w:right w:val="single" w:sz="4" w:space="0" w:color="auto"/>
            </w:tcBorders>
            <w:shd w:val="clear" w:color="auto" w:fill="auto"/>
            <w:noWrap/>
            <w:vAlign w:val="center"/>
            <w:hideMark/>
          </w:tcPr>
          <w:p w14:paraId="08911EB9" w14:textId="77777777" w:rsidR="00CB2594" w:rsidRPr="007434DA" w:rsidRDefault="00CB2594" w:rsidP="004A57B3">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 xml:space="preserve"> pěstována 2 x za období 2015-2018</w:t>
            </w:r>
          </w:p>
        </w:tc>
        <w:tc>
          <w:tcPr>
            <w:tcW w:w="1649" w:type="dxa"/>
            <w:tcBorders>
              <w:top w:val="nil"/>
              <w:left w:val="nil"/>
              <w:bottom w:val="single" w:sz="8" w:space="0" w:color="auto"/>
              <w:right w:val="single" w:sz="4" w:space="0" w:color="auto"/>
            </w:tcBorders>
            <w:shd w:val="clear" w:color="auto" w:fill="auto"/>
            <w:noWrap/>
            <w:vAlign w:val="center"/>
            <w:hideMark/>
          </w:tcPr>
          <w:p w14:paraId="42545E4C" w14:textId="77777777" w:rsidR="00CB2594" w:rsidRPr="007434DA" w:rsidRDefault="00CB2594" w:rsidP="004A57B3">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171 927</w:t>
            </w:r>
          </w:p>
        </w:tc>
        <w:tc>
          <w:tcPr>
            <w:tcW w:w="2552" w:type="dxa"/>
            <w:tcBorders>
              <w:top w:val="nil"/>
              <w:left w:val="nil"/>
              <w:bottom w:val="single" w:sz="8" w:space="0" w:color="auto"/>
              <w:right w:val="single" w:sz="8" w:space="0" w:color="auto"/>
            </w:tcBorders>
            <w:shd w:val="clear" w:color="auto" w:fill="auto"/>
            <w:noWrap/>
            <w:vAlign w:val="center"/>
            <w:hideMark/>
          </w:tcPr>
          <w:p w14:paraId="39B26134" w14:textId="77777777" w:rsidR="00CB2594" w:rsidRPr="007434DA" w:rsidRDefault="00CB2594" w:rsidP="004A57B3">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43,5</w:t>
            </w:r>
          </w:p>
        </w:tc>
      </w:tr>
    </w:tbl>
    <w:p w14:paraId="5BDD2072" w14:textId="77777777" w:rsidR="00CB2594" w:rsidRPr="007434DA" w:rsidRDefault="00CB2594" w:rsidP="00044C77">
      <w:pPr>
        <w:pStyle w:val="UZEIZdroj"/>
      </w:pPr>
      <w:r w:rsidRPr="007434DA">
        <w:t>Zdroj: LPIS 2015-2018, ČÚZK 2018, vlastní výpočty ÚZEI</w:t>
      </w:r>
    </w:p>
    <w:p w14:paraId="2A018784" w14:textId="1931DAEF" w:rsidR="00CB2594" w:rsidRPr="007434DA" w:rsidRDefault="00CB2594" w:rsidP="00044C77">
      <w:pPr>
        <w:pStyle w:val="UZEINormaln"/>
      </w:pPr>
      <w:r w:rsidRPr="007434DA">
        <w:t>Další příčinou narůstající frekvence aplikace pesticidů je stále rostoucí škodlivost ničivých organismů, zejména v důsledku rostoucí intenzity rostlinné výroby. Počet druhů škodlivých organismů přibývá a ztráty na výnosech a kvalitě produktů se zvyšují zejména v důsledku zvyšování populačních hustot škůdců. Nově vyšlechtěné a zaváděné odrůdy s vyšším výnosem i kvalitou produktů mají sníženou obranyschopnost vůči škodlivým organismům (efekt vertifolia). V současné době se zemědělské plodiny šlechtí na rezistenci vůči omezenému počtu škodlivých organismů. I při takovém šlechtění dochází obvykle k potlačení obranyschopnosti vůči ostatním škodlivým organismům</w:t>
      </w:r>
      <w:r w:rsidRPr="007434DA">
        <w:rPr>
          <w:vertAlign w:val="superscript"/>
        </w:rPr>
        <w:footnoteReference w:id="10"/>
      </w:r>
      <w:r w:rsidRPr="007434DA">
        <w:t xml:space="preserve">.  Převážně používané širokospektrální pesticidy hubí přirozené nepřátele škůdců a následně dochází k opětovnému oživení populace škůdců (efekt resurgence). Ke změnám škodlivosti a šíření škodlivých organismů (druhy expanzivní) na nová území dochází v důsledku oteplování, respektive vlivem častých extrémů v průběhu počasí. Jiné druhy škůdců (druhy invazní) byly do Evropy zavlečeny s růstem mezinárodního obchodu, a přestože jsou snahy je regulovat, rizika škod jsou závažná. </w:t>
      </w:r>
    </w:p>
    <w:p w14:paraId="17B8A347" w14:textId="77777777" w:rsidR="00CB2594" w:rsidRPr="007434DA" w:rsidRDefault="00CB2594" w:rsidP="00B1703F">
      <w:pPr>
        <w:pStyle w:val="UZEINormaln"/>
        <w:numPr>
          <w:ilvl w:val="0"/>
          <w:numId w:val="24"/>
        </w:numPr>
        <w:rPr>
          <w:b/>
          <w:bCs/>
        </w:rPr>
      </w:pPr>
      <w:bookmarkStart w:id="63" w:name="_Toc2272421"/>
      <w:bookmarkStart w:id="64" w:name="_Toc12611738"/>
      <w:bookmarkStart w:id="65" w:name="_Toc12613402"/>
      <w:bookmarkStart w:id="66" w:name="_Hlk526178268"/>
      <w:r w:rsidRPr="007434DA">
        <w:rPr>
          <w:b/>
          <w:bCs/>
        </w:rPr>
        <w:t>Důvody nízké pestrosti osevních postupů:</w:t>
      </w:r>
      <w:bookmarkEnd w:id="63"/>
      <w:bookmarkEnd w:id="64"/>
      <w:bookmarkEnd w:id="65"/>
      <w:r w:rsidRPr="007434DA">
        <w:rPr>
          <w:b/>
          <w:bCs/>
        </w:rPr>
        <w:t xml:space="preserve"> </w:t>
      </w:r>
    </w:p>
    <w:p w14:paraId="215CA9D8" w14:textId="305D21C7" w:rsidR="00CB2594" w:rsidRPr="007434DA" w:rsidRDefault="00F764CF" w:rsidP="00D708DE">
      <w:pPr>
        <w:pStyle w:val="UZEIOdrky"/>
      </w:pPr>
      <w:r w:rsidRPr="007434DA">
        <w:t>s</w:t>
      </w:r>
      <w:r w:rsidR="00CB2594" w:rsidRPr="007434DA">
        <w:t>naha zemědělců pěstovat pouze ekonomicky efektivní plodiny vázané na stabilní poptávku trhu (řepka – zelená nafta, potravinářský a zpracovatelský průmysl), kukuřice na zeleno (bioplynové stanice), kukuřice na zrno (potravinářská výroba, krmivářství) obilniny (sladovnictví, potravinářská výroba, krmivářství)</w:t>
      </w:r>
    </w:p>
    <w:p w14:paraId="7AEC8F25" w14:textId="5E7017CA" w:rsidR="00CB2594" w:rsidRPr="007434DA" w:rsidRDefault="00F764CF" w:rsidP="00D708DE">
      <w:pPr>
        <w:pStyle w:val="UZEIOdrky"/>
      </w:pPr>
      <w:r w:rsidRPr="007434DA">
        <w:t>s</w:t>
      </w:r>
      <w:r w:rsidR="00CB2594" w:rsidRPr="007434DA">
        <w:t>nižováním stavů hospodářských zvířat</w:t>
      </w:r>
      <w:r w:rsidR="00CB2594" w:rsidRPr="007434DA">
        <w:rPr>
          <w:rStyle w:val="Znakapoznpodarou"/>
          <w:rFonts w:ascii="Arial" w:hAnsi="Arial" w:cs="Arial"/>
        </w:rPr>
        <w:footnoteReference w:id="11"/>
      </w:r>
      <w:r w:rsidR="00CB2594" w:rsidRPr="007434DA">
        <w:t xml:space="preserve"> dochází k omezení osevních ploch pro zajištění zejména objemného krmiva, což se projevuje </w:t>
      </w:r>
      <w:bookmarkStart w:id="67" w:name="_Hlk12467289"/>
      <w:r w:rsidR="00CB2594" w:rsidRPr="007434DA">
        <w:t>absencí kvalitního organického hnojiva</w:t>
      </w:r>
      <w:bookmarkEnd w:id="67"/>
      <w:r w:rsidR="00CB2594" w:rsidRPr="007434DA">
        <w:t xml:space="preserve">, kdy nízký podíl kvalitní organické hmoty vede ke zhoršené kvalitě půdy včetně schopnosti poutat živiny, vodu a k náchylnosti k utužení, a k erozi. Na půdách s nízkým obsahem organické hmoty </w:t>
      </w:r>
      <w:bookmarkStart w:id="68" w:name="_Hlk12467315"/>
      <w:r w:rsidR="00CB2594" w:rsidRPr="007434DA">
        <w:t>dochází k pomalejší degradaci reziduí pesticidů a k rychlejšímu proplavování reziduí do vodních toků a spodních vod</w:t>
      </w:r>
      <w:bookmarkEnd w:id="68"/>
    </w:p>
    <w:p w14:paraId="603C69D0" w14:textId="0D0EB5AF" w:rsidR="00CB2594" w:rsidRPr="007434DA" w:rsidRDefault="00F764CF" w:rsidP="00D708DE">
      <w:pPr>
        <w:pStyle w:val="UZEIOdrky"/>
      </w:pPr>
      <w:r w:rsidRPr="007434DA">
        <w:t>n</w:t>
      </w:r>
      <w:r w:rsidR="00CB2594" w:rsidRPr="007434DA">
        <w:t>astavení mechanizace a technologií pěstování hlavních tržních plodin na maximální produktivitu (minoritní plodiny nejsou ekonomicky atraktivní a technologie pěstování má více úskalí než technologie majoritních plodin, včetně nabídky odrůd)</w:t>
      </w:r>
    </w:p>
    <w:p w14:paraId="08B435A5" w14:textId="0D1C5EFB" w:rsidR="00CB2594" w:rsidRPr="007434DA" w:rsidRDefault="00F764CF" w:rsidP="00D708DE">
      <w:pPr>
        <w:pStyle w:val="UZEIOdrky"/>
      </w:pPr>
      <w:r w:rsidRPr="007434DA">
        <w:t>o</w:t>
      </w:r>
      <w:r w:rsidR="00CB2594" w:rsidRPr="007434DA">
        <w:t>mezení nabídky pesticidů je v ČR mnohem větší než v okolních zemích EU, zejména proto, že firmy neregistrují přípravky pro minoritní plodiny z důvodů malého trhu a nebo</w:t>
      </w:r>
      <w:r w:rsidR="0009034A">
        <w:t>,</w:t>
      </w:r>
      <w:r w:rsidR="00CB2594" w:rsidRPr="007434DA">
        <w:t xml:space="preserve"> že není dostupná studie zdravotních rizik, které vlastní soukromé subjekty. To omezuje pěstování řady plodin, vede ke snižování výnosů a nezájmu pěstitele využívat pestřejší skladbu plodin v osevním postupu</w:t>
      </w:r>
      <w:r w:rsidR="00CB2594" w:rsidRPr="007434DA">
        <w:rPr>
          <w:vertAlign w:val="superscript"/>
        </w:rPr>
        <w:footnoteReference w:id="12"/>
      </w:r>
    </w:p>
    <w:p w14:paraId="047AAFB2" w14:textId="695D6B2A" w:rsidR="00CB2594" w:rsidRPr="007434DA" w:rsidRDefault="00F764CF" w:rsidP="00D708DE">
      <w:pPr>
        <w:pStyle w:val="UZEIOdrky"/>
      </w:pPr>
      <w:r w:rsidRPr="007434DA">
        <w:t>v</w:t>
      </w:r>
      <w:r w:rsidR="00CB2594" w:rsidRPr="007434DA">
        <w:t>liv dotací pro „zelenější zdroje energie“: Výstavba bioplynových stanic se promítla do vyššího podílu pěstované kukuřice na zeleno v osevním postupu, navíc v kombinaci s živočišnou výrobou rostou výrazně nároky na produkci hmoty = vyšší pesticidní vstupy, především herbicidní (ú.l. herbicidů používaných v kukuřici, okopaninách a řepce jsou nejčastějšími polutanty zdrojů pitné vody)</w:t>
      </w:r>
    </w:p>
    <w:p w14:paraId="71B2EE57" w14:textId="59797F47" w:rsidR="00CB2594" w:rsidRPr="007434DA" w:rsidRDefault="00F764CF" w:rsidP="00D708DE">
      <w:pPr>
        <w:pStyle w:val="UZEIOdrky"/>
      </w:pPr>
      <w:r w:rsidRPr="007434DA">
        <w:t>v</w:t>
      </w:r>
      <w:r w:rsidR="00CB2594" w:rsidRPr="007434DA">
        <w:t xml:space="preserve">ysoká poptávka po řepce (podíl FAME v pohonných hmotách se pohybuje od 6 do 30 %) vede k vysokému podílu řepky v osevním postupu, což má za následek nárůst spotřeby pesticidů na její ochranu s negativními dopady na životní prostředí </w:t>
      </w:r>
    </w:p>
    <w:p w14:paraId="43188F49" w14:textId="45AF5F4E" w:rsidR="00CB2594" w:rsidRPr="007434DA" w:rsidRDefault="00CB2594" w:rsidP="00D708DE">
      <w:pPr>
        <w:pStyle w:val="UZEIOdrky"/>
      </w:pPr>
      <w:r w:rsidRPr="007434DA">
        <w:t>obohacené palivo o biolíh – podíl biolihu v pohonných hmotách se pohybuje okolo 4,5 % = výroba především z cukrové řepy, dále z obilovin, kukuřice, brambor představuje další zdroj odbytu pro uvedené komodity, které jsou už tak ve vysokém podílu v OP.</w:t>
      </w:r>
    </w:p>
    <w:p w14:paraId="203DCE25" w14:textId="77777777" w:rsidR="00CB2594" w:rsidRPr="007434DA" w:rsidRDefault="00CB2594" w:rsidP="00B1703F">
      <w:pPr>
        <w:pStyle w:val="UZEINormaln"/>
        <w:numPr>
          <w:ilvl w:val="0"/>
          <w:numId w:val="24"/>
        </w:numPr>
        <w:rPr>
          <w:b/>
          <w:bCs/>
        </w:rPr>
      </w:pPr>
      <w:bookmarkStart w:id="69" w:name="_Toc2272422"/>
      <w:bookmarkStart w:id="70" w:name="_Toc12611739"/>
      <w:bookmarkStart w:id="71" w:name="_Toc12613403"/>
      <w:r w:rsidRPr="007434DA">
        <w:rPr>
          <w:b/>
          <w:bCs/>
        </w:rPr>
        <w:t>Důsledky nízké pestrosti osevních postupů, technologií a ostatních vlivů:</w:t>
      </w:r>
      <w:bookmarkEnd w:id="69"/>
      <w:bookmarkEnd w:id="70"/>
      <w:bookmarkEnd w:id="71"/>
    </w:p>
    <w:p w14:paraId="7E1A271F" w14:textId="77777777" w:rsidR="00CB2594" w:rsidRPr="007434DA" w:rsidRDefault="00CB2594" w:rsidP="00D708DE">
      <w:pPr>
        <w:pStyle w:val="UZEIOdrky"/>
      </w:pPr>
      <w:r w:rsidRPr="007434DA">
        <w:t>omezená struktura osevních postupů (viz příloha A3) vede ke zvyšování populace škodlivých organizmů (ŠO) a nárůstu významu i minoritních</w:t>
      </w:r>
      <w:r w:rsidRPr="007434DA">
        <w:rPr>
          <w:b/>
        </w:rPr>
        <w:t xml:space="preserve"> ŠO </w:t>
      </w:r>
      <w:r w:rsidRPr="007434DA">
        <w:t xml:space="preserve">(což představuje i vyšší následné pesticidní vstupy). Na půdách s nízkým obsahem organické hmoty dochází k pomalejší degradaci reziduí pesticidů a naopak k rychlejšímu proplavování reziduí do vodních toků a spodních vod. Tedy dopady aplikace pesticidů na složky životního prostředí jsou závažnější. </w:t>
      </w:r>
    </w:p>
    <w:p w14:paraId="4C5BCD9E" w14:textId="77777777" w:rsidR="00CB2594" w:rsidRPr="007434DA" w:rsidRDefault="00CB2594" w:rsidP="00D708DE">
      <w:pPr>
        <w:pStyle w:val="UZEIOdrky"/>
      </w:pPr>
      <w:r w:rsidRPr="007434DA">
        <w:t>důsledkem minimalizačních technologií zpracování půdy je zvyšování výskytu některých škodlivých organismů, například plevelů, které vyžadují vyšší vstupy herbicidů, nebo škůdců přezimujících v půdě, které jsou orbou více redukovány</w:t>
      </w:r>
    </w:p>
    <w:p w14:paraId="78EBFBE3" w14:textId="77777777" w:rsidR="00CB2594" w:rsidRPr="007434DA" w:rsidRDefault="00CB2594" w:rsidP="00D708DE">
      <w:pPr>
        <w:pStyle w:val="UZEIOdrky"/>
      </w:pPr>
      <w:r w:rsidRPr="007434DA">
        <w:t>vlivem využitých nevhodných technologií a odpovídající mechanizace dochází k utužování půdy – nízká propustnost půdy pro dešťové srážky a jejich zvýšený odtok do vodních toků pak úzce souvisí se splavy POR do řek a potoků.</w:t>
      </w:r>
    </w:p>
    <w:p w14:paraId="102B3D56" w14:textId="12BF68C7" w:rsidR="00CB2594" w:rsidRPr="007434DA" w:rsidRDefault="00CB2594" w:rsidP="00D708DE">
      <w:pPr>
        <w:pStyle w:val="UZEIOdrky"/>
      </w:pPr>
      <w:r w:rsidRPr="007434DA">
        <w:t>technologie využívané v současné době při konvenčním pěstování obilovin a olejnin jsou téměř 100 % závislé na používaných POR</w:t>
      </w:r>
      <w:r w:rsidR="00B10A75" w:rsidRPr="007434DA">
        <w:t>:</w:t>
      </w:r>
    </w:p>
    <w:p w14:paraId="65DCC81C" w14:textId="77777777" w:rsidR="00CB2594" w:rsidRPr="007434DA" w:rsidRDefault="00CB2594" w:rsidP="00B1703F">
      <w:pPr>
        <w:pStyle w:val="UZEINormaln"/>
        <w:numPr>
          <w:ilvl w:val="0"/>
          <w:numId w:val="25"/>
        </w:numPr>
        <w:ind w:left="1985" w:hanging="567"/>
      </w:pPr>
      <w:r w:rsidRPr="007434DA">
        <w:t xml:space="preserve">herbicidy nahrazují kvalitní předseťovou přípravu, </w:t>
      </w:r>
    </w:p>
    <w:p w14:paraId="61F5B908" w14:textId="77777777" w:rsidR="00CB2594" w:rsidRPr="007434DA" w:rsidRDefault="00CB2594" w:rsidP="00B1703F">
      <w:pPr>
        <w:pStyle w:val="UZEINormaln"/>
        <w:numPr>
          <w:ilvl w:val="0"/>
          <w:numId w:val="25"/>
        </w:numPr>
        <w:ind w:left="1985" w:hanging="567"/>
      </w:pPr>
      <w:r w:rsidRPr="007434DA">
        <w:t xml:space="preserve">absence orby, při níž se zapravují posklizňové zbytky i s ŠO včetně semen plevelů, </w:t>
      </w:r>
    </w:p>
    <w:p w14:paraId="2AC84019" w14:textId="01D4B1AB" w:rsidR="00CB2594" w:rsidRPr="007434DA" w:rsidRDefault="00CB2594" w:rsidP="00B1703F">
      <w:pPr>
        <w:pStyle w:val="UZEINormaln"/>
        <w:numPr>
          <w:ilvl w:val="0"/>
          <w:numId w:val="25"/>
        </w:numPr>
        <w:ind w:left="1985" w:hanging="567"/>
      </w:pPr>
      <w:r w:rsidRPr="007434DA">
        <w:t>protierozní opatření založena na pěstování meziplodin s preferencí umrtvení hmoty za ekonomicky výhodnějších podmínek</w:t>
      </w:r>
      <w:r w:rsidR="00386A2F" w:rsidRPr="007434DA">
        <w:t>,</w:t>
      </w:r>
    </w:p>
    <w:p w14:paraId="5F4FD0E7" w14:textId="77777777" w:rsidR="00CB2594" w:rsidRPr="007434DA" w:rsidRDefault="00CB2594" w:rsidP="00B1703F">
      <w:pPr>
        <w:pStyle w:val="UZEINormaln"/>
        <w:numPr>
          <w:ilvl w:val="0"/>
          <w:numId w:val="25"/>
        </w:numPr>
        <w:ind w:left="1985" w:hanging="567"/>
      </w:pPr>
      <w:r w:rsidRPr="007434DA">
        <w:t xml:space="preserve">ochrana před hmyzími škůdci a houbovými patogeny v průběhu sezóny realizovaná výlučně pesticidy, </w:t>
      </w:r>
    </w:p>
    <w:p w14:paraId="140E153F" w14:textId="77777777" w:rsidR="00CB2594" w:rsidRPr="007434DA" w:rsidRDefault="00CB2594" w:rsidP="00B1703F">
      <w:pPr>
        <w:pStyle w:val="UZEINormaln"/>
        <w:numPr>
          <w:ilvl w:val="0"/>
          <w:numId w:val="25"/>
        </w:numPr>
        <w:ind w:left="1985" w:hanging="567"/>
      </w:pPr>
      <w:r w:rsidRPr="007434DA">
        <w:t>nově i desikace před sklizní – významný vstup pesticidů</w:t>
      </w:r>
      <w:r w:rsidRPr="007434DA">
        <w:rPr>
          <w:b/>
        </w:rPr>
        <w:t xml:space="preserve"> </w:t>
      </w:r>
    </w:p>
    <w:p w14:paraId="7B51D7DE" w14:textId="77777777" w:rsidR="00CB2594" w:rsidRPr="007434DA" w:rsidRDefault="00CB2594" w:rsidP="00B10A75">
      <w:pPr>
        <w:pStyle w:val="UZEIOdrky"/>
      </w:pPr>
      <w:r w:rsidRPr="007434DA">
        <w:t xml:space="preserve">vliv klimatu – oteplení, v kombinaci s omezeným osevním postupem a novými pěstebními technologiemi představuje </w:t>
      </w:r>
    </w:p>
    <w:p w14:paraId="0DD35284" w14:textId="77777777" w:rsidR="00CB2594" w:rsidRPr="007434DA" w:rsidRDefault="00CB2594" w:rsidP="00B1703F">
      <w:pPr>
        <w:pStyle w:val="UZEINormaln"/>
        <w:numPr>
          <w:ilvl w:val="0"/>
          <w:numId w:val="25"/>
        </w:numPr>
        <w:ind w:left="1985" w:hanging="567"/>
      </w:pPr>
      <w:r w:rsidRPr="007434DA">
        <w:t>zkrácené osevní postupy zvyšují riziko přenosu škůdců, nehledě na to zda jde o minimalizační technologii</w:t>
      </w:r>
    </w:p>
    <w:p w14:paraId="7F1156F5" w14:textId="77777777" w:rsidR="00CB2594" w:rsidRPr="007434DA" w:rsidRDefault="00CB2594" w:rsidP="00B1703F">
      <w:pPr>
        <w:pStyle w:val="UZEINormaln"/>
        <w:numPr>
          <w:ilvl w:val="0"/>
          <w:numId w:val="25"/>
        </w:numPr>
        <w:ind w:left="1985" w:hanging="567"/>
      </w:pPr>
      <w:r w:rsidRPr="007434DA">
        <w:t xml:space="preserve">ideální podmínky pro namnožení ŠO (více generací v roce – hmyzí škůdci, posklizňové zbytky na povrchu půdy – přenos infekce na nově zakládané porosty), </w:t>
      </w:r>
    </w:p>
    <w:p w14:paraId="5742005F" w14:textId="77777777" w:rsidR="00CB2594" w:rsidRPr="007434DA" w:rsidRDefault="00CB2594" w:rsidP="00B1703F">
      <w:pPr>
        <w:pStyle w:val="UZEINormaln"/>
        <w:numPr>
          <w:ilvl w:val="0"/>
          <w:numId w:val="25"/>
        </w:numPr>
        <w:ind w:left="1985" w:hanging="567"/>
      </w:pPr>
      <w:r w:rsidRPr="007434DA">
        <w:t>podporu vzniku rezistence vůči používaným POR (omezená nabídka POR díky restrikcím vede k opakovanému používání s následkem vzniku rezistentních populací škůdců – příklad ŠO řepky)</w:t>
      </w:r>
    </w:p>
    <w:p w14:paraId="352CD632" w14:textId="2702F3C5" w:rsidR="00CB2594" w:rsidRPr="007434DA" w:rsidRDefault="00CB2594" w:rsidP="00B1703F">
      <w:pPr>
        <w:pStyle w:val="UZEINormaln"/>
        <w:numPr>
          <w:ilvl w:val="0"/>
          <w:numId w:val="25"/>
        </w:numPr>
        <w:ind w:left="1985" w:hanging="567"/>
      </w:pPr>
      <w:r w:rsidRPr="007434DA">
        <w:t xml:space="preserve">riziko vyplývající z používaných minimalizačních technologií (absence orby a hlubokého zapravení larválních stádií škůdců zvyšuje podíl přeživších a tím pádem i vyšší tlak v následujícím roce). </w:t>
      </w:r>
    </w:p>
    <w:p w14:paraId="14221BDA" w14:textId="77777777" w:rsidR="00CB2594" w:rsidRPr="007434DA" w:rsidRDefault="00CB2594" w:rsidP="00B1703F">
      <w:pPr>
        <w:pStyle w:val="UZEINormaln"/>
        <w:numPr>
          <w:ilvl w:val="0"/>
          <w:numId w:val="24"/>
        </w:numPr>
        <w:rPr>
          <w:b/>
        </w:rPr>
      </w:pPr>
      <w:bookmarkStart w:id="72" w:name="_Toc2272424"/>
      <w:bookmarkStart w:id="73" w:name="_Toc12611740"/>
      <w:bookmarkStart w:id="74" w:name="_Toc12613404"/>
      <w:r w:rsidRPr="007434DA">
        <w:rPr>
          <w:b/>
          <w:bCs/>
        </w:rPr>
        <w:t>Další důvody vedoucí ke zhoršení stavu v rostlinné prvovýrobě</w:t>
      </w:r>
      <w:bookmarkEnd w:id="72"/>
      <w:bookmarkEnd w:id="73"/>
      <w:bookmarkEnd w:id="74"/>
    </w:p>
    <w:p w14:paraId="7B932BF2" w14:textId="77777777" w:rsidR="00CB2594" w:rsidRPr="007434DA" w:rsidRDefault="00CB2594" w:rsidP="00F764CF">
      <w:pPr>
        <w:pStyle w:val="UZEIOdrky"/>
      </w:pPr>
      <w:r w:rsidRPr="007434DA">
        <w:t>Nevhodně nastavené podmínky greeningu (nízký tlak na vyšší diversifikaci plodin v osevních postupech – pouze tři plodiny)</w:t>
      </w:r>
    </w:p>
    <w:p w14:paraId="5809D421" w14:textId="77777777" w:rsidR="00CB2594" w:rsidRPr="007434DA" w:rsidRDefault="00CB2594" w:rsidP="00F764CF">
      <w:pPr>
        <w:pStyle w:val="UZEIOdrky"/>
      </w:pPr>
      <w:r w:rsidRPr="007434DA">
        <w:t>Zákaz používání POR v plodinách vázajících dusík (bez ochrany je produkce luskovin velmi riziková. Místo luskovin se tak pěstuje hořčice na zelené hnojení pro splnění greeningu. Na ní se však namnožují škůdci řepky a brukvovité zeleniny, což je problém, který má vztah k regulaci pesticidů).</w:t>
      </w:r>
    </w:p>
    <w:p w14:paraId="0C1BE184" w14:textId="77777777" w:rsidR="00CB2594" w:rsidRPr="007434DA" w:rsidRDefault="00CB2594" w:rsidP="00F764CF">
      <w:pPr>
        <w:pStyle w:val="UZEIOdrky"/>
      </w:pPr>
      <w:r w:rsidRPr="007434DA">
        <w:t>Neefektivní protierozní opatření – podpora méně efektivních opatření k zabránění eroze (protierozní pásy, minimalizace a posklizňové zbytky) namísto podpory hloubkového zpracování půdy a využití meziplodin pro zakládání porostu hlavních plodin.</w:t>
      </w:r>
    </w:p>
    <w:p w14:paraId="24A72B2B" w14:textId="4CFA2E15" w:rsidR="00CB2594" w:rsidRPr="007434DA" w:rsidRDefault="00CB2594" w:rsidP="00F764CF">
      <w:pPr>
        <w:pStyle w:val="UZEIOdrky"/>
      </w:pPr>
      <w:bookmarkStart w:id="75" w:name="_Hlk12554983"/>
      <w:r w:rsidRPr="007434DA">
        <w:t xml:space="preserve">Nefunkční poradenství </w:t>
      </w:r>
      <w:bookmarkEnd w:id="75"/>
      <w:r w:rsidRPr="007434DA">
        <w:t>(bariéry v účasti výzkumných pracovníků na rostlinolékařském poradenství). Současný stav poradenství neodpovídá požadavkům prvovýroby. Je třeba tuto otázku řešit společně s prvovýrobou</w:t>
      </w:r>
      <w:bookmarkEnd w:id="66"/>
      <w:r w:rsidRPr="007434DA">
        <w:t>.</w:t>
      </w:r>
    </w:p>
    <w:p w14:paraId="3C2FDC86" w14:textId="77777777" w:rsidR="00CB2594" w:rsidRPr="007434DA" w:rsidRDefault="00CB2594" w:rsidP="00B1703F">
      <w:pPr>
        <w:pStyle w:val="UZEINormaln"/>
        <w:numPr>
          <w:ilvl w:val="0"/>
          <w:numId w:val="24"/>
        </w:numPr>
        <w:rPr>
          <w:b/>
          <w:bCs/>
        </w:rPr>
      </w:pPr>
      <w:bookmarkStart w:id="76" w:name="_Toc12611741"/>
      <w:bookmarkStart w:id="77" w:name="_Toc12613405"/>
      <w:r w:rsidRPr="007434DA">
        <w:rPr>
          <w:b/>
          <w:bCs/>
        </w:rPr>
        <w:t>Produkce ovoce – aktuální problémy v sektoru z pohledu užití POR</w:t>
      </w:r>
      <w:bookmarkEnd w:id="76"/>
      <w:bookmarkEnd w:id="77"/>
    </w:p>
    <w:p w14:paraId="132BDA99" w14:textId="77777777" w:rsidR="00CB2594" w:rsidRPr="007434DA" w:rsidRDefault="00CB2594" w:rsidP="00F764CF">
      <w:pPr>
        <w:pStyle w:val="UZEIOdrky"/>
      </w:pPr>
      <w:r w:rsidRPr="007434DA">
        <w:t>Selhávání rezistentních odrůd (prolomení genu rezistence např. u strupovitosti; sortiment odrůd ve výsadbách není možné dostatečně flexibilně měnit s ohledem na charakter trvalé kultury)</w:t>
      </w:r>
      <w:r w:rsidRPr="007434DA">
        <w:rPr>
          <w:rStyle w:val="Znakapoznpodarou"/>
          <w:rFonts w:ascii="Arial" w:hAnsi="Arial" w:cs="Arial"/>
        </w:rPr>
        <w:footnoteReference w:id="13"/>
      </w:r>
      <w:r w:rsidRPr="007434DA">
        <w:t>.</w:t>
      </w:r>
    </w:p>
    <w:p w14:paraId="146DD1DD" w14:textId="385B8C48" w:rsidR="00CB2594" w:rsidRPr="007434DA" w:rsidRDefault="00CB2594" w:rsidP="00F764CF">
      <w:pPr>
        <w:pStyle w:val="UZEIOdrky"/>
      </w:pPr>
      <w:r w:rsidRPr="007434DA">
        <w:t>Nedostatečné portfolio vhodných POR</w:t>
      </w:r>
      <w:r w:rsidR="00F764CF" w:rsidRPr="007434DA">
        <w:t>.</w:t>
      </w:r>
    </w:p>
    <w:p w14:paraId="5418BA30" w14:textId="2B218085" w:rsidR="00CB2594" w:rsidRPr="007434DA" w:rsidRDefault="00CB2594" w:rsidP="00F764CF">
      <w:pPr>
        <w:pStyle w:val="UZEIOdrky"/>
      </w:pPr>
      <w:r w:rsidRPr="007434DA">
        <w:t>Rezistence chorob a škůdců (těžko uplatnitelné antirezistentní strategie z důvodu malého množství povolených účinných látek)</w:t>
      </w:r>
      <w:r w:rsidR="00F764CF" w:rsidRPr="007434DA">
        <w:t>.</w:t>
      </w:r>
    </w:p>
    <w:p w14:paraId="53ABB866" w14:textId="3F4C4A67" w:rsidR="00CB2594" w:rsidRPr="007434DA" w:rsidRDefault="00CB2594" w:rsidP="00F764CF">
      <w:pPr>
        <w:pStyle w:val="UZEIOdrky"/>
      </w:pPr>
      <w:r w:rsidRPr="007434DA">
        <w:t>Nové invazivní choroby a škůdci – negativní vliv globálního pohybu zboží</w:t>
      </w:r>
      <w:r w:rsidR="00F764CF" w:rsidRPr="007434DA">
        <w:t>.</w:t>
      </w:r>
    </w:p>
    <w:p w14:paraId="7DCE0FA5" w14:textId="6CCF3452" w:rsidR="00CB2594" w:rsidRPr="007434DA" w:rsidRDefault="00CB2594" w:rsidP="00F764CF">
      <w:pPr>
        <w:pStyle w:val="UZEIOdrky"/>
      </w:pPr>
      <w:r w:rsidRPr="007434DA">
        <w:t>Nedostatečně rozvinuté speciální objektivní poradenství (chybějící specializované faremní poradenství je suplováno poradenstvím dodavatelů POR)</w:t>
      </w:r>
      <w:r w:rsidR="00F764CF" w:rsidRPr="007434DA">
        <w:t>.</w:t>
      </w:r>
    </w:p>
    <w:p w14:paraId="653B310A" w14:textId="64172500" w:rsidR="00CB2594" w:rsidRPr="007434DA" w:rsidRDefault="00CB2594" w:rsidP="00F764CF">
      <w:pPr>
        <w:pStyle w:val="UZEIOdrky"/>
      </w:pPr>
      <w:r w:rsidRPr="007434DA">
        <w:t>Změny ve způsobech ochrany rostlin z důvodu nových pěstitelských technologií (při pěstování ovoce pod protikroupovými/fóliovými kryty se mění prahy škodlivosti škůdců, objevují se nové patogeny, apod.)</w:t>
      </w:r>
      <w:r w:rsidR="00F764CF" w:rsidRPr="007434DA">
        <w:t>.</w:t>
      </w:r>
    </w:p>
    <w:p w14:paraId="7ADD0FF7" w14:textId="3C2AF246" w:rsidR="00CB2594" w:rsidRPr="007434DA" w:rsidRDefault="00FC74C1" w:rsidP="00FC74C1">
      <w:pPr>
        <w:spacing w:after="160" w:line="259" w:lineRule="auto"/>
        <w:jc w:val="left"/>
        <w:rPr>
          <w:lang w:val="cs-CZ" w:eastAsia="x-none"/>
        </w:rPr>
      </w:pPr>
      <w:r w:rsidRPr="007434DA">
        <w:rPr>
          <w:lang w:val="cs-CZ" w:eastAsia="x-none"/>
        </w:rPr>
        <w:br w:type="page"/>
      </w:r>
    </w:p>
    <w:p w14:paraId="16DFB9C3" w14:textId="46E7EB1B" w:rsidR="00CB2594" w:rsidRPr="007434DA" w:rsidRDefault="00CB2594" w:rsidP="006B29E1">
      <w:pPr>
        <w:pStyle w:val="Nadpis1"/>
      </w:pPr>
      <w:bookmarkStart w:id="78" w:name="_Toc519518199"/>
      <w:bookmarkStart w:id="79" w:name="_Toc519518305"/>
      <w:bookmarkStart w:id="80" w:name="_Toc519581815"/>
      <w:bookmarkStart w:id="81" w:name="_Toc519689327"/>
      <w:bookmarkStart w:id="82" w:name="_Toc12613406"/>
      <w:bookmarkStart w:id="83" w:name="_Toc80877854"/>
      <w:bookmarkStart w:id="84" w:name="_Toc81755610"/>
      <w:bookmarkStart w:id="85" w:name="_Toc520205148"/>
      <w:bookmarkStart w:id="86" w:name="_Hlk12374515"/>
      <w:r w:rsidRPr="007434DA">
        <w:t>Závažnost problému</w:t>
      </w:r>
      <w:bookmarkEnd w:id="78"/>
      <w:bookmarkEnd w:id="79"/>
      <w:bookmarkEnd w:id="80"/>
      <w:bookmarkEnd w:id="81"/>
      <w:bookmarkEnd w:id="82"/>
      <w:bookmarkEnd w:id="83"/>
      <w:bookmarkEnd w:id="84"/>
    </w:p>
    <w:p w14:paraId="1FE61C4C" w14:textId="77777777" w:rsidR="00CB2594" w:rsidRPr="002622E7" w:rsidRDefault="00CB2594" w:rsidP="002622E7">
      <w:pPr>
        <w:pStyle w:val="UZEINormaln"/>
        <w:rPr>
          <w:b/>
          <w:bCs/>
        </w:rPr>
      </w:pPr>
      <w:bookmarkStart w:id="87" w:name="_Toc12466323"/>
      <w:bookmarkStart w:id="88" w:name="_Toc12611743"/>
      <w:bookmarkStart w:id="89" w:name="_Toc12613407"/>
      <w:bookmarkStart w:id="90" w:name="_Toc80877855"/>
      <w:bookmarkStart w:id="91" w:name="_Hlk526178858"/>
      <w:bookmarkEnd w:id="85"/>
      <w:r w:rsidRPr="002622E7">
        <w:rPr>
          <w:b/>
          <w:bCs/>
        </w:rPr>
        <w:t>Pesticidy</w:t>
      </w:r>
      <w:bookmarkEnd w:id="87"/>
      <w:bookmarkEnd w:id="88"/>
      <w:bookmarkEnd w:id="89"/>
      <w:bookmarkEnd w:id="90"/>
    </w:p>
    <w:p w14:paraId="59D85AC3" w14:textId="2BA04148" w:rsidR="00CB2594" w:rsidRPr="007434DA" w:rsidRDefault="00CB2594" w:rsidP="00CB255E">
      <w:pPr>
        <w:pStyle w:val="UZEINormaln"/>
      </w:pPr>
      <w:bookmarkStart w:id="92" w:name="_Hlk7537699"/>
      <w:r w:rsidRPr="007434DA">
        <w:t xml:space="preserve">Problematika aplikace pesticidů se týká převážně plochy zemědělské půdy určené pro pěstování plodin v konvenčním zemědělství, kde je jejich spotřeba nejvyšší. Rostlinná produkce v režimu </w:t>
      </w:r>
      <w:bookmarkStart w:id="93" w:name="_Hlk47004531"/>
      <w:r w:rsidRPr="007434DA">
        <w:t>ekologického zemědělství</w:t>
      </w:r>
      <w:r w:rsidRPr="007434DA">
        <w:rPr>
          <w:vertAlign w:val="superscript"/>
        </w:rPr>
        <w:footnoteReference w:id="14"/>
      </w:r>
      <w:r w:rsidRPr="007434DA">
        <w:t xml:space="preserve"> nebo integrované produkce</w:t>
      </w:r>
      <w:r w:rsidRPr="007434DA">
        <w:rPr>
          <w:rStyle w:val="Znakapoznpodarou"/>
          <w:rFonts w:ascii="Arial" w:hAnsi="Arial" w:cs="Arial"/>
          <w:color w:val="000000"/>
          <w:sz w:val="20"/>
          <w:szCs w:val="20"/>
        </w:rPr>
        <w:footnoteReference w:id="15"/>
      </w:r>
      <w:r w:rsidRPr="007434DA">
        <w:t xml:space="preserve"> (zejména ovoce, zelenina, vinná réva) je totiž z hlediska užívání pesticidů limitována. </w:t>
      </w:r>
      <w:r w:rsidR="006A59EF" w:rsidRPr="007434DA">
        <w:t xml:space="preserve">Použití prostředků na ochranu rostlin v EZ je také možné, ale jsou to speciální přípravky povolené pro použití v EZ, tzn. neznamená to, že by nemohli nic použít, tzn. v podstatě jsou také limitováni jako IP (i když výrazněji). </w:t>
      </w:r>
      <w:r w:rsidRPr="007434DA">
        <w:t xml:space="preserve">Zájem českých zemědělců o hospodaření v režimu EZ a IP dlouhodobě roste, což dokládá i každoročně se zvyšující plocha takto obhospodařované zemědělské půdy </w:t>
      </w:r>
      <w:bookmarkEnd w:id="92"/>
      <w:r w:rsidRPr="007434DA">
        <w:t xml:space="preserve">(viz graf 1, tab. </w:t>
      </w:r>
      <w:r w:rsidR="00F532EB" w:rsidRPr="007434DA">
        <w:t>2</w:t>
      </w:r>
      <w:r w:rsidRPr="007434DA">
        <w:t xml:space="preserve">) </w:t>
      </w:r>
      <w:bookmarkStart w:id="94" w:name="_Hlk7542565"/>
      <w:r w:rsidRPr="007434DA">
        <w:t>Od roku 2009 do roku 2019 došlo v ČR ke zvýšení plochy zemědělské půdy obhospodařované v režimu EZ téměř o 36 % a podíl z celkové plochy zem. půdy se zvýšil téměř o 6 procentních bodů na 15,2 %</w:t>
      </w:r>
      <w:bookmarkEnd w:id="94"/>
      <w:r w:rsidRPr="007434DA">
        <w:t xml:space="preserve">. </w:t>
      </w:r>
    </w:p>
    <w:p w14:paraId="247D2C99" w14:textId="54645A1A" w:rsidR="00CB2594" w:rsidRPr="007434DA" w:rsidRDefault="00CB2594" w:rsidP="005B07CE">
      <w:pPr>
        <w:pStyle w:val="UZEIGraf"/>
        <w:ind w:hanging="720"/>
      </w:pPr>
      <w:bookmarkStart w:id="95" w:name="_Toc93676659"/>
      <w:bookmarkEnd w:id="93"/>
      <w:r w:rsidRPr="007434DA">
        <w:t>Plocha ekologického zemědělství a její podíl z celkové využívané zemědělské půdy v ČR za roky 2009-2019.</w:t>
      </w:r>
      <w:bookmarkEnd w:id="95"/>
    </w:p>
    <w:p w14:paraId="7124BB1A" w14:textId="77777777" w:rsidR="00CB2594" w:rsidRPr="007434DA" w:rsidRDefault="00CB2594" w:rsidP="00CB2594">
      <w:pPr>
        <w:rPr>
          <w:lang w:val="cs-CZ" w:eastAsia="cs-CZ"/>
        </w:rPr>
      </w:pPr>
      <w:r w:rsidRPr="007434DA">
        <w:rPr>
          <w:noProof/>
          <w:lang w:val="cs-CZ" w:eastAsia="cs-CZ"/>
        </w:rPr>
        <w:drawing>
          <wp:inline distT="0" distB="0" distL="0" distR="0" wp14:anchorId="73AEEDC0" wp14:editId="3DA2B105">
            <wp:extent cx="5914417" cy="3112851"/>
            <wp:effectExtent l="0" t="0" r="16510" b="11430"/>
            <wp:docPr id="20" name="Graf 20">
              <a:extLst xmlns:a="http://schemas.openxmlformats.org/drawingml/2006/main">
                <a:ext uri="{FF2B5EF4-FFF2-40B4-BE49-F238E27FC236}">
                  <a16:creationId xmlns:a16="http://schemas.microsoft.com/office/drawing/2014/main" id="{CE48E933-5104-4942-8A5E-26DC3DF22D7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292AC643" w14:textId="77777777" w:rsidR="00CB2594" w:rsidRPr="007434DA" w:rsidRDefault="00CB2594" w:rsidP="004B35B7">
      <w:pPr>
        <w:pStyle w:val="UZEIZdroj"/>
      </w:pPr>
      <w:r w:rsidRPr="007434DA">
        <w:rPr>
          <w:rFonts w:eastAsia="Times New Roman"/>
          <w:color w:val="000000"/>
          <w:lang w:eastAsia="cs-CZ"/>
        </w:rPr>
        <w:t>Pramen:</w:t>
      </w:r>
      <w:r w:rsidRPr="007434DA">
        <w:t xml:space="preserve"> </w:t>
      </w:r>
      <w:bookmarkStart w:id="96" w:name="_Hlk519524522"/>
      <w:r w:rsidRPr="007434DA">
        <w:t xml:space="preserve">ÚZEI/Statistická šetření ekologického zemědělství </w:t>
      </w:r>
      <w:bookmarkEnd w:id="96"/>
      <w:r w:rsidRPr="007434DA">
        <w:t>(poslední aktualizace 21/07/2020)</w:t>
      </w:r>
    </w:p>
    <w:p w14:paraId="6904CEE1" w14:textId="77777777" w:rsidR="00CB2594" w:rsidRPr="007434DA" w:rsidRDefault="00CB2594" w:rsidP="00CB2594">
      <w:pPr>
        <w:rPr>
          <w:lang w:val="cs-CZ" w:eastAsia="cs-CZ"/>
        </w:rPr>
      </w:pPr>
    </w:p>
    <w:p w14:paraId="78818612" w14:textId="071F1714" w:rsidR="00CB2594" w:rsidRPr="007434DA" w:rsidRDefault="00CB2594" w:rsidP="004B35B7">
      <w:pPr>
        <w:pStyle w:val="UZEINormaln"/>
        <w:rPr>
          <w:color w:val="000000"/>
        </w:rPr>
      </w:pPr>
      <w:r w:rsidRPr="007434DA">
        <w:t>Celkové podíly ploch ovocných sadů a zeleniny, zařazené v letech 2015–20</w:t>
      </w:r>
      <w:r w:rsidR="009C2ABA">
        <w:t>20</w:t>
      </w:r>
      <w:r w:rsidRPr="007434DA">
        <w:t xml:space="preserve"> do ekologického zemědělství a v integrované produkci jsou uvedeny v tabulce č. </w:t>
      </w:r>
      <w:r w:rsidR="009C2ABA">
        <w:t>2</w:t>
      </w:r>
      <w:r w:rsidRPr="007434DA">
        <w:t>. Z údajů vyplývá, že šetrným způsobem (EZ a IP) bylo ve sledovaném období let 2015-2019 ošetřováno průměrně 92,</w:t>
      </w:r>
      <w:r w:rsidR="009C2ABA">
        <w:t>5</w:t>
      </w:r>
      <w:r w:rsidRPr="007434DA">
        <w:t xml:space="preserve"> % ovocných sadů a </w:t>
      </w:r>
      <w:r w:rsidR="009C2ABA">
        <w:t>69</w:t>
      </w:r>
      <w:r w:rsidRPr="007434DA">
        <w:t xml:space="preserve"> % ploch zeleniny z jejich celkové výměry v ČR (v případě zeleniny činily tyto plochy v průměru 0,2 % z celkové výměry orné půdy v ČR). </w:t>
      </w:r>
    </w:p>
    <w:p w14:paraId="38C2817F" w14:textId="164D4FCB" w:rsidR="00CB2594" w:rsidRPr="007434DA" w:rsidRDefault="00CB2594" w:rsidP="00CB2594">
      <w:pPr>
        <w:spacing w:before="120"/>
        <w:rPr>
          <w:rFonts w:ascii="Arial" w:hAnsi="Arial" w:cs="Arial"/>
          <w:color w:val="000000"/>
          <w:sz w:val="20"/>
          <w:szCs w:val="20"/>
          <w:lang w:val="cs-CZ"/>
        </w:rPr>
      </w:pPr>
    </w:p>
    <w:p w14:paraId="7BEE2E78" w14:textId="77777777" w:rsidR="004B35B7" w:rsidRPr="007434DA" w:rsidRDefault="004B35B7" w:rsidP="00CB2594">
      <w:pPr>
        <w:spacing w:before="120"/>
        <w:rPr>
          <w:rFonts w:ascii="Arial" w:hAnsi="Arial" w:cs="Arial"/>
          <w:color w:val="000000"/>
          <w:sz w:val="20"/>
          <w:szCs w:val="20"/>
          <w:lang w:val="cs-CZ"/>
        </w:rPr>
      </w:pPr>
    </w:p>
    <w:p w14:paraId="18EEC3B3" w14:textId="4EC51828" w:rsidR="00CB2594" w:rsidRPr="007434DA" w:rsidRDefault="00CB2594" w:rsidP="002622E7">
      <w:pPr>
        <w:pStyle w:val="UZEITaB"/>
        <w:ind w:left="1134" w:hanging="1134"/>
      </w:pPr>
      <w:bookmarkStart w:id="97" w:name="_Toc94095275"/>
      <w:r w:rsidRPr="007434DA">
        <w:t>Příklad podílu ploch ovocných sadů a zeleniny v IP a EZ (%) na celkové ploše obou komodit v ČR v letech 2015 – 20</w:t>
      </w:r>
      <w:r w:rsidR="002F7500">
        <w:t>20</w:t>
      </w:r>
      <w:bookmarkEnd w:id="97"/>
      <w:r w:rsidRPr="007434DA">
        <w:t xml:space="preserve"> </w:t>
      </w:r>
    </w:p>
    <w:tbl>
      <w:tblPr>
        <w:tblW w:w="9013"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546"/>
        <w:gridCol w:w="1374"/>
        <w:gridCol w:w="1177"/>
        <w:gridCol w:w="1374"/>
        <w:gridCol w:w="1177"/>
        <w:gridCol w:w="1181"/>
        <w:gridCol w:w="1184"/>
      </w:tblGrid>
      <w:tr w:rsidR="002F7500" w:rsidRPr="007434DA" w14:paraId="47E00342" w14:textId="77777777" w:rsidTr="001A21D3">
        <w:trPr>
          <w:trHeight w:val="300"/>
        </w:trPr>
        <w:tc>
          <w:tcPr>
            <w:tcW w:w="1546" w:type="dxa"/>
            <w:vMerge w:val="restart"/>
            <w:shd w:val="clear" w:color="auto" w:fill="auto"/>
            <w:vAlign w:val="center"/>
            <w:hideMark/>
          </w:tcPr>
          <w:p w14:paraId="1AD66659" w14:textId="77777777" w:rsidR="002F7500" w:rsidRPr="007434DA" w:rsidRDefault="002F7500" w:rsidP="004A57B3">
            <w:pPr>
              <w:jc w:val="center"/>
              <w:rPr>
                <w:rFonts w:eastAsia="Times New Roman" w:cs="Times New Roman"/>
                <w:b/>
                <w:bCs/>
                <w:color w:val="000000"/>
                <w:sz w:val="20"/>
                <w:szCs w:val="20"/>
                <w:lang w:val="cs-CZ" w:eastAsia="cs-CZ"/>
              </w:rPr>
            </w:pPr>
            <w:r w:rsidRPr="007434DA">
              <w:rPr>
                <w:rFonts w:eastAsia="Times New Roman" w:cs="Times New Roman"/>
                <w:b/>
                <w:bCs/>
                <w:color w:val="000000"/>
                <w:sz w:val="20"/>
                <w:szCs w:val="20"/>
                <w:lang w:val="cs-CZ" w:eastAsia="cs-CZ"/>
              </w:rPr>
              <w:t>Ukazatel</w:t>
            </w:r>
          </w:p>
        </w:tc>
        <w:tc>
          <w:tcPr>
            <w:tcW w:w="7467" w:type="dxa"/>
            <w:gridSpan w:val="6"/>
          </w:tcPr>
          <w:p w14:paraId="2E212047" w14:textId="20BEBC4A" w:rsidR="002F7500" w:rsidRPr="007434DA" w:rsidRDefault="002F7500" w:rsidP="004A57B3">
            <w:pPr>
              <w:jc w:val="center"/>
              <w:rPr>
                <w:rFonts w:eastAsia="Times New Roman" w:cs="Times New Roman"/>
                <w:b/>
                <w:bCs/>
                <w:color w:val="000000"/>
                <w:sz w:val="20"/>
                <w:szCs w:val="20"/>
                <w:lang w:val="cs-CZ" w:eastAsia="cs-CZ"/>
              </w:rPr>
            </w:pPr>
            <w:r w:rsidRPr="007434DA">
              <w:rPr>
                <w:rFonts w:eastAsia="Times New Roman" w:cs="Times New Roman"/>
                <w:b/>
                <w:bCs/>
                <w:color w:val="000000"/>
                <w:sz w:val="20"/>
                <w:szCs w:val="20"/>
                <w:lang w:val="cs-CZ" w:eastAsia="cs-CZ"/>
              </w:rPr>
              <w:t>Rok</w:t>
            </w:r>
            <w:r w:rsidRPr="007434DA">
              <w:rPr>
                <w:rFonts w:eastAsia="Times New Roman" w:cs="Times New Roman"/>
                <w:color w:val="000000"/>
                <w:sz w:val="20"/>
                <w:szCs w:val="20"/>
                <w:lang w:val="cs-CZ" w:eastAsia="cs-CZ"/>
              </w:rPr>
              <w:t> </w:t>
            </w:r>
          </w:p>
        </w:tc>
      </w:tr>
      <w:tr w:rsidR="002F7500" w:rsidRPr="007434DA" w14:paraId="7C8AAC21" w14:textId="77777777" w:rsidTr="002F7500">
        <w:trPr>
          <w:trHeight w:val="240"/>
        </w:trPr>
        <w:tc>
          <w:tcPr>
            <w:tcW w:w="1546" w:type="dxa"/>
            <w:vMerge/>
            <w:tcBorders>
              <w:bottom w:val="single" w:sz="12" w:space="0" w:color="auto"/>
            </w:tcBorders>
            <w:vAlign w:val="center"/>
            <w:hideMark/>
          </w:tcPr>
          <w:p w14:paraId="77E9CF0B" w14:textId="77777777" w:rsidR="002F7500" w:rsidRPr="007434DA" w:rsidRDefault="002F7500" w:rsidP="004A57B3">
            <w:pPr>
              <w:rPr>
                <w:rFonts w:eastAsia="Times New Roman" w:cs="Times New Roman"/>
                <w:b/>
                <w:bCs/>
                <w:color w:val="000000"/>
                <w:sz w:val="20"/>
                <w:szCs w:val="20"/>
                <w:lang w:val="cs-CZ" w:eastAsia="cs-CZ"/>
              </w:rPr>
            </w:pPr>
          </w:p>
        </w:tc>
        <w:tc>
          <w:tcPr>
            <w:tcW w:w="1374" w:type="dxa"/>
            <w:tcBorders>
              <w:bottom w:val="single" w:sz="12" w:space="0" w:color="auto"/>
            </w:tcBorders>
            <w:shd w:val="clear" w:color="auto" w:fill="auto"/>
            <w:vAlign w:val="center"/>
            <w:hideMark/>
          </w:tcPr>
          <w:p w14:paraId="5FB8D18E" w14:textId="77777777" w:rsidR="002F7500" w:rsidRPr="007434DA" w:rsidRDefault="002F7500" w:rsidP="004A57B3">
            <w:pPr>
              <w:jc w:val="center"/>
              <w:rPr>
                <w:rFonts w:eastAsia="Times New Roman" w:cs="Times New Roman"/>
                <w:b/>
                <w:bCs/>
                <w:color w:val="000000"/>
                <w:sz w:val="20"/>
                <w:szCs w:val="20"/>
                <w:lang w:val="cs-CZ" w:eastAsia="cs-CZ"/>
              </w:rPr>
            </w:pPr>
            <w:r w:rsidRPr="007434DA">
              <w:rPr>
                <w:rFonts w:eastAsia="Times New Roman" w:cs="Times New Roman"/>
                <w:b/>
                <w:bCs/>
                <w:color w:val="000000"/>
                <w:sz w:val="20"/>
                <w:szCs w:val="20"/>
                <w:lang w:val="cs-CZ" w:eastAsia="cs-CZ"/>
              </w:rPr>
              <w:t>2015</w:t>
            </w:r>
            <w:r w:rsidRPr="007434DA">
              <w:rPr>
                <w:rFonts w:eastAsia="Times New Roman" w:cs="Times New Roman"/>
                <w:color w:val="000000"/>
                <w:sz w:val="20"/>
                <w:szCs w:val="20"/>
                <w:lang w:val="cs-CZ" w:eastAsia="cs-CZ"/>
              </w:rPr>
              <w:t> </w:t>
            </w:r>
          </w:p>
        </w:tc>
        <w:tc>
          <w:tcPr>
            <w:tcW w:w="1177" w:type="dxa"/>
            <w:tcBorders>
              <w:bottom w:val="single" w:sz="12" w:space="0" w:color="auto"/>
            </w:tcBorders>
            <w:shd w:val="clear" w:color="auto" w:fill="auto"/>
            <w:vAlign w:val="center"/>
            <w:hideMark/>
          </w:tcPr>
          <w:p w14:paraId="504C1877" w14:textId="77777777" w:rsidR="002F7500" w:rsidRPr="007434DA" w:rsidRDefault="002F7500" w:rsidP="004A57B3">
            <w:pPr>
              <w:jc w:val="center"/>
              <w:rPr>
                <w:rFonts w:eastAsia="Times New Roman" w:cs="Times New Roman"/>
                <w:b/>
                <w:bCs/>
                <w:color w:val="000000"/>
                <w:sz w:val="20"/>
                <w:szCs w:val="20"/>
                <w:lang w:val="cs-CZ" w:eastAsia="cs-CZ"/>
              </w:rPr>
            </w:pPr>
            <w:r w:rsidRPr="007434DA">
              <w:rPr>
                <w:rFonts w:eastAsia="Times New Roman" w:cs="Times New Roman"/>
                <w:b/>
                <w:bCs/>
                <w:color w:val="000000"/>
                <w:sz w:val="20"/>
                <w:szCs w:val="20"/>
                <w:lang w:val="cs-CZ" w:eastAsia="cs-CZ"/>
              </w:rPr>
              <w:t>2016</w:t>
            </w:r>
            <w:r w:rsidRPr="007434DA">
              <w:rPr>
                <w:rFonts w:eastAsia="Times New Roman" w:cs="Times New Roman"/>
                <w:color w:val="000000"/>
                <w:sz w:val="20"/>
                <w:szCs w:val="20"/>
                <w:lang w:val="cs-CZ" w:eastAsia="cs-CZ"/>
              </w:rPr>
              <w:t> </w:t>
            </w:r>
          </w:p>
        </w:tc>
        <w:tc>
          <w:tcPr>
            <w:tcW w:w="1374" w:type="dxa"/>
            <w:tcBorders>
              <w:bottom w:val="single" w:sz="12" w:space="0" w:color="auto"/>
            </w:tcBorders>
            <w:shd w:val="clear" w:color="auto" w:fill="auto"/>
            <w:vAlign w:val="center"/>
            <w:hideMark/>
          </w:tcPr>
          <w:p w14:paraId="12536BF1" w14:textId="77777777" w:rsidR="002F7500" w:rsidRPr="007434DA" w:rsidRDefault="002F7500" w:rsidP="004A57B3">
            <w:pPr>
              <w:jc w:val="center"/>
              <w:rPr>
                <w:rFonts w:eastAsia="Times New Roman" w:cs="Times New Roman"/>
                <w:b/>
                <w:bCs/>
                <w:color w:val="000000"/>
                <w:sz w:val="20"/>
                <w:szCs w:val="20"/>
                <w:lang w:val="cs-CZ" w:eastAsia="cs-CZ"/>
              </w:rPr>
            </w:pPr>
            <w:r w:rsidRPr="007434DA">
              <w:rPr>
                <w:rFonts w:eastAsia="Times New Roman" w:cs="Times New Roman"/>
                <w:b/>
                <w:bCs/>
                <w:color w:val="000000"/>
                <w:sz w:val="20"/>
                <w:szCs w:val="20"/>
                <w:lang w:val="cs-CZ" w:eastAsia="cs-CZ"/>
              </w:rPr>
              <w:t>2017</w:t>
            </w:r>
            <w:r w:rsidRPr="007434DA">
              <w:rPr>
                <w:rFonts w:eastAsia="Times New Roman" w:cs="Times New Roman"/>
                <w:color w:val="000000"/>
                <w:sz w:val="20"/>
                <w:szCs w:val="20"/>
                <w:lang w:val="cs-CZ" w:eastAsia="cs-CZ"/>
              </w:rPr>
              <w:t> </w:t>
            </w:r>
          </w:p>
        </w:tc>
        <w:tc>
          <w:tcPr>
            <w:tcW w:w="1177" w:type="dxa"/>
            <w:tcBorders>
              <w:bottom w:val="single" w:sz="12" w:space="0" w:color="auto"/>
            </w:tcBorders>
            <w:shd w:val="clear" w:color="auto" w:fill="auto"/>
            <w:vAlign w:val="center"/>
            <w:hideMark/>
          </w:tcPr>
          <w:p w14:paraId="2560C6CF" w14:textId="77777777" w:rsidR="002F7500" w:rsidRPr="007434DA" w:rsidRDefault="002F7500" w:rsidP="004A57B3">
            <w:pPr>
              <w:jc w:val="center"/>
              <w:rPr>
                <w:rFonts w:eastAsia="Times New Roman" w:cs="Times New Roman"/>
                <w:b/>
                <w:bCs/>
                <w:color w:val="000000"/>
                <w:sz w:val="20"/>
                <w:szCs w:val="20"/>
                <w:lang w:val="cs-CZ" w:eastAsia="cs-CZ"/>
              </w:rPr>
            </w:pPr>
            <w:r w:rsidRPr="007434DA">
              <w:rPr>
                <w:rFonts w:eastAsia="Times New Roman" w:cs="Times New Roman"/>
                <w:b/>
                <w:bCs/>
                <w:color w:val="000000"/>
                <w:sz w:val="20"/>
                <w:szCs w:val="20"/>
                <w:lang w:val="cs-CZ" w:eastAsia="cs-CZ"/>
              </w:rPr>
              <w:t>2018</w:t>
            </w:r>
            <w:r w:rsidRPr="007434DA">
              <w:rPr>
                <w:rFonts w:eastAsia="Times New Roman" w:cs="Times New Roman"/>
                <w:color w:val="000000"/>
                <w:sz w:val="20"/>
                <w:szCs w:val="20"/>
                <w:lang w:val="cs-CZ" w:eastAsia="cs-CZ"/>
              </w:rPr>
              <w:t> </w:t>
            </w:r>
          </w:p>
        </w:tc>
        <w:tc>
          <w:tcPr>
            <w:tcW w:w="1181" w:type="dxa"/>
            <w:tcBorders>
              <w:bottom w:val="single" w:sz="12" w:space="0" w:color="auto"/>
            </w:tcBorders>
          </w:tcPr>
          <w:p w14:paraId="718CA55B" w14:textId="4B265B67" w:rsidR="002F7500" w:rsidRPr="007434DA" w:rsidRDefault="002F7500" w:rsidP="004A57B3">
            <w:pPr>
              <w:jc w:val="center"/>
              <w:rPr>
                <w:rFonts w:eastAsia="Times New Roman" w:cs="Times New Roman"/>
                <w:b/>
                <w:bCs/>
                <w:color w:val="000000"/>
                <w:sz w:val="20"/>
                <w:szCs w:val="20"/>
                <w:lang w:val="cs-CZ" w:eastAsia="cs-CZ"/>
              </w:rPr>
            </w:pPr>
            <w:r>
              <w:rPr>
                <w:rFonts w:eastAsia="Times New Roman" w:cs="Times New Roman"/>
                <w:b/>
                <w:bCs/>
                <w:color w:val="000000"/>
                <w:sz w:val="20"/>
                <w:szCs w:val="20"/>
                <w:lang w:val="cs-CZ" w:eastAsia="cs-CZ"/>
              </w:rPr>
              <w:t>2019</w:t>
            </w:r>
          </w:p>
        </w:tc>
        <w:tc>
          <w:tcPr>
            <w:tcW w:w="1184" w:type="dxa"/>
            <w:tcBorders>
              <w:bottom w:val="single" w:sz="12" w:space="0" w:color="auto"/>
            </w:tcBorders>
            <w:shd w:val="clear" w:color="auto" w:fill="auto"/>
            <w:vAlign w:val="center"/>
            <w:hideMark/>
          </w:tcPr>
          <w:p w14:paraId="0CB7A6E7" w14:textId="68B46B94" w:rsidR="002F7500" w:rsidRPr="007434DA" w:rsidRDefault="002F7500" w:rsidP="004A57B3">
            <w:pPr>
              <w:jc w:val="center"/>
              <w:rPr>
                <w:rFonts w:eastAsia="Times New Roman" w:cs="Times New Roman"/>
                <w:b/>
                <w:bCs/>
                <w:color w:val="000000"/>
                <w:sz w:val="20"/>
                <w:szCs w:val="20"/>
                <w:lang w:val="cs-CZ" w:eastAsia="cs-CZ"/>
              </w:rPr>
            </w:pPr>
            <w:r w:rsidRPr="007434DA">
              <w:rPr>
                <w:rFonts w:eastAsia="Times New Roman" w:cs="Times New Roman"/>
                <w:b/>
                <w:bCs/>
                <w:color w:val="000000"/>
                <w:sz w:val="20"/>
                <w:szCs w:val="20"/>
                <w:lang w:val="cs-CZ" w:eastAsia="cs-CZ"/>
              </w:rPr>
              <w:t>20</w:t>
            </w:r>
            <w:r>
              <w:rPr>
                <w:rFonts w:eastAsia="Times New Roman" w:cs="Times New Roman"/>
                <w:b/>
                <w:bCs/>
                <w:color w:val="000000"/>
                <w:sz w:val="20"/>
                <w:szCs w:val="20"/>
                <w:lang w:val="cs-CZ" w:eastAsia="cs-CZ"/>
              </w:rPr>
              <w:t>20</w:t>
            </w:r>
          </w:p>
        </w:tc>
      </w:tr>
      <w:tr w:rsidR="002F7500" w:rsidRPr="007434DA" w14:paraId="170917FE" w14:textId="77777777" w:rsidTr="002F7500">
        <w:trPr>
          <w:trHeight w:val="244"/>
        </w:trPr>
        <w:tc>
          <w:tcPr>
            <w:tcW w:w="1546" w:type="dxa"/>
            <w:tcBorders>
              <w:top w:val="single" w:sz="12" w:space="0" w:color="auto"/>
              <w:bottom w:val="single" w:sz="4" w:space="0" w:color="auto"/>
            </w:tcBorders>
            <w:shd w:val="clear" w:color="auto" w:fill="auto"/>
            <w:vAlign w:val="center"/>
            <w:hideMark/>
          </w:tcPr>
          <w:p w14:paraId="6EFA6160" w14:textId="77777777" w:rsidR="002F7500" w:rsidRPr="007434DA" w:rsidRDefault="002F7500" w:rsidP="004A57B3">
            <w:pPr>
              <w:rPr>
                <w:rFonts w:eastAsia="Times New Roman" w:cs="Times New Roman"/>
                <w:b/>
                <w:bCs/>
                <w:color w:val="000000"/>
                <w:sz w:val="20"/>
                <w:szCs w:val="20"/>
                <w:lang w:val="cs-CZ" w:eastAsia="cs-CZ"/>
              </w:rPr>
            </w:pPr>
            <w:r w:rsidRPr="007434DA">
              <w:rPr>
                <w:rFonts w:eastAsia="Times New Roman" w:cs="Times New Roman"/>
                <w:b/>
                <w:bCs/>
                <w:color w:val="000000"/>
                <w:sz w:val="20"/>
                <w:szCs w:val="20"/>
                <w:lang w:val="cs-CZ" w:eastAsia="cs-CZ"/>
              </w:rPr>
              <w:t>Sady IP</w:t>
            </w:r>
            <w:r w:rsidRPr="007434DA">
              <w:rPr>
                <w:rFonts w:eastAsia="Times New Roman" w:cs="Times New Roman"/>
                <w:color w:val="000000"/>
                <w:sz w:val="20"/>
                <w:szCs w:val="20"/>
                <w:lang w:val="cs-CZ" w:eastAsia="cs-CZ"/>
              </w:rPr>
              <w:t> </w:t>
            </w:r>
          </w:p>
        </w:tc>
        <w:tc>
          <w:tcPr>
            <w:tcW w:w="1374" w:type="dxa"/>
            <w:tcBorders>
              <w:top w:val="single" w:sz="12" w:space="0" w:color="auto"/>
              <w:bottom w:val="single" w:sz="4" w:space="0" w:color="auto"/>
            </w:tcBorders>
            <w:shd w:val="clear" w:color="auto" w:fill="auto"/>
            <w:noWrap/>
            <w:vAlign w:val="center"/>
            <w:hideMark/>
          </w:tcPr>
          <w:p w14:paraId="16769597" w14:textId="77777777" w:rsidR="002F7500" w:rsidRPr="007434DA" w:rsidRDefault="002F7500" w:rsidP="004A57B3">
            <w:pPr>
              <w:jc w:val="right"/>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65,0</w:t>
            </w:r>
          </w:p>
        </w:tc>
        <w:tc>
          <w:tcPr>
            <w:tcW w:w="1177" w:type="dxa"/>
            <w:tcBorders>
              <w:top w:val="single" w:sz="12" w:space="0" w:color="auto"/>
              <w:bottom w:val="single" w:sz="4" w:space="0" w:color="auto"/>
            </w:tcBorders>
            <w:shd w:val="clear" w:color="auto" w:fill="auto"/>
            <w:noWrap/>
            <w:vAlign w:val="center"/>
            <w:hideMark/>
          </w:tcPr>
          <w:p w14:paraId="5E55831E" w14:textId="77777777" w:rsidR="002F7500" w:rsidRPr="007434DA" w:rsidRDefault="002F7500" w:rsidP="004A57B3">
            <w:pPr>
              <w:jc w:val="right"/>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69,0</w:t>
            </w:r>
          </w:p>
        </w:tc>
        <w:tc>
          <w:tcPr>
            <w:tcW w:w="1374" w:type="dxa"/>
            <w:tcBorders>
              <w:top w:val="single" w:sz="12" w:space="0" w:color="auto"/>
              <w:bottom w:val="single" w:sz="4" w:space="0" w:color="auto"/>
            </w:tcBorders>
            <w:shd w:val="clear" w:color="auto" w:fill="auto"/>
            <w:noWrap/>
            <w:vAlign w:val="center"/>
            <w:hideMark/>
          </w:tcPr>
          <w:p w14:paraId="1193F7C2" w14:textId="77777777" w:rsidR="002F7500" w:rsidRPr="007434DA" w:rsidRDefault="002F7500" w:rsidP="004A57B3">
            <w:pPr>
              <w:jc w:val="right"/>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71,0</w:t>
            </w:r>
          </w:p>
        </w:tc>
        <w:tc>
          <w:tcPr>
            <w:tcW w:w="1177" w:type="dxa"/>
            <w:tcBorders>
              <w:top w:val="single" w:sz="12" w:space="0" w:color="auto"/>
              <w:bottom w:val="single" w:sz="4" w:space="0" w:color="auto"/>
            </w:tcBorders>
            <w:shd w:val="clear" w:color="auto" w:fill="auto"/>
            <w:noWrap/>
            <w:vAlign w:val="center"/>
            <w:hideMark/>
          </w:tcPr>
          <w:p w14:paraId="7494897E" w14:textId="77777777" w:rsidR="002F7500" w:rsidRPr="007434DA" w:rsidRDefault="002F7500" w:rsidP="004A57B3">
            <w:pPr>
              <w:jc w:val="right"/>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70,5</w:t>
            </w:r>
          </w:p>
        </w:tc>
        <w:tc>
          <w:tcPr>
            <w:tcW w:w="1181" w:type="dxa"/>
            <w:tcBorders>
              <w:top w:val="single" w:sz="12" w:space="0" w:color="auto"/>
              <w:bottom w:val="single" w:sz="4" w:space="0" w:color="auto"/>
            </w:tcBorders>
          </w:tcPr>
          <w:p w14:paraId="7F5D09B5" w14:textId="453ECEAD" w:rsidR="002F7500" w:rsidRPr="007434DA" w:rsidRDefault="002F7500" w:rsidP="004A57B3">
            <w:pPr>
              <w:jc w:val="right"/>
              <w:rPr>
                <w:rFonts w:eastAsia="Times New Roman" w:cs="Times New Roman"/>
                <w:color w:val="000000"/>
                <w:sz w:val="20"/>
                <w:szCs w:val="20"/>
                <w:lang w:val="cs-CZ" w:eastAsia="cs-CZ"/>
              </w:rPr>
            </w:pPr>
            <w:r>
              <w:rPr>
                <w:rFonts w:eastAsia="Times New Roman" w:cs="Times New Roman"/>
                <w:color w:val="000000"/>
                <w:sz w:val="20"/>
                <w:szCs w:val="20"/>
                <w:lang w:val="cs-CZ" w:eastAsia="cs-CZ"/>
              </w:rPr>
              <w:t>71,5</w:t>
            </w:r>
          </w:p>
        </w:tc>
        <w:tc>
          <w:tcPr>
            <w:tcW w:w="1184" w:type="dxa"/>
            <w:tcBorders>
              <w:top w:val="single" w:sz="12" w:space="0" w:color="auto"/>
              <w:bottom w:val="single" w:sz="4" w:space="0" w:color="auto"/>
            </w:tcBorders>
            <w:shd w:val="clear" w:color="auto" w:fill="auto"/>
            <w:noWrap/>
            <w:vAlign w:val="center"/>
          </w:tcPr>
          <w:p w14:paraId="016B9393" w14:textId="31637BC0" w:rsidR="002F7500" w:rsidRPr="007434DA" w:rsidRDefault="009C2ABA" w:rsidP="004A57B3">
            <w:pPr>
              <w:jc w:val="right"/>
              <w:rPr>
                <w:rFonts w:eastAsia="Times New Roman" w:cs="Times New Roman"/>
                <w:color w:val="000000"/>
                <w:sz w:val="20"/>
                <w:szCs w:val="20"/>
                <w:lang w:val="cs-CZ" w:eastAsia="cs-CZ"/>
              </w:rPr>
            </w:pPr>
            <w:r>
              <w:rPr>
                <w:rFonts w:eastAsia="Times New Roman" w:cs="Times New Roman"/>
                <w:color w:val="000000"/>
                <w:sz w:val="20"/>
                <w:szCs w:val="20"/>
                <w:lang w:val="cs-CZ" w:eastAsia="cs-CZ"/>
              </w:rPr>
              <w:t>70,0</w:t>
            </w:r>
          </w:p>
        </w:tc>
      </w:tr>
      <w:tr w:rsidR="002F7500" w:rsidRPr="007434DA" w14:paraId="4130C3D6" w14:textId="77777777" w:rsidTr="002F7500">
        <w:trPr>
          <w:trHeight w:val="260"/>
        </w:trPr>
        <w:tc>
          <w:tcPr>
            <w:tcW w:w="1546" w:type="dxa"/>
            <w:tcBorders>
              <w:top w:val="single" w:sz="4" w:space="0" w:color="auto"/>
            </w:tcBorders>
            <w:shd w:val="clear" w:color="auto" w:fill="auto"/>
            <w:vAlign w:val="center"/>
            <w:hideMark/>
          </w:tcPr>
          <w:p w14:paraId="52EA177B" w14:textId="77777777" w:rsidR="002F7500" w:rsidRPr="007434DA" w:rsidRDefault="002F7500" w:rsidP="004A57B3">
            <w:pPr>
              <w:rPr>
                <w:rFonts w:eastAsia="Times New Roman" w:cs="Times New Roman"/>
                <w:b/>
                <w:bCs/>
                <w:color w:val="000000"/>
                <w:sz w:val="20"/>
                <w:szCs w:val="20"/>
                <w:lang w:val="cs-CZ" w:eastAsia="cs-CZ"/>
              </w:rPr>
            </w:pPr>
            <w:r w:rsidRPr="007434DA">
              <w:rPr>
                <w:rFonts w:eastAsia="Times New Roman" w:cs="Times New Roman"/>
                <w:b/>
                <w:bCs/>
                <w:color w:val="000000"/>
                <w:sz w:val="20"/>
                <w:szCs w:val="20"/>
                <w:lang w:val="cs-CZ" w:eastAsia="cs-CZ"/>
              </w:rPr>
              <w:t>Sady EZ</w:t>
            </w:r>
            <w:r w:rsidRPr="007434DA">
              <w:rPr>
                <w:rFonts w:eastAsia="Times New Roman" w:cs="Times New Roman"/>
                <w:color w:val="000000"/>
                <w:sz w:val="20"/>
                <w:szCs w:val="20"/>
                <w:lang w:val="cs-CZ" w:eastAsia="cs-CZ"/>
              </w:rPr>
              <w:t> </w:t>
            </w:r>
          </w:p>
        </w:tc>
        <w:tc>
          <w:tcPr>
            <w:tcW w:w="1374" w:type="dxa"/>
            <w:tcBorders>
              <w:top w:val="single" w:sz="4" w:space="0" w:color="auto"/>
            </w:tcBorders>
            <w:shd w:val="clear" w:color="auto" w:fill="auto"/>
            <w:noWrap/>
            <w:vAlign w:val="center"/>
            <w:hideMark/>
          </w:tcPr>
          <w:p w14:paraId="7993B577" w14:textId="77777777" w:rsidR="002F7500" w:rsidRPr="007434DA" w:rsidRDefault="002F7500" w:rsidP="004A57B3">
            <w:pPr>
              <w:jc w:val="right"/>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25,9</w:t>
            </w:r>
          </w:p>
        </w:tc>
        <w:tc>
          <w:tcPr>
            <w:tcW w:w="1177" w:type="dxa"/>
            <w:tcBorders>
              <w:top w:val="single" w:sz="4" w:space="0" w:color="auto"/>
            </w:tcBorders>
            <w:shd w:val="clear" w:color="auto" w:fill="auto"/>
            <w:noWrap/>
            <w:vAlign w:val="center"/>
            <w:hideMark/>
          </w:tcPr>
          <w:p w14:paraId="32A58E6B" w14:textId="77777777" w:rsidR="002F7500" w:rsidRPr="007434DA" w:rsidRDefault="002F7500" w:rsidP="004A57B3">
            <w:pPr>
              <w:jc w:val="right"/>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21,1</w:t>
            </w:r>
          </w:p>
        </w:tc>
        <w:tc>
          <w:tcPr>
            <w:tcW w:w="1374" w:type="dxa"/>
            <w:tcBorders>
              <w:top w:val="single" w:sz="4" w:space="0" w:color="auto"/>
            </w:tcBorders>
            <w:shd w:val="clear" w:color="auto" w:fill="auto"/>
            <w:noWrap/>
            <w:vAlign w:val="center"/>
            <w:hideMark/>
          </w:tcPr>
          <w:p w14:paraId="14555FD6" w14:textId="77777777" w:rsidR="002F7500" w:rsidRPr="007434DA" w:rsidRDefault="002F7500" w:rsidP="004A57B3">
            <w:pPr>
              <w:jc w:val="right"/>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21,1</w:t>
            </w:r>
          </w:p>
        </w:tc>
        <w:tc>
          <w:tcPr>
            <w:tcW w:w="1177" w:type="dxa"/>
            <w:tcBorders>
              <w:top w:val="single" w:sz="4" w:space="0" w:color="auto"/>
            </w:tcBorders>
            <w:shd w:val="clear" w:color="auto" w:fill="auto"/>
            <w:noWrap/>
            <w:vAlign w:val="center"/>
            <w:hideMark/>
          </w:tcPr>
          <w:p w14:paraId="2A4A5ABA" w14:textId="77777777" w:rsidR="002F7500" w:rsidRPr="007434DA" w:rsidRDefault="002F7500" w:rsidP="004A57B3">
            <w:pPr>
              <w:jc w:val="right"/>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22,8</w:t>
            </w:r>
          </w:p>
        </w:tc>
        <w:tc>
          <w:tcPr>
            <w:tcW w:w="1181" w:type="dxa"/>
            <w:tcBorders>
              <w:top w:val="single" w:sz="4" w:space="0" w:color="auto"/>
            </w:tcBorders>
          </w:tcPr>
          <w:p w14:paraId="5451F9DA" w14:textId="54384BE7" w:rsidR="002F7500" w:rsidRPr="007434DA" w:rsidRDefault="002F7500" w:rsidP="004A57B3">
            <w:pPr>
              <w:jc w:val="right"/>
              <w:rPr>
                <w:rFonts w:eastAsia="Times New Roman" w:cs="Times New Roman"/>
                <w:color w:val="000000"/>
                <w:sz w:val="20"/>
                <w:szCs w:val="20"/>
                <w:lang w:val="cs-CZ" w:eastAsia="cs-CZ"/>
              </w:rPr>
            </w:pPr>
            <w:r>
              <w:rPr>
                <w:rFonts w:eastAsia="Times New Roman" w:cs="Times New Roman"/>
                <w:color w:val="000000"/>
                <w:sz w:val="20"/>
                <w:szCs w:val="20"/>
                <w:lang w:val="cs-CZ" w:eastAsia="cs-CZ"/>
              </w:rPr>
              <w:t>23,7</w:t>
            </w:r>
          </w:p>
        </w:tc>
        <w:tc>
          <w:tcPr>
            <w:tcW w:w="1184" w:type="dxa"/>
            <w:tcBorders>
              <w:top w:val="single" w:sz="4" w:space="0" w:color="auto"/>
            </w:tcBorders>
            <w:shd w:val="clear" w:color="auto" w:fill="auto"/>
            <w:noWrap/>
            <w:vAlign w:val="center"/>
          </w:tcPr>
          <w:p w14:paraId="01875E14" w14:textId="6A14F6CD" w:rsidR="002F7500" w:rsidRPr="007434DA" w:rsidRDefault="002F7500" w:rsidP="004A57B3">
            <w:pPr>
              <w:jc w:val="right"/>
              <w:rPr>
                <w:rFonts w:eastAsia="Times New Roman" w:cs="Times New Roman"/>
                <w:color w:val="000000"/>
                <w:sz w:val="20"/>
                <w:szCs w:val="20"/>
                <w:lang w:val="cs-CZ" w:eastAsia="cs-CZ"/>
              </w:rPr>
            </w:pPr>
            <w:r>
              <w:rPr>
                <w:rFonts w:eastAsia="Times New Roman" w:cs="Times New Roman"/>
                <w:color w:val="000000"/>
                <w:sz w:val="20"/>
                <w:szCs w:val="20"/>
                <w:lang w:val="cs-CZ" w:eastAsia="cs-CZ"/>
              </w:rPr>
              <w:t>23,4</w:t>
            </w:r>
          </w:p>
        </w:tc>
      </w:tr>
      <w:tr w:rsidR="002F7500" w:rsidRPr="007434DA" w14:paraId="09DD1E23" w14:textId="77777777" w:rsidTr="002F7500">
        <w:trPr>
          <w:trHeight w:val="237"/>
        </w:trPr>
        <w:tc>
          <w:tcPr>
            <w:tcW w:w="1546" w:type="dxa"/>
            <w:shd w:val="clear" w:color="auto" w:fill="auto"/>
            <w:vAlign w:val="center"/>
            <w:hideMark/>
          </w:tcPr>
          <w:p w14:paraId="06D5C6C8" w14:textId="77777777" w:rsidR="002F7500" w:rsidRPr="007434DA" w:rsidRDefault="002F7500" w:rsidP="004A57B3">
            <w:pPr>
              <w:rPr>
                <w:rFonts w:eastAsia="Times New Roman" w:cs="Times New Roman"/>
                <w:b/>
                <w:bCs/>
                <w:color w:val="000000"/>
                <w:sz w:val="20"/>
                <w:szCs w:val="20"/>
                <w:lang w:val="cs-CZ" w:eastAsia="cs-CZ"/>
              </w:rPr>
            </w:pPr>
            <w:r w:rsidRPr="007434DA">
              <w:rPr>
                <w:rFonts w:eastAsia="Times New Roman" w:cs="Times New Roman"/>
                <w:b/>
                <w:bCs/>
                <w:color w:val="000000"/>
                <w:sz w:val="20"/>
                <w:szCs w:val="20"/>
                <w:lang w:val="cs-CZ" w:eastAsia="cs-CZ"/>
              </w:rPr>
              <w:t>Zelenina IP</w:t>
            </w:r>
            <w:r w:rsidRPr="007434DA">
              <w:rPr>
                <w:rFonts w:eastAsia="Times New Roman" w:cs="Times New Roman"/>
                <w:color w:val="000000"/>
                <w:sz w:val="20"/>
                <w:szCs w:val="20"/>
                <w:lang w:val="cs-CZ" w:eastAsia="cs-CZ"/>
              </w:rPr>
              <w:t> </w:t>
            </w:r>
          </w:p>
        </w:tc>
        <w:tc>
          <w:tcPr>
            <w:tcW w:w="1374" w:type="dxa"/>
            <w:shd w:val="clear" w:color="auto" w:fill="auto"/>
            <w:noWrap/>
            <w:vAlign w:val="center"/>
            <w:hideMark/>
          </w:tcPr>
          <w:p w14:paraId="5237A406" w14:textId="77777777" w:rsidR="002F7500" w:rsidRPr="007434DA" w:rsidRDefault="002F7500" w:rsidP="004A57B3">
            <w:pPr>
              <w:jc w:val="right"/>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67,1</w:t>
            </w:r>
          </w:p>
        </w:tc>
        <w:tc>
          <w:tcPr>
            <w:tcW w:w="1177" w:type="dxa"/>
            <w:shd w:val="clear" w:color="auto" w:fill="auto"/>
            <w:noWrap/>
            <w:vAlign w:val="center"/>
            <w:hideMark/>
          </w:tcPr>
          <w:p w14:paraId="3B9C4AF4" w14:textId="77777777" w:rsidR="002F7500" w:rsidRPr="007434DA" w:rsidRDefault="002F7500" w:rsidP="004A57B3">
            <w:pPr>
              <w:jc w:val="right"/>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71,7</w:t>
            </w:r>
          </w:p>
        </w:tc>
        <w:tc>
          <w:tcPr>
            <w:tcW w:w="1374" w:type="dxa"/>
            <w:shd w:val="clear" w:color="auto" w:fill="auto"/>
            <w:noWrap/>
            <w:vAlign w:val="center"/>
            <w:hideMark/>
          </w:tcPr>
          <w:p w14:paraId="75F44522" w14:textId="77777777" w:rsidR="002F7500" w:rsidRPr="007434DA" w:rsidRDefault="002F7500" w:rsidP="004A57B3">
            <w:pPr>
              <w:jc w:val="right"/>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69,5</w:t>
            </w:r>
          </w:p>
        </w:tc>
        <w:tc>
          <w:tcPr>
            <w:tcW w:w="1177" w:type="dxa"/>
            <w:shd w:val="clear" w:color="auto" w:fill="auto"/>
            <w:noWrap/>
            <w:vAlign w:val="center"/>
            <w:hideMark/>
          </w:tcPr>
          <w:p w14:paraId="370D2908" w14:textId="77777777" w:rsidR="002F7500" w:rsidRPr="007434DA" w:rsidRDefault="002F7500" w:rsidP="004A57B3">
            <w:pPr>
              <w:jc w:val="right"/>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67,1</w:t>
            </w:r>
          </w:p>
        </w:tc>
        <w:tc>
          <w:tcPr>
            <w:tcW w:w="1181" w:type="dxa"/>
          </w:tcPr>
          <w:p w14:paraId="3BD7A4D5" w14:textId="68CC7283" w:rsidR="002F7500" w:rsidRPr="007434DA" w:rsidRDefault="002F7500" w:rsidP="004A57B3">
            <w:pPr>
              <w:jc w:val="right"/>
              <w:rPr>
                <w:rFonts w:eastAsia="Times New Roman" w:cs="Times New Roman"/>
                <w:color w:val="000000"/>
                <w:sz w:val="20"/>
                <w:szCs w:val="20"/>
                <w:lang w:val="cs-CZ" w:eastAsia="cs-CZ"/>
              </w:rPr>
            </w:pPr>
            <w:r>
              <w:rPr>
                <w:rFonts w:eastAsia="Times New Roman" w:cs="Times New Roman"/>
                <w:color w:val="000000"/>
                <w:sz w:val="20"/>
                <w:szCs w:val="20"/>
                <w:lang w:val="cs-CZ" w:eastAsia="cs-CZ"/>
              </w:rPr>
              <w:t>64,8</w:t>
            </w:r>
          </w:p>
        </w:tc>
        <w:tc>
          <w:tcPr>
            <w:tcW w:w="1184" w:type="dxa"/>
            <w:shd w:val="clear" w:color="auto" w:fill="auto"/>
            <w:noWrap/>
            <w:vAlign w:val="center"/>
          </w:tcPr>
          <w:p w14:paraId="0EEBDF2B" w14:textId="25F73F4E" w:rsidR="002F7500" w:rsidRPr="007434DA" w:rsidRDefault="009C2ABA" w:rsidP="004A57B3">
            <w:pPr>
              <w:jc w:val="right"/>
              <w:rPr>
                <w:rFonts w:eastAsia="Times New Roman" w:cs="Times New Roman"/>
                <w:color w:val="000000"/>
                <w:sz w:val="20"/>
                <w:szCs w:val="20"/>
                <w:lang w:val="cs-CZ" w:eastAsia="cs-CZ"/>
              </w:rPr>
            </w:pPr>
            <w:r>
              <w:rPr>
                <w:rFonts w:eastAsia="Times New Roman" w:cs="Times New Roman"/>
                <w:color w:val="000000"/>
                <w:sz w:val="20"/>
                <w:szCs w:val="20"/>
                <w:lang w:val="cs-CZ" w:eastAsia="cs-CZ"/>
              </w:rPr>
              <w:t>58,0</w:t>
            </w:r>
          </w:p>
        </w:tc>
      </w:tr>
      <w:tr w:rsidR="002F7500" w:rsidRPr="007434DA" w14:paraId="6B5385EE" w14:textId="77777777" w:rsidTr="002F7500">
        <w:trPr>
          <w:trHeight w:val="242"/>
        </w:trPr>
        <w:tc>
          <w:tcPr>
            <w:tcW w:w="1546" w:type="dxa"/>
            <w:shd w:val="clear" w:color="auto" w:fill="auto"/>
            <w:vAlign w:val="center"/>
            <w:hideMark/>
          </w:tcPr>
          <w:p w14:paraId="02D9C9F5" w14:textId="77777777" w:rsidR="002F7500" w:rsidRPr="007434DA" w:rsidRDefault="002F7500" w:rsidP="004A57B3">
            <w:pPr>
              <w:rPr>
                <w:rFonts w:eastAsia="Times New Roman" w:cs="Times New Roman"/>
                <w:b/>
                <w:bCs/>
                <w:color w:val="000000"/>
                <w:sz w:val="20"/>
                <w:szCs w:val="20"/>
                <w:lang w:val="cs-CZ" w:eastAsia="cs-CZ"/>
              </w:rPr>
            </w:pPr>
            <w:r w:rsidRPr="007434DA">
              <w:rPr>
                <w:rFonts w:eastAsia="Times New Roman" w:cs="Times New Roman"/>
                <w:b/>
                <w:bCs/>
                <w:color w:val="000000"/>
                <w:sz w:val="20"/>
                <w:szCs w:val="20"/>
                <w:lang w:val="cs-CZ" w:eastAsia="cs-CZ"/>
              </w:rPr>
              <w:t>Zelenina EZ</w:t>
            </w:r>
            <w:r w:rsidRPr="007434DA">
              <w:rPr>
                <w:rFonts w:eastAsia="Times New Roman" w:cs="Times New Roman"/>
                <w:color w:val="000000"/>
                <w:sz w:val="20"/>
                <w:szCs w:val="20"/>
                <w:lang w:val="cs-CZ" w:eastAsia="cs-CZ"/>
              </w:rPr>
              <w:t> </w:t>
            </w:r>
          </w:p>
        </w:tc>
        <w:tc>
          <w:tcPr>
            <w:tcW w:w="1374" w:type="dxa"/>
            <w:shd w:val="clear" w:color="auto" w:fill="auto"/>
            <w:noWrap/>
            <w:vAlign w:val="center"/>
            <w:hideMark/>
          </w:tcPr>
          <w:p w14:paraId="78257A0B" w14:textId="77777777" w:rsidR="002F7500" w:rsidRPr="007434DA" w:rsidRDefault="002F7500" w:rsidP="004A57B3">
            <w:pPr>
              <w:jc w:val="right"/>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2,6</w:t>
            </w:r>
          </w:p>
        </w:tc>
        <w:tc>
          <w:tcPr>
            <w:tcW w:w="1177" w:type="dxa"/>
            <w:shd w:val="clear" w:color="auto" w:fill="auto"/>
            <w:noWrap/>
            <w:vAlign w:val="center"/>
            <w:hideMark/>
          </w:tcPr>
          <w:p w14:paraId="50C7E11F" w14:textId="77777777" w:rsidR="002F7500" w:rsidRPr="007434DA" w:rsidRDefault="002F7500" w:rsidP="004A57B3">
            <w:pPr>
              <w:jc w:val="right"/>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1,9</w:t>
            </w:r>
          </w:p>
        </w:tc>
        <w:tc>
          <w:tcPr>
            <w:tcW w:w="1374" w:type="dxa"/>
            <w:shd w:val="clear" w:color="auto" w:fill="auto"/>
            <w:noWrap/>
            <w:vAlign w:val="center"/>
            <w:hideMark/>
          </w:tcPr>
          <w:p w14:paraId="1F144D09" w14:textId="77777777" w:rsidR="002F7500" w:rsidRPr="007434DA" w:rsidRDefault="002F7500" w:rsidP="004A57B3">
            <w:pPr>
              <w:jc w:val="right"/>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2,5</w:t>
            </w:r>
          </w:p>
        </w:tc>
        <w:tc>
          <w:tcPr>
            <w:tcW w:w="1177" w:type="dxa"/>
            <w:shd w:val="clear" w:color="auto" w:fill="auto"/>
            <w:noWrap/>
            <w:vAlign w:val="center"/>
            <w:hideMark/>
          </w:tcPr>
          <w:p w14:paraId="68DC25E3" w14:textId="77777777" w:rsidR="002F7500" w:rsidRPr="007434DA" w:rsidRDefault="002F7500" w:rsidP="004A57B3">
            <w:pPr>
              <w:jc w:val="right"/>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2,6</w:t>
            </w:r>
          </w:p>
        </w:tc>
        <w:tc>
          <w:tcPr>
            <w:tcW w:w="1181" w:type="dxa"/>
          </w:tcPr>
          <w:p w14:paraId="29570969" w14:textId="738D29A8" w:rsidR="002F7500" w:rsidRPr="007434DA" w:rsidRDefault="002F7500" w:rsidP="004A57B3">
            <w:pPr>
              <w:jc w:val="right"/>
              <w:rPr>
                <w:rFonts w:eastAsia="Times New Roman" w:cs="Times New Roman"/>
                <w:color w:val="000000"/>
                <w:sz w:val="20"/>
                <w:szCs w:val="20"/>
                <w:lang w:val="cs-CZ" w:eastAsia="cs-CZ"/>
              </w:rPr>
            </w:pPr>
            <w:r>
              <w:rPr>
                <w:rFonts w:eastAsia="Times New Roman" w:cs="Times New Roman"/>
                <w:color w:val="000000"/>
                <w:sz w:val="20"/>
                <w:szCs w:val="20"/>
                <w:lang w:val="cs-CZ" w:eastAsia="cs-CZ"/>
              </w:rPr>
              <w:t>3,4</w:t>
            </w:r>
          </w:p>
        </w:tc>
        <w:tc>
          <w:tcPr>
            <w:tcW w:w="1184" w:type="dxa"/>
            <w:shd w:val="clear" w:color="auto" w:fill="auto"/>
            <w:noWrap/>
            <w:vAlign w:val="center"/>
          </w:tcPr>
          <w:p w14:paraId="60A66A93" w14:textId="437E7FF0" w:rsidR="002F7500" w:rsidRPr="007434DA" w:rsidRDefault="002F7500" w:rsidP="004A57B3">
            <w:pPr>
              <w:jc w:val="right"/>
              <w:rPr>
                <w:rFonts w:eastAsia="Times New Roman" w:cs="Times New Roman"/>
                <w:color w:val="000000"/>
                <w:sz w:val="20"/>
                <w:szCs w:val="20"/>
                <w:lang w:val="cs-CZ" w:eastAsia="cs-CZ"/>
              </w:rPr>
            </w:pPr>
            <w:r>
              <w:rPr>
                <w:rFonts w:eastAsia="Times New Roman" w:cs="Times New Roman"/>
                <w:color w:val="000000"/>
                <w:sz w:val="20"/>
                <w:szCs w:val="20"/>
                <w:lang w:val="cs-CZ" w:eastAsia="cs-CZ"/>
              </w:rPr>
              <w:t>2,5</w:t>
            </w:r>
          </w:p>
        </w:tc>
      </w:tr>
    </w:tbl>
    <w:p w14:paraId="7E45F750" w14:textId="04213825" w:rsidR="00CB2594" w:rsidRPr="007434DA" w:rsidRDefault="00CB2594" w:rsidP="00F532EB">
      <w:pPr>
        <w:pStyle w:val="UZEIZdroj"/>
        <w:rPr>
          <w:color w:val="000000"/>
          <w:lang w:eastAsia="cs-CZ"/>
        </w:rPr>
      </w:pPr>
      <w:r w:rsidRPr="007434DA">
        <w:rPr>
          <w:lang w:eastAsia="cs-CZ"/>
        </w:rPr>
        <w:t>Pramen: Statistické šetření ekologického zemědělství (2015-20</w:t>
      </w:r>
      <w:r w:rsidR="002F7500">
        <w:rPr>
          <w:lang w:eastAsia="cs-CZ"/>
        </w:rPr>
        <w:t>20</w:t>
      </w:r>
      <w:r w:rsidRPr="007434DA">
        <w:rPr>
          <w:lang w:eastAsia="cs-CZ"/>
        </w:rPr>
        <w:t>),</w:t>
      </w:r>
      <w:r w:rsidR="00025202">
        <w:rPr>
          <w:lang w:eastAsia="cs-CZ"/>
        </w:rPr>
        <w:t xml:space="preserve"> </w:t>
      </w:r>
      <w:r w:rsidRPr="007434DA">
        <w:rPr>
          <w:lang w:eastAsia="cs-CZ"/>
        </w:rPr>
        <w:t>Situační a výhledová zpráva ovoce (2015</w:t>
      </w:r>
      <w:r w:rsidRPr="007434DA">
        <w:rPr>
          <w:lang w:eastAsia="cs-CZ"/>
        </w:rPr>
        <w:noBreakHyphen/>
        <w:t>20</w:t>
      </w:r>
      <w:r w:rsidR="002F7500">
        <w:rPr>
          <w:lang w:eastAsia="cs-CZ"/>
        </w:rPr>
        <w:t>20</w:t>
      </w:r>
      <w:r w:rsidRPr="007434DA">
        <w:rPr>
          <w:lang w:eastAsia="cs-CZ"/>
        </w:rPr>
        <w:t>)</w:t>
      </w:r>
    </w:p>
    <w:p w14:paraId="3F7889A3" w14:textId="73CBB70C" w:rsidR="00CB2594" w:rsidRPr="007434DA" w:rsidRDefault="00CB2594" w:rsidP="00F532EB">
      <w:pPr>
        <w:pStyle w:val="UZEINormaln"/>
      </w:pPr>
      <w:bookmarkStart w:id="98" w:name="_Hlk522104827"/>
      <w:r w:rsidRPr="007434DA">
        <w:t>Podíl ploch vybraných plodin zařazených v ekologickém zemědělství na celkové pěstební ploše plodin v ČR za roky 2015-</w:t>
      </w:r>
      <w:r w:rsidR="00CF4ABF" w:rsidRPr="007434DA">
        <w:t>20</w:t>
      </w:r>
      <w:r w:rsidR="00CF4ABF">
        <w:t>20</w:t>
      </w:r>
      <w:r w:rsidR="00CF4ABF" w:rsidRPr="007434DA">
        <w:t xml:space="preserve"> </w:t>
      </w:r>
      <w:r w:rsidRPr="007434DA">
        <w:t xml:space="preserve">je znázorněn v tab. č. </w:t>
      </w:r>
      <w:r w:rsidR="00F532EB" w:rsidRPr="007434DA">
        <w:t>3</w:t>
      </w:r>
      <w:r w:rsidRPr="007434DA">
        <w:t>. V průměru nejvyšší za hodnocené období byl uveden u kategorie LAKR (</w:t>
      </w:r>
      <w:r w:rsidR="00C96A11">
        <w:t>34</w:t>
      </w:r>
      <w:r w:rsidRPr="007434DA">
        <w:t xml:space="preserve"> %) a kategorie ovocné sady (2</w:t>
      </w:r>
      <w:r w:rsidR="009C2ABA">
        <w:t>3</w:t>
      </w:r>
      <w:r w:rsidRPr="007434DA">
        <w:t> %). Naproti tomu téměř zanedbatelný podíl plochy v EZ v porovnání s celkovou pěstební plochou vykazovaly v průměru let 2015</w:t>
      </w:r>
      <w:r w:rsidRPr="007434DA">
        <w:noBreakHyphen/>
        <w:t>20</w:t>
      </w:r>
      <w:r w:rsidR="009C2ABA">
        <w:t>20</w:t>
      </w:r>
      <w:r w:rsidRPr="007434DA">
        <w:t xml:space="preserve"> okopaniny (0,</w:t>
      </w:r>
      <w:r w:rsidR="009C2ABA">
        <w:t>4</w:t>
      </w:r>
      <w:r w:rsidRPr="007434DA">
        <w:t> %) a olejniny (0,</w:t>
      </w:r>
      <w:r w:rsidR="00C96A11">
        <w:t>5</w:t>
      </w:r>
      <w:r w:rsidR="00C96A11" w:rsidRPr="007434DA">
        <w:t> </w:t>
      </w:r>
      <w:r w:rsidRPr="007434DA">
        <w:t>%).</w:t>
      </w:r>
    </w:p>
    <w:p w14:paraId="0E4513ED" w14:textId="693A2EC2" w:rsidR="00CB2594" w:rsidRPr="007434DA" w:rsidRDefault="00CB2594" w:rsidP="00F532EB">
      <w:pPr>
        <w:pStyle w:val="UZEITaB"/>
        <w:ind w:left="1134" w:hanging="1134"/>
      </w:pPr>
      <w:bookmarkStart w:id="99" w:name="_Toc94095276"/>
      <w:r w:rsidRPr="007434DA">
        <w:t xml:space="preserve">Podíl plochy zařazené v ekologickém zemědělství na celkové ploše plodin v ČR v letech </w:t>
      </w:r>
      <w:r w:rsidR="00F532EB" w:rsidRPr="007434DA">
        <w:t xml:space="preserve"> </w:t>
      </w:r>
      <w:r w:rsidRPr="007434DA">
        <w:t>2015 - 20</w:t>
      </w:r>
      <w:r w:rsidR="002F7500">
        <w:t>20</w:t>
      </w:r>
      <w:r w:rsidRPr="007434DA">
        <w:t xml:space="preserve"> (%)</w:t>
      </w:r>
      <w:bookmarkEnd w:id="99"/>
    </w:p>
    <w:tbl>
      <w:tblPr>
        <w:tblW w:w="9074" w:type="dxa"/>
        <w:tblCellMar>
          <w:left w:w="70" w:type="dxa"/>
          <w:right w:w="70" w:type="dxa"/>
        </w:tblCellMar>
        <w:tblLook w:val="04A0" w:firstRow="1" w:lastRow="0" w:firstColumn="1" w:lastColumn="0" w:noHBand="0" w:noVBand="1"/>
      </w:tblPr>
      <w:tblGrid>
        <w:gridCol w:w="1993"/>
        <w:gridCol w:w="1040"/>
        <w:gridCol w:w="1365"/>
        <w:gridCol w:w="1212"/>
        <w:gridCol w:w="1040"/>
        <w:gridCol w:w="1212"/>
        <w:gridCol w:w="1212"/>
      </w:tblGrid>
      <w:tr w:rsidR="00C57582" w:rsidRPr="007434DA" w14:paraId="18933923" w14:textId="5944F200" w:rsidTr="00B077FB">
        <w:trPr>
          <w:trHeight w:val="285"/>
        </w:trPr>
        <w:tc>
          <w:tcPr>
            <w:tcW w:w="1993" w:type="dxa"/>
            <w:tcBorders>
              <w:top w:val="double" w:sz="4" w:space="0" w:color="auto"/>
              <w:left w:val="double" w:sz="4" w:space="0" w:color="auto"/>
              <w:bottom w:val="single" w:sz="12" w:space="0" w:color="auto"/>
              <w:right w:val="single" w:sz="12" w:space="0" w:color="auto"/>
            </w:tcBorders>
            <w:shd w:val="clear" w:color="auto" w:fill="auto"/>
            <w:noWrap/>
            <w:vAlign w:val="center"/>
            <w:hideMark/>
          </w:tcPr>
          <w:p w14:paraId="0B1A192F" w14:textId="77777777" w:rsidR="00C57582" w:rsidRPr="007434DA" w:rsidRDefault="00C57582" w:rsidP="004A57B3">
            <w:pPr>
              <w:rPr>
                <w:rFonts w:eastAsia="Times New Roman" w:cs="Times New Roman"/>
                <w:b/>
                <w:bCs/>
                <w:sz w:val="20"/>
                <w:szCs w:val="20"/>
                <w:lang w:val="cs-CZ" w:eastAsia="cs-CZ"/>
              </w:rPr>
            </w:pPr>
            <w:r w:rsidRPr="007434DA">
              <w:rPr>
                <w:rFonts w:eastAsia="Times New Roman" w:cs="Times New Roman"/>
                <w:b/>
                <w:bCs/>
                <w:sz w:val="20"/>
                <w:szCs w:val="20"/>
                <w:lang w:val="cs-CZ" w:eastAsia="cs-CZ"/>
              </w:rPr>
              <w:t> Ukazatel</w:t>
            </w:r>
          </w:p>
        </w:tc>
        <w:tc>
          <w:tcPr>
            <w:tcW w:w="1040" w:type="dxa"/>
            <w:tcBorders>
              <w:top w:val="double" w:sz="4" w:space="0" w:color="auto"/>
              <w:left w:val="single" w:sz="12" w:space="0" w:color="auto"/>
              <w:bottom w:val="single" w:sz="12" w:space="0" w:color="auto"/>
              <w:right w:val="single" w:sz="4" w:space="0" w:color="auto"/>
            </w:tcBorders>
            <w:shd w:val="clear" w:color="auto" w:fill="auto"/>
            <w:noWrap/>
            <w:vAlign w:val="center"/>
            <w:hideMark/>
          </w:tcPr>
          <w:p w14:paraId="0344C864" w14:textId="77777777" w:rsidR="00C57582" w:rsidRPr="007434DA" w:rsidRDefault="00C57582" w:rsidP="004A57B3">
            <w:pPr>
              <w:jc w:val="center"/>
              <w:rPr>
                <w:rFonts w:eastAsia="Times New Roman" w:cs="Times New Roman"/>
                <w:b/>
                <w:bCs/>
                <w:sz w:val="20"/>
                <w:szCs w:val="20"/>
                <w:lang w:val="cs-CZ" w:eastAsia="cs-CZ"/>
              </w:rPr>
            </w:pPr>
            <w:r w:rsidRPr="007434DA">
              <w:rPr>
                <w:rFonts w:eastAsia="Times New Roman" w:cs="Times New Roman"/>
                <w:b/>
                <w:bCs/>
                <w:sz w:val="20"/>
                <w:szCs w:val="20"/>
                <w:lang w:val="cs-CZ" w:eastAsia="cs-CZ"/>
              </w:rPr>
              <w:t>2015</w:t>
            </w:r>
          </w:p>
        </w:tc>
        <w:tc>
          <w:tcPr>
            <w:tcW w:w="1365" w:type="dxa"/>
            <w:tcBorders>
              <w:top w:val="double" w:sz="4" w:space="0" w:color="auto"/>
              <w:left w:val="nil"/>
              <w:bottom w:val="single" w:sz="12" w:space="0" w:color="auto"/>
              <w:right w:val="single" w:sz="4" w:space="0" w:color="auto"/>
            </w:tcBorders>
            <w:shd w:val="clear" w:color="auto" w:fill="auto"/>
            <w:noWrap/>
            <w:vAlign w:val="center"/>
            <w:hideMark/>
          </w:tcPr>
          <w:p w14:paraId="00C84D2B" w14:textId="77777777" w:rsidR="00C57582" w:rsidRPr="007434DA" w:rsidRDefault="00C57582" w:rsidP="004A57B3">
            <w:pPr>
              <w:jc w:val="center"/>
              <w:rPr>
                <w:rFonts w:eastAsia="Times New Roman" w:cs="Times New Roman"/>
                <w:b/>
                <w:bCs/>
                <w:sz w:val="20"/>
                <w:szCs w:val="20"/>
                <w:lang w:val="cs-CZ" w:eastAsia="cs-CZ"/>
              </w:rPr>
            </w:pPr>
            <w:r w:rsidRPr="007434DA">
              <w:rPr>
                <w:rFonts w:eastAsia="Times New Roman" w:cs="Times New Roman"/>
                <w:b/>
                <w:bCs/>
                <w:sz w:val="20"/>
                <w:szCs w:val="20"/>
                <w:lang w:val="cs-CZ" w:eastAsia="cs-CZ"/>
              </w:rPr>
              <w:t>2016</w:t>
            </w:r>
          </w:p>
        </w:tc>
        <w:tc>
          <w:tcPr>
            <w:tcW w:w="1212" w:type="dxa"/>
            <w:tcBorders>
              <w:top w:val="double" w:sz="4" w:space="0" w:color="auto"/>
              <w:left w:val="nil"/>
              <w:bottom w:val="single" w:sz="12" w:space="0" w:color="auto"/>
              <w:right w:val="single" w:sz="4" w:space="0" w:color="auto"/>
            </w:tcBorders>
            <w:shd w:val="clear" w:color="auto" w:fill="auto"/>
            <w:noWrap/>
            <w:vAlign w:val="center"/>
            <w:hideMark/>
          </w:tcPr>
          <w:p w14:paraId="1F451DE0" w14:textId="77777777" w:rsidR="00C57582" w:rsidRPr="007434DA" w:rsidRDefault="00C57582" w:rsidP="004A57B3">
            <w:pPr>
              <w:jc w:val="center"/>
              <w:rPr>
                <w:rFonts w:eastAsia="Times New Roman" w:cs="Times New Roman"/>
                <w:b/>
                <w:bCs/>
                <w:sz w:val="20"/>
                <w:szCs w:val="20"/>
                <w:lang w:val="cs-CZ" w:eastAsia="cs-CZ"/>
              </w:rPr>
            </w:pPr>
            <w:r w:rsidRPr="007434DA">
              <w:rPr>
                <w:rFonts w:eastAsia="Times New Roman" w:cs="Times New Roman"/>
                <w:b/>
                <w:bCs/>
                <w:sz w:val="20"/>
                <w:szCs w:val="20"/>
                <w:lang w:val="cs-CZ" w:eastAsia="cs-CZ"/>
              </w:rPr>
              <w:t>2017</w:t>
            </w:r>
          </w:p>
        </w:tc>
        <w:tc>
          <w:tcPr>
            <w:tcW w:w="1040" w:type="dxa"/>
            <w:tcBorders>
              <w:top w:val="double" w:sz="4" w:space="0" w:color="auto"/>
              <w:left w:val="nil"/>
              <w:bottom w:val="single" w:sz="12" w:space="0" w:color="auto"/>
              <w:right w:val="single" w:sz="4" w:space="0" w:color="auto"/>
            </w:tcBorders>
            <w:shd w:val="clear" w:color="auto" w:fill="auto"/>
            <w:noWrap/>
            <w:vAlign w:val="center"/>
            <w:hideMark/>
          </w:tcPr>
          <w:p w14:paraId="3997EE24" w14:textId="77777777" w:rsidR="00C57582" w:rsidRPr="007434DA" w:rsidRDefault="00C57582" w:rsidP="004A57B3">
            <w:pPr>
              <w:jc w:val="center"/>
              <w:rPr>
                <w:rFonts w:eastAsia="Times New Roman" w:cs="Times New Roman"/>
                <w:b/>
                <w:bCs/>
                <w:sz w:val="20"/>
                <w:szCs w:val="20"/>
                <w:lang w:val="cs-CZ" w:eastAsia="cs-CZ"/>
              </w:rPr>
            </w:pPr>
            <w:r w:rsidRPr="007434DA">
              <w:rPr>
                <w:rFonts w:eastAsia="Times New Roman" w:cs="Times New Roman"/>
                <w:b/>
                <w:bCs/>
                <w:sz w:val="20"/>
                <w:szCs w:val="20"/>
                <w:lang w:val="cs-CZ" w:eastAsia="cs-CZ"/>
              </w:rPr>
              <w:t>2018</w:t>
            </w:r>
          </w:p>
        </w:tc>
        <w:tc>
          <w:tcPr>
            <w:tcW w:w="1212" w:type="dxa"/>
            <w:tcBorders>
              <w:top w:val="double" w:sz="4" w:space="0" w:color="auto"/>
              <w:left w:val="nil"/>
              <w:bottom w:val="single" w:sz="12" w:space="0" w:color="auto"/>
              <w:right w:val="single" w:sz="4" w:space="0" w:color="auto"/>
            </w:tcBorders>
            <w:shd w:val="clear" w:color="auto" w:fill="auto"/>
            <w:noWrap/>
            <w:vAlign w:val="center"/>
            <w:hideMark/>
          </w:tcPr>
          <w:p w14:paraId="1497A4A0" w14:textId="77777777" w:rsidR="00C57582" w:rsidRPr="007434DA" w:rsidRDefault="00C57582" w:rsidP="004A57B3">
            <w:pPr>
              <w:jc w:val="center"/>
              <w:rPr>
                <w:rFonts w:eastAsia="Times New Roman" w:cs="Times New Roman"/>
                <w:b/>
                <w:bCs/>
                <w:sz w:val="20"/>
                <w:szCs w:val="20"/>
                <w:lang w:val="cs-CZ" w:eastAsia="cs-CZ"/>
              </w:rPr>
            </w:pPr>
            <w:r w:rsidRPr="007434DA">
              <w:rPr>
                <w:rFonts w:eastAsia="Times New Roman" w:cs="Times New Roman"/>
                <w:b/>
                <w:bCs/>
                <w:sz w:val="20"/>
                <w:szCs w:val="20"/>
                <w:lang w:val="cs-CZ" w:eastAsia="cs-CZ"/>
              </w:rPr>
              <w:t>2019</w:t>
            </w:r>
          </w:p>
        </w:tc>
        <w:tc>
          <w:tcPr>
            <w:tcW w:w="1212" w:type="dxa"/>
            <w:tcBorders>
              <w:top w:val="double" w:sz="4" w:space="0" w:color="auto"/>
              <w:left w:val="single" w:sz="4" w:space="0" w:color="auto"/>
              <w:bottom w:val="single" w:sz="12" w:space="0" w:color="auto"/>
              <w:right w:val="double" w:sz="4" w:space="0" w:color="auto"/>
            </w:tcBorders>
          </w:tcPr>
          <w:p w14:paraId="4504D213" w14:textId="71DFF27D" w:rsidR="00C57582" w:rsidRPr="007434DA" w:rsidRDefault="00C57582" w:rsidP="004A57B3">
            <w:pPr>
              <w:jc w:val="center"/>
              <w:rPr>
                <w:rFonts w:eastAsia="Times New Roman" w:cs="Times New Roman"/>
                <w:b/>
                <w:bCs/>
                <w:sz w:val="20"/>
                <w:szCs w:val="20"/>
                <w:lang w:val="cs-CZ" w:eastAsia="cs-CZ"/>
              </w:rPr>
            </w:pPr>
            <w:r>
              <w:rPr>
                <w:rFonts w:eastAsia="Times New Roman" w:cs="Times New Roman"/>
                <w:b/>
                <w:bCs/>
                <w:sz w:val="20"/>
                <w:szCs w:val="20"/>
                <w:lang w:val="cs-CZ" w:eastAsia="cs-CZ"/>
              </w:rPr>
              <w:t>2020</w:t>
            </w:r>
          </w:p>
        </w:tc>
      </w:tr>
      <w:tr w:rsidR="00C57582" w:rsidRPr="007434DA" w14:paraId="245AA0AD" w14:textId="64FC0834" w:rsidTr="00B077FB">
        <w:trPr>
          <w:trHeight w:val="285"/>
        </w:trPr>
        <w:tc>
          <w:tcPr>
            <w:tcW w:w="1993" w:type="dxa"/>
            <w:tcBorders>
              <w:top w:val="single" w:sz="12" w:space="0" w:color="auto"/>
              <w:left w:val="double" w:sz="4" w:space="0" w:color="auto"/>
              <w:bottom w:val="single" w:sz="4" w:space="0" w:color="auto"/>
              <w:right w:val="single" w:sz="12" w:space="0" w:color="auto"/>
            </w:tcBorders>
            <w:shd w:val="clear" w:color="auto" w:fill="auto"/>
            <w:noWrap/>
            <w:vAlign w:val="center"/>
            <w:hideMark/>
          </w:tcPr>
          <w:p w14:paraId="6303B13B" w14:textId="77777777" w:rsidR="00C57582" w:rsidRPr="007434DA" w:rsidRDefault="00C57582" w:rsidP="004A57B3">
            <w:pPr>
              <w:rPr>
                <w:rFonts w:eastAsia="Times New Roman" w:cs="Times New Roman"/>
                <w:b/>
                <w:bCs/>
                <w:sz w:val="20"/>
                <w:szCs w:val="20"/>
                <w:lang w:val="cs-CZ" w:eastAsia="cs-CZ"/>
              </w:rPr>
            </w:pPr>
            <w:r w:rsidRPr="007434DA">
              <w:rPr>
                <w:rFonts w:eastAsia="Times New Roman" w:cs="Times New Roman"/>
                <w:b/>
                <w:bCs/>
                <w:sz w:val="20"/>
                <w:szCs w:val="20"/>
                <w:lang w:val="cs-CZ" w:eastAsia="cs-CZ"/>
              </w:rPr>
              <w:t>Obiloviny</w:t>
            </w:r>
          </w:p>
        </w:tc>
        <w:tc>
          <w:tcPr>
            <w:tcW w:w="1040" w:type="dxa"/>
            <w:tcBorders>
              <w:top w:val="single" w:sz="12" w:space="0" w:color="auto"/>
              <w:left w:val="single" w:sz="12" w:space="0" w:color="auto"/>
              <w:bottom w:val="single" w:sz="4" w:space="0" w:color="auto"/>
              <w:right w:val="single" w:sz="4" w:space="0" w:color="auto"/>
            </w:tcBorders>
            <w:shd w:val="clear" w:color="auto" w:fill="auto"/>
            <w:noWrap/>
            <w:vAlign w:val="center"/>
            <w:hideMark/>
          </w:tcPr>
          <w:p w14:paraId="1FB30325" w14:textId="77777777" w:rsidR="00C57582" w:rsidRPr="007434DA" w:rsidRDefault="00C57582" w:rsidP="00F532EB">
            <w:pPr>
              <w:jc w:val="center"/>
              <w:rPr>
                <w:rFonts w:eastAsia="Times New Roman" w:cs="Times New Roman"/>
                <w:sz w:val="20"/>
                <w:szCs w:val="20"/>
                <w:lang w:val="cs-CZ" w:eastAsia="cs-CZ"/>
              </w:rPr>
            </w:pPr>
            <w:r w:rsidRPr="007434DA">
              <w:rPr>
                <w:rFonts w:eastAsia="Times New Roman" w:cs="Times New Roman"/>
                <w:sz w:val="20"/>
                <w:szCs w:val="20"/>
                <w:lang w:val="cs-CZ" w:eastAsia="cs-CZ"/>
              </w:rPr>
              <w:t>2,01</w:t>
            </w:r>
          </w:p>
        </w:tc>
        <w:tc>
          <w:tcPr>
            <w:tcW w:w="1365" w:type="dxa"/>
            <w:tcBorders>
              <w:top w:val="single" w:sz="12" w:space="0" w:color="auto"/>
              <w:left w:val="nil"/>
              <w:bottom w:val="single" w:sz="4" w:space="0" w:color="auto"/>
              <w:right w:val="single" w:sz="4" w:space="0" w:color="auto"/>
            </w:tcBorders>
            <w:shd w:val="clear" w:color="auto" w:fill="auto"/>
            <w:noWrap/>
            <w:vAlign w:val="center"/>
            <w:hideMark/>
          </w:tcPr>
          <w:p w14:paraId="318C6CB2" w14:textId="77777777" w:rsidR="00C57582" w:rsidRPr="007434DA" w:rsidRDefault="00C57582" w:rsidP="00F532EB">
            <w:pPr>
              <w:jc w:val="center"/>
              <w:rPr>
                <w:rFonts w:eastAsia="Times New Roman" w:cs="Times New Roman"/>
                <w:sz w:val="20"/>
                <w:szCs w:val="20"/>
                <w:lang w:val="cs-CZ" w:eastAsia="cs-CZ"/>
              </w:rPr>
            </w:pPr>
            <w:r w:rsidRPr="007434DA">
              <w:rPr>
                <w:rFonts w:eastAsia="Times New Roman" w:cs="Times New Roman"/>
                <w:sz w:val="20"/>
                <w:szCs w:val="20"/>
                <w:lang w:val="cs-CZ" w:eastAsia="cs-CZ"/>
              </w:rPr>
              <w:t>2,03</w:t>
            </w:r>
          </w:p>
        </w:tc>
        <w:tc>
          <w:tcPr>
            <w:tcW w:w="1212" w:type="dxa"/>
            <w:tcBorders>
              <w:top w:val="single" w:sz="12" w:space="0" w:color="auto"/>
              <w:left w:val="nil"/>
              <w:bottom w:val="single" w:sz="4" w:space="0" w:color="auto"/>
              <w:right w:val="single" w:sz="4" w:space="0" w:color="auto"/>
            </w:tcBorders>
            <w:shd w:val="clear" w:color="auto" w:fill="auto"/>
            <w:noWrap/>
            <w:vAlign w:val="center"/>
            <w:hideMark/>
          </w:tcPr>
          <w:p w14:paraId="7332C2BA" w14:textId="77777777" w:rsidR="00C57582" w:rsidRPr="007434DA" w:rsidRDefault="00C57582" w:rsidP="00F532EB">
            <w:pPr>
              <w:jc w:val="center"/>
              <w:rPr>
                <w:rFonts w:eastAsia="Times New Roman" w:cs="Times New Roman"/>
                <w:sz w:val="20"/>
                <w:szCs w:val="20"/>
                <w:lang w:val="cs-CZ" w:eastAsia="cs-CZ"/>
              </w:rPr>
            </w:pPr>
            <w:r w:rsidRPr="007434DA">
              <w:rPr>
                <w:rFonts w:eastAsia="Times New Roman" w:cs="Times New Roman"/>
                <w:sz w:val="20"/>
                <w:szCs w:val="20"/>
                <w:lang w:val="cs-CZ" w:eastAsia="cs-CZ"/>
              </w:rPr>
              <w:t>2,18</w:t>
            </w:r>
          </w:p>
        </w:tc>
        <w:tc>
          <w:tcPr>
            <w:tcW w:w="1040" w:type="dxa"/>
            <w:tcBorders>
              <w:top w:val="single" w:sz="12" w:space="0" w:color="auto"/>
              <w:left w:val="nil"/>
              <w:bottom w:val="single" w:sz="4" w:space="0" w:color="auto"/>
              <w:right w:val="single" w:sz="4" w:space="0" w:color="auto"/>
            </w:tcBorders>
            <w:shd w:val="clear" w:color="auto" w:fill="auto"/>
            <w:noWrap/>
            <w:vAlign w:val="center"/>
            <w:hideMark/>
          </w:tcPr>
          <w:p w14:paraId="7D654025" w14:textId="77777777" w:rsidR="00C57582" w:rsidRPr="007434DA" w:rsidRDefault="00C57582" w:rsidP="00F532EB">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2,65</w:t>
            </w:r>
          </w:p>
        </w:tc>
        <w:tc>
          <w:tcPr>
            <w:tcW w:w="1212" w:type="dxa"/>
            <w:tcBorders>
              <w:top w:val="single" w:sz="12" w:space="0" w:color="auto"/>
              <w:left w:val="nil"/>
              <w:bottom w:val="single" w:sz="4" w:space="0" w:color="auto"/>
              <w:right w:val="single" w:sz="4" w:space="0" w:color="auto"/>
            </w:tcBorders>
            <w:shd w:val="clear" w:color="auto" w:fill="auto"/>
            <w:noWrap/>
            <w:vAlign w:val="center"/>
            <w:hideMark/>
          </w:tcPr>
          <w:p w14:paraId="305ABEE8" w14:textId="77777777" w:rsidR="00C57582" w:rsidRPr="007434DA" w:rsidRDefault="00C57582" w:rsidP="00F532EB">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3,02</w:t>
            </w:r>
          </w:p>
        </w:tc>
        <w:tc>
          <w:tcPr>
            <w:tcW w:w="1212" w:type="dxa"/>
            <w:tcBorders>
              <w:top w:val="single" w:sz="12" w:space="0" w:color="auto"/>
              <w:left w:val="single" w:sz="4" w:space="0" w:color="auto"/>
              <w:bottom w:val="single" w:sz="4" w:space="0" w:color="auto"/>
              <w:right w:val="double" w:sz="4" w:space="0" w:color="auto"/>
            </w:tcBorders>
          </w:tcPr>
          <w:p w14:paraId="33D3A2E9" w14:textId="7D6926AA" w:rsidR="00C57582" w:rsidRPr="007434DA" w:rsidRDefault="00C57582" w:rsidP="00F532EB">
            <w:pPr>
              <w:jc w:val="center"/>
              <w:rPr>
                <w:rFonts w:eastAsia="Times New Roman" w:cs="Times New Roman"/>
                <w:color w:val="000000"/>
                <w:sz w:val="20"/>
                <w:szCs w:val="20"/>
                <w:lang w:val="cs-CZ" w:eastAsia="cs-CZ"/>
              </w:rPr>
            </w:pPr>
            <w:r>
              <w:rPr>
                <w:rFonts w:eastAsia="Times New Roman" w:cs="Times New Roman"/>
                <w:color w:val="000000"/>
                <w:sz w:val="20"/>
                <w:szCs w:val="20"/>
                <w:lang w:val="cs-CZ" w:eastAsia="cs-CZ"/>
              </w:rPr>
              <w:t>2,96</w:t>
            </w:r>
          </w:p>
        </w:tc>
      </w:tr>
      <w:tr w:rsidR="00C57582" w:rsidRPr="007434DA" w14:paraId="45FA8C60" w14:textId="591D8D53" w:rsidTr="00B077FB">
        <w:trPr>
          <w:trHeight w:val="285"/>
        </w:trPr>
        <w:tc>
          <w:tcPr>
            <w:tcW w:w="1993" w:type="dxa"/>
            <w:tcBorders>
              <w:top w:val="nil"/>
              <w:left w:val="double" w:sz="4" w:space="0" w:color="auto"/>
              <w:bottom w:val="single" w:sz="4" w:space="0" w:color="auto"/>
              <w:right w:val="single" w:sz="12" w:space="0" w:color="auto"/>
            </w:tcBorders>
            <w:shd w:val="clear" w:color="auto" w:fill="auto"/>
            <w:noWrap/>
            <w:vAlign w:val="center"/>
            <w:hideMark/>
          </w:tcPr>
          <w:p w14:paraId="43D2D0E2" w14:textId="77777777" w:rsidR="00C57582" w:rsidRPr="007434DA" w:rsidRDefault="00C57582" w:rsidP="004A57B3">
            <w:pPr>
              <w:rPr>
                <w:rFonts w:eastAsia="Times New Roman" w:cs="Times New Roman"/>
                <w:b/>
                <w:bCs/>
                <w:sz w:val="20"/>
                <w:szCs w:val="20"/>
                <w:lang w:val="cs-CZ" w:eastAsia="cs-CZ"/>
              </w:rPr>
            </w:pPr>
            <w:r w:rsidRPr="007434DA">
              <w:rPr>
                <w:rFonts w:eastAsia="Times New Roman" w:cs="Times New Roman"/>
                <w:b/>
                <w:bCs/>
                <w:sz w:val="20"/>
                <w:szCs w:val="20"/>
                <w:lang w:val="cs-CZ" w:eastAsia="cs-CZ"/>
              </w:rPr>
              <w:t>Luskoviny na zrno</w:t>
            </w:r>
          </w:p>
        </w:tc>
        <w:tc>
          <w:tcPr>
            <w:tcW w:w="1040" w:type="dxa"/>
            <w:tcBorders>
              <w:top w:val="nil"/>
              <w:left w:val="single" w:sz="12" w:space="0" w:color="auto"/>
              <w:bottom w:val="single" w:sz="4" w:space="0" w:color="auto"/>
              <w:right w:val="single" w:sz="4" w:space="0" w:color="auto"/>
            </w:tcBorders>
            <w:shd w:val="clear" w:color="auto" w:fill="auto"/>
            <w:noWrap/>
            <w:vAlign w:val="center"/>
            <w:hideMark/>
          </w:tcPr>
          <w:p w14:paraId="09A4453F" w14:textId="77777777" w:rsidR="00C57582" w:rsidRPr="007434DA" w:rsidRDefault="00C57582" w:rsidP="00F532EB">
            <w:pPr>
              <w:jc w:val="center"/>
              <w:rPr>
                <w:rFonts w:eastAsia="Times New Roman" w:cs="Times New Roman"/>
                <w:sz w:val="20"/>
                <w:szCs w:val="20"/>
                <w:lang w:val="cs-CZ" w:eastAsia="cs-CZ"/>
              </w:rPr>
            </w:pPr>
            <w:r w:rsidRPr="007434DA">
              <w:rPr>
                <w:rFonts w:eastAsia="Times New Roman" w:cs="Times New Roman"/>
                <w:sz w:val="20"/>
                <w:szCs w:val="20"/>
                <w:lang w:val="cs-CZ" w:eastAsia="cs-CZ"/>
              </w:rPr>
              <w:t>6,94</w:t>
            </w:r>
          </w:p>
        </w:tc>
        <w:tc>
          <w:tcPr>
            <w:tcW w:w="1365" w:type="dxa"/>
            <w:tcBorders>
              <w:top w:val="nil"/>
              <w:left w:val="nil"/>
              <w:bottom w:val="single" w:sz="4" w:space="0" w:color="auto"/>
              <w:right w:val="single" w:sz="4" w:space="0" w:color="auto"/>
            </w:tcBorders>
            <w:shd w:val="clear" w:color="auto" w:fill="auto"/>
            <w:noWrap/>
            <w:vAlign w:val="center"/>
            <w:hideMark/>
          </w:tcPr>
          <w:p w14:paraId="7E013EE0" w14:textId="77777777" w:rsidR="00C57582" w:rsidRPr="007434DA" w:rsidRDefault="00C57582" w:rsidP="00F532EB">
            <w:pPr>
              <w:jc w:val="center"/>
              <w:rPr>
                <w:rFonts w:eastAsia="Times New Roman" w:cs="Times New Roman"/>
                <w:sz w:val="20"/>
                <w:szCs w:val="20"/>
                <w:lang w:val="cs-CZ" w:eastAsia="cs-CZ"/>
              </w:rPr>
            </w:pPr>
            <w:r w:rsidRPr="007434DA">
              <w:rPr>
                <w:rFonts w:eastAsia="Times New Roman" w:cs="Times New Roman"/>
                <w:sz w:val="20"/>
                <w:szCs w:val="20"/>
                <w:lang w:val="cs-CZ" w:eastAsia="cs-CZ"/>
              </w:rPr>
              <w:t>7,39</w:t>
            </w:r>
          </w:p>
        </w:tc>
        <w:tc>
          <w:tcPr>
            <w:tcW w:w="1212" w:type="dxa"/>
            <w:tcBorders>
              <w:top w:val="nil"/>
              <w:left w:val="nil"/>
              <w:bottom w:val="single" w:sz="4" w:space="0" w:color="auto"/>
              <w:right w:val="single" w:sz="4" w:space="0" w:color="auto"/>
            </w:tcBorders>
            <w:shd w:val="clear" w:color="auto" w:fill="auto"/>
            <w:noWrap/>
            <w:vAlign w:val="center"/>
            <w:hideMark/>
          </w:tcPr>
          <w:p w14:paraId="10D61209" w14:textId="77777777" w:rsidR="00C57582" w:rsidRPr="007434DA" w:rsidRDefault="00C57582" w:rsidP="00F532EB">
            <w:pPr>
              <w:jc w:val="center"/>
              <w:rPr>
                <w:rFonts w:eastAsia="Times New Roman" w:cs="Times New Roman"/>
                <w:sz w:val="20"/>
                <w:szCs w:val="20"/>
                <w:lang w:val="cs-CZ" w:eastAsia="cs-CZ"/>
              </w:rPr>
            </w:pPr>
            <w:r w:rsidRPr="007434DA">
              <w:rPr>
                <w:rFonts w:eastAsia="Times New Roman" w:cs="Times New Roman"/>
                <w:sz w:val="20"/>
                <w:szCs w:val="20"/>
                <w:lang w:val="cs-CZ" w:eastAsia="cs-CZ"/>
              </w:rPr>
              <w:t>8,06</w:t>
            </w:r>
          </w:p>
        </w:tc>
        <w:tc>
          <w:tcPr>
            <w:tcW w:w="1040" w:type="dxa"/>
            <w:tcBorders>
              <w:top w:val="nil"/>
              <w:left w:val="nil"/>
              <w:bottom w:val="single" w:sz="4" w:space="0" w:color="auto"/>
              <w:right w:val="single" w:sz="4" w:space="0" w:color="auto"/>
            </w:tcBorders>
            <w:shd w:val="clear" w:color="auto" w:fill="auto"/>
            <w:noWrap/>
            <w:vAlign w:val="center"/>
            <w:hideMark/>
          </w:tcPr>
          <w:p w14:paraId="7F7EA414" w14:textId="77777777" w:rsidR="00C57582" w:rsidRPr="007434DA" w:rsidRDefault="00C57582" w:rsidP="00F532EB">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11,04</w:t>
            </w:r>
          </w:p>
        </w:tc>
        <w:tc>
          <w:tcPr>
            <w:tcW w:w="1212" w:type="dxa"/>
            <w:tcBorders>
              <w:top w:val="single" w:sz="4" w:space="0" w:color="auto"/>
              <w:left w:val="nil"/>
              <w:bottom w:val="single" w:sz="4" w:space="0" w:color="auto"/>
              <w:right w:val="single" w:sz="4" w:space="0" w:color="auto"/>
            </w:tcBorders>
            <w:shd w:val="clear" w:color="auto" w:fill="auto"/>
            <w:noWrap/>
            <w:vAlign w:val="center"/>
            <w:hideMark/>
          </w:tcPr>
          <w:p w14:paraId="3869980A" w14:textId="77777777" w:rsidR="00C57582" w:rsidRPr="007434DA" w:rsidRDefault="00C57582" w:rsidP="00F532EB">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12,19</w:t>
            </w:r>
          </w:p>
        </w:tc>
        <w:tc>
          <w:tcPr>
            <w:tcW w:w="1212" w:type="dxa"/>
            <w:tcBorders>
              <w:top w:val="single" w:sz="4" w:space="0" w:color="auto"/>
              <w:left w:val="single" w:sz="4" w:space="0" w:color="auto"/>
              <w:bottom w:val="single" w:sz="4" w:space="0" w:color="auto"/>
              <w:right w:val="double" w:sz="4" w:space="0" w:color="auto"/>
            </w:tcBorders>
          </w:tcPr>
          <w:p w14:paraId="5DC38A55" w14:textId="63AF0AB9" w:rsidR="00C57582" w:rsidRPr="007434DA" w:rsidRDefault="00C57582" w:rsidP="00F532EB">
            <w:pPr>
              <w:jc w:val="center"/>
              <w:rPr>
                <w:rFonts w:eastAsia="Times New Roman" w:cs="Times New Roman"/>
                <w:color w:val="000000"/>
                <w:sz w:val="20"/>
                <w:szCs w:val="20"/>
                <w:lang w:val="cs-CZ" w:eastAsia="cs-CZ"/>
              </w:rPr>
            </w:pPr>
            <w:r>
              <w:rPr>
                <w:rFonts w:eastAsia="Times New Roman" w:cs="Times New Roman"/>
                <w:color w:val="000000"/>
                <w:sz w:val="20"/>
                <w:szCs w:val="20"/>
                <w:lang w:val="cs-CZ" w:eastAsia="cs-CZ"/>
              </w:rPr>
              <w:t>11,78</w:t>
            </w:r>
          </w:p>
        </w:tc>
      </w:tr>
      <w:tr w:rsidR="00C57582" w:rsidRPr="007434DA" w14:paraId="17B88490" w14:textId="319ECF46" w:rsidTr="00B077FB">
        <w:trPr>
          <w:trHeight w:val="285"/>
        </w:trPr>
        <w:tc>
          <w:tcPr>
            <w:tcW w:w="1993" w:type="dxa"/>
            <w:tcBorders>
              <w:top w:val="nil"/>
              <w:left w:val="double" w:sz="4" w:space="0" w:color="auto"/>
              <w:bottom w:val="single" w:sz="4" w:space="0" w:color="auto"/>
              <w:right w:val="single" w:sz="12" w:space="0" w:color="auto"/>
            </w:tcBorders>
            <w:shd w:val="clear" w:color="auto" w:fill="auto"/>
            <w:noWrap/>
            <w:vAlign w:val="center"/>
            <w:hideMark/>
          </w:tcPr>
          <w:p w14:paraId="37E8296D" w14:textId="77777777" w:rsidR="00C57582" w:rsidRPr="007434DA" w:rsidRDefault="00C57582" w:rsidP="004A57B3">
            <w:pPr>
              <w:rPr>
                <w:rFonts w:eastAsia="Times New Roman" w:cs="Times New Roman"/>
                <w:b/>
                <w:bCs/>
                <w:sz w:val="20"/>
                <w:szCs w:val="20"/>
                <w:lang w:val="cs-CZ" w:eastAsia="cs-CZ"/>
              </w:rPr>
            </w:pPr>
            <w:r w:rsidRPr="007434DA">
              <w:rPr>
                <w:rFonts w:eastAsia="Times New Roman" w:cs="Times New Roman"/>
                <w:b/>
                <w:bCs/>
                <w:sz w:val="20"/>
                <w:szCs w:val="20"/>
                <w:lang w:val="cs-CZ" w:eastAsia="cs-CZ"/>
              </w:rPr>
              <w:t>Okopaniny</w:t>
            </w:r>
          </w:p>
        </w:tc>
        <w:tc>
          <w:tcPr>
            <w:tcW w:w="1040" w:type="dxa"/>
            <w:tcBorders>
              <w:top w:val="nil"/>
              <w:left w:val="single" w:sz="12" w:space="0" w:color="auto"/>
              <w:bottom w:val="single" w:sz="4" w:space="0" w:color="auto"/>
              <w:right w:val="single" w:sz="4" w:space="0" w:color="auto"/>
            </w:tcBorders>
            <w:shd w:val="clear" w:color="auto" w:fill="auto"/>
            <w:noWrap/>
            <w:vAlign w:val="center"/>
            <w:hideMark/>
          </w:tcPr>
          <w:p w14:paraId="6089F950" w14:textId="77777777" w:rsidR="00C57582" w:rsidRPr="007434DA" w:rsidRDefault="00C57582" w:rsidP="00F532EB">
            <w:pPr>
              <w:jc w:val="center"/>
              <w:rPr>
                <w:rFonts w:eastAsia="Times New Roman" w:cs="Times New Roman"/>
                <w:sz w:val="20"/>
                <w:szCs w:val="20"/>
                <w:lang w:val="cs-CZ" w:eastAsia="cs-CZ"/>
              </w:rPr>
            </w:pPr>
            <w:r w:rsidRPr="007434DA">
              <w:rPr>
                <w:rFonts w:eastAsia="Times New Roman" w:cs="Times New Roman"/>
                <w:sz w:val="20"/>
                <w:szCs w:val="20"/>
                <w:lang w:val="cs-CZ" w:eastAsia="cs-CZ"/>
              </w:rPr>
              <w:t>0,31</w:t>
            </w:r>
          </w:p>
        </w:tc>
        <w:tc>
          <w:tcPr>
            <w:tcW w:w="1365" w:type="dxa"/>
            <w:tcBorders>
              <w:top w:val="nil"/>
              <w:left w:val="nil"/>
              <w:bottom w:val="single" w:sz="4" w:space="0" w:color="auto"/>
              <w:right w:val="single" w:sz="4" w:space="0" w:color="auto"/>
            </w:tcBorders>
            <w:shd w:val="clear" w:color="auto" w:fill="auto"/>
            <w:noWrap/>
            <w:vAlign w:val="center"/>
            <w:hideMark/>
          </w:tcPr>
          <w:p w14:paraId="282E4D2D" w14:textId="77777777" w:rsidR="00C57582" w:rsidRPr="007434DA" w:rsidRDefault="00C57582" w:rsidP="00F532EB">
            <w:pPr>
              <w:jc w:val="center"/>
              <w:rPr>
                <w:rFonts w:eastAsia="Times New Roman" w:cs="Times New Roman"/>
                <w:sz w:val="20"/>
                <w:szCs w:val="20"/>
                <w:lang w:val="cs-CZ" w:eastAsia="cs-CZ"/>
              </w:rPr>
            </w:pPr>
            <w:r w:rsidRPr="007434DA">
              <w:rPr>
                <w:rFonts w:eastAsia="Times New Roman" w:cs="Times New Roman"/>
                <w:sz w:val="20"/>
                <w:szCs w:val="20"/>
                <w:lang w:val="cs-CZ" w:eastAsia="cs-CZ"/>
              </w:rPr>
              <w:t>0,27</w:t>
            </w:r>
          </w:p>
        </w:tc>
        <w:tc>
          <w:tcPr>
            <w:tcW w:w="1212" w:type="dxa"/>
            <w:tcBorders>
              <w:top w:val="nil"/>
              <w:left w:val="nil"/>
              <w:bottom w:val="single" w:sz="4" w:space="0" w:color="auto"/>
              <w:right w:val="single" w:sz="4" w:space="0" w:color="auto"/>
            </w:tcBorders>
            <w:shd w:val="clear" w:color="auto" w:fill="auto"/>
            <w:noWrap/>
            <w:vAlign w:val="center"/>
            <w:hideMark/>
          </w:tcPr>
          <w:p w14:paraId="13538C65" w14:textId="77777777" w:rsidR="00C57582" w:rsidRPr="007434DA" w:rsidRDefault="00C57582" w:rsidP="00F532EB">
            <w:pPr>
              <w:jc w:val="center"/>
              <w:rPr>
                <w:rFonts w:eastAsia="Times New Roman" w:cs="Times New Roman"/>
                <w:sz w:val="20"/>
                <w:szCs w:val="20"/>
                <w:lang w:val="cs-CZ" w:eastAsia="cs-CZ"/>
              </w:rPr>
            </w:pPr>
            <w:r w:rsidRPr="007434DA">
              <w:rPr>
                <w:rFonts w:eastAsia="Times New Roman" w:cs="Times New Roman"/>
                <w:sz w:val="20"/>
                <w:szCs w:val="20"/>
                <w:lang w:val="cs-CZ" w:eastAsia="cs-CZ"/>
              </w:rPr>
              <w:t>0,32</w:t>
            </w:r>
          </w:p>
        </w:tc>
        <w:tc>
          <w:tcPr>
            <w:tcW w:w="1040" w:type="dxa"/>
            <w:tcBorders>
              <w:top w:val="nil"/>
              <w:left w:val="nil"/>
              <w:bottom w:val="single" w:sz="4" w:space="0" w:color="auto"/>
              <w:right w:val="single" w:sz="4" w:space="0" w:color="auto"/>
            </w:tcBorders>
            <w:shd w:val="clear" w:color="auto" w:fill="auto"/>
            <w:noWrap/>
            <w:vAlign w:val="center"/>
            <w:hideMark/>
          </w:tcPr>
          <w:p w14:paraId="073DB864" w14:textId="77777777" w:rsidR="00C57582" w:rsidRPr="007434DA" w:rsidRDefault="00C57582" w:rsidP="00F532EB">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0,35</w:t>
            </w:r>
          </w:p>
        </w:tc>
        <w:tc>
          <w:tcPr>
            <w:tcW w:w="1212" w:type="dxa"/>
            <w:tcBorders>
              <w:top w:val="single" w:sz="4" w:space="0" w:color="auto"/>
              <w:left w:val="nil"/>
              <w:bottom w:val="single" w:sz="4" w:space="0" w:color="auto"/>
              <w:right w:val="single" w:sz="4" w:space="0" w:color="auto"/>
            </w:tcBorders>
            <w:shd w:val="clear" w:color="auto" w:fill="auto"/>
            <w:noWrap/>
            <w:vAlign w:val="center"/>
            <w:hideMark/>
          </w:tcPr>
          <w:p w14:paraId="65D7828F" w14:textId="77777777" w:rsidR="00C57582" w:rsidRPr="007434DA" w:rsidRDefault="00C57582" w:rsidP="00F532EB">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0,45</w:t>
            </w:r>
          </w:p>
        </w:tc>
        <w:tc>
          <w:tcPr>
            <w:tcW w:w="1212" w:type="dxa"/>
            <w:tcBorders>
              <w:top w:val="single" w:sz="4" w:space="0" w:color="auto"/>
              <w:left w:val="single" w:sz="4" w:space="0" w:color="auto"/>
              <w:bottom w:val="single" w:sz="4" w:space="0" w:color="auto"/>
              <w:right w:val="double" w:sz="4" w:space="0" w:color="auto"/>
            </w:tcBorders>
          </w:tcPr>
          <w:p w14:paraId="34827597" w14:textId="6CC57D95" w:rsidR="00C57582" w:rsidRPr="007434DA" w:rsidRDefault="00B077FB" w:rsidP="00F532EB">
            <w:pPr>
              <w:jc w:val="center"/>
              <w:rPr>
                <w:rFonts w:eastAsia="Times New Roman" w:cs="Times New Roman"/>
                <w:color w:val="000000"/>
                <w:sz w:val="20"/>
                <w:szCs w:val="20"/>
                <w:lang w:val="cs-CZ" w:eastAsia="cs-CZ"/>
              </w:rPr>
            </w:pPr>
            <w:r>
              <w:rPr>
                <w:rFonts w:eastAsia="Times New Roman" w:cs="Times New Roman"/>
                <w:color w:val="000000"/>
                <w:sz w:val="20"/>
                <w:szCs w:val="20"/>
                <w:lang w:val="cs-CZ" w:eastAsia="cs-CZ"/>
              </w:rPr>
              <w:t>0,45</w:t>
            </w:r>
          </w:p>
        </w:tc>
      </w:tr>
      <w:tr w:rsidR="00C57582" w:rsidRPr="007434DA" w14:paraId="54642721" w14:textId="0BE5EE70" w:rsidTr="00B077FB">
        <w:trPr>
          <w:trHeight w:val="285"/>
        </w:trPr>
        <w:tc>
          <w:tcPr>
            <w:tcW w:w="1993" w:type="dxa"/>
            <w:tcBorders>
              <w:top w:val="nil"/>
              <w:left w:val="double" w:sz="4" w:space="0" w:color="auto"/>
              <w:bottom w:val="single" w:sz="4" w:space="0" w:color="auto"/>
              <w:right w:val="single" w:sz="12" w:space="0" w:color="auto"/>
            </w:tcBorders>
            <w:shd w:val="clear" w:color="auto" w:fill="auto"/>
            <w:noWrap/>
            <w:vAlign w:val="center"/>
            <w:hideMark/>
          </w:tcPr>
          <w:p w14:paraId="1CC24F46" w14:textId="77777777" w:rsidR="00C57582" w:rsidRPr="007434DA" w:rsidRDefault="00C57582" w:rsidP="004A57B3">
            <w:pPr>
              <w:rPr>
                <w:rFonts w:eastAsia="Times New Roman" w:cs="Times New Roman"/>
                <w:b/>
                <w:bCs/>
                <w:sz w:val="20"/>
                <w:szCs w:val="20"/>
                <w:lang w:val="cs-CZ" w:eastAsia="cs-CZ"/>
              </w:rPr>
            </w:pPr>
            <w:r w:rsidRPr="007434DA">
              <w:rPr>
                <w:rFonts w:eastAsia="Times New Roman" w:cs="Times New Roman"/>
                <w:b/>
                <w:bCs/>
                <w:sz w:val="20"/>
                <w:szCs w:val="20"/>
                <w:lang w:val="cs-CZ" w:eastAsia="cs-CZ"/>
              </w:rPr>
              <w:t>Olejniny</w:t>
            </w:r>
          </w:p>
        </w:tc>
        <w:tc>
          <w:tcPr>
            <w:tcW w:w="1040" w:type="dxa"/>
            <w:tcBorders>
              <w:top w:val="nil"/>
              <w:left w:val="single" w:sz="12" w:space="0" w:color="auto"/>
              <w:bottom w:val="single" w:sz="4" w:space="0" w:color="auto"/>
              <w:right w:val="single" w:sz="4" w:space="0" w:color="auto"/>
            </w:tcBorders>
            <w:shd w:val="clear" w:color="auto" w:fill="auto"/>
            <w:noWrap/>
            <w:vAlign w:val="center"/>
            <w:hideMark/>
          </w:tcPr>
          <w:p w14:paraId="6567E46E" w14:textId="77777777" w:rsidR="00C57582" w:rsidRPr="007434DA" w:rsidRDefault="00C57582" w:rsidP="00F532EB">
            <w:pPr>
              <w:jc w:val="center"/>
              <w:rPr>
                <w:rFonts w:eastAsia="Times New Roman" w:cs="Times New Roman"/>
                <w:sz w:val="20"/>
                <w:szCs w:val="20"/>
                <w:lang w:val="cs-CZ" w:eastAsia="cs-CZ"/>
              </w:rPr>
            </w:pPr>
            <w:r w:rsidRPr="007434DA">
              <w:rPr>
                <w:rFonts w:eastAsia="Times New Roman" w:cs="Times New Roman"/>
                <w:sz w:val="20"/>
                <w:szCs w:val="20"/>
                <w:lang w:val="cs-CZ" w:eastAsia="cs-CZ"/>
              </w:rPr>
              <w:t>0,46</w:t>
            </w:r>
          </w:p>
        </w:tc>
        <w:tc>
          <w:tcPr>
            <w:tcW w:w="1365" w:type="dxa"/>
            <w:tcBorders>
              <w:top w:val="nil"/>
              <w:left w:val="nil"/>
              <w:bottom w:val="single" w:sz="4" w:space="0" w:color="auto"/>
              <w:right w:val="single" w:sz="4" w:space="0" w:color="auto"/>
            </w:tcBorders>
            <w:shd w:val="clear" w:color="auto" w:fill="auto"/>
            <w:noWrap/>
            <w:vAlign w:val="center"/>
            <w:hideMark/>
          </w:tcPr>
          <w:p w14:paraId="5DB32C0C" w14:textId="77777777" w:rsidR="00C57582" w:rsidRPr="007434DA" w:rsidRDefault="00C57582" w:rsidP="00F532EB">
            <w:pPr>
              <w:jc w:val="center"/>
              <w:rPr>
                <w:rFonts w:eastAsia="Times New Roman" w:cs="Times New Roman"/>
                <w:sz w:val="20"/>
                <w:szCs w:val="20"/>
                <w:lang w:val="cs-CZ" w:eastAsia="cs-CZ"/>
              </w:rPr>
            </w:pPr>
            <w:r w:rsidRPr="007434DA">
              <w:rPr>
                <w:rFonts w:eastAsia="Times New Roman" w:cs="Times New Roman"/>
                <w:sz w:val="20"/>
                <w:szCs w:val="20"/>
                <w:lang w:val="cs-CZ" w:eastAsia="cs-CZ"/>
              </w:rPr>
              <w:t>0,43</w:t>
            </w:r>
          </w:p>
        </w:tc>
        <w:tc>
          <w:tcPr>
            <w:tcW w:w="1212" w:type="dxa"/>
            <w:tcBorders>
              <w:top w:val="nil"/>
              <w:left w:val="nil"/>
              <w:bottom w:val="single" w:sz="4" w:space="0" w:color="auto"/>
              <w:right w:val="single" w:sz="4" w:space="0" w:color="auto"/>
            </w:tcBorders>
            <w:shd w:val="clear" w:color="auto" w:fill="auto"/>
            <w:noWrap/>
            <w:vAlign w:val="center"/>
            <w:hideMark/>
          </w:tcPr>
          <w:p w14:paraId="3DADAB44" w14:textId="77777777" w:rsidR="00C57582" w:rsidRPr="007434DA" w:rsidRDefault="00C57582" w:rsidP="00F532EB">
            <w:pPr>
              <w:jc w:val="center"/>
              <w:rPr>
                <w:rFonts w:eastAsia="Times New Roman" w:cs="Times New Roman"/>
                <w:sz w:val="20"/>
                <w:szCs w:val="20"/>
                <w:lang w:val="cs-CZ" w:eastAsia="cs-CZ"/>
              </w:rPr>
            </w:pPr>
            <w:r w:rsidRPr="007434DA">
              <w:rPr>
                <w:rFonts w:eastAsia="Times New Roman" w:cs="Times New Roman"/>
                <w:sz w:val="20"/>
                <w:szCs w:val="20"/>
                <w:lang w:val="cs-CZ" w:eastAsia="cs-CZ"/>
              </w:rPr>
              <w:t>0,28</w:t>
            </w:r>
          </w:p>
        </w:tc>
        <w:tc>
          <w:tcPr>
            <w:tcW w:w="1040" w:type="dxa"/>
            <w:tcBorders>
              <w:top w:val="nil"/>
              <w:left w:val="nil"/>
              <w:bottom w:val="single" w:sz="4" w:space="0" w:color="auto"/>
              <w:right w:val="single" w:sz="4" w:space="0" w:color="auto"/>
            </w:tcBorders>
            <w:shd w:val="clear" w:color="auto" w:fill="auto"/>
            <w:noWrap/>
            <w:vAlign w:val="center"/>
            <w:hideMark/>
          </w:tcPr>
          <w:p w14:paraId="4A90208D" w14:textId="77777777" w:rsidR="00C57582" w:rsidRPr="007434DA" w:rsidRDefault="00C57582" w:rsidP="00F532EB">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0,34</w:t>
            </w:r>
          </w:p>
        </w:tc>
        <w:tc>
          <w:tcPr>
            <w:tcW w:w="1212" w:type="dxa"/>
            <w:tcBorders>
              <w:top w:val="single" w:sz="4" w:space="0" w:color="auto"/>
              <w:left w:val="nil"/>
              <w:bottom w:val="single" w:sz="4" w:space="0" w:color="auto"/>
              <w:right w:val="single" w:sz="4" w:space="0" w:color="auto"/>
            </w:tcBorders>
            <w:shd w:val="clear" w:color="auto" w:fill="auto"/>
            <w:noWrap/>
            <w:vAlign w:val="center"/>
            <w:hideMark/>
          </w:tcPr>
          <w:p w14:paraId="163D9AB1" w14:textId="77777777" w:rsidR="00C57582" w:rsidRPr="007434DA" w:rsidRDefault="00C57582" w:rsidP="00F532EB">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0,54</w:t>
            </w:r>
          </w:p>
        </w:tc>
        <w:tc>
          <w:tcPr>
            <w:tcW w:w="1212" w:type="dxa"/>
            <w:tcBorders>
              <w:top w:val="single" w:sz="4" w:space="0" w:color="auto"/>
              <w:left w:val="single" w:sz="4" w:space="0" w:color="auto"/>
              <w:bottom w:val="single" w:sz="4" w:space="0" w:color="auto"/>
              <w:right w:val="double" w:sz="4" w:space="0" w:color="auto"/>
            </w:tcBorders>
          </w:tcPr>
          <w:p w14:paraId="0EF8E43B" w14:textId="25E158C8" w:rsidR="00C57582" w:rsidRPr="007434DA" w:rsidRDefault="00C57582" w:rsidP="00F532EB">
            <w:pPr>
              <w:jc w:val="center"/>
              <w:rPr>
                <w:rFonts w:eastAsia="Times New Roman" w:cs="Times New Roman"/>
                <w:color w:val="000000"/>
                <w:sz w:val="20"/>
                <w:szCs w:val="20"/>
                <w:lang w:val="cs-CZ" w:eastAsia="cs-CZ"/>
              </w:rPr>
            </w:pPr>
            <w:r>
              <w:rPr>
                <w:rFonts w:eastAsia="Times New Roman" w:cs="Times New Roman"/>
                <w:color w:val="000000"/>
                <w:sz w:val="20"/>
                <w:szCs w:val="20"/>
                <w:lang w:val="cs-CZ" w:eastAsia="cs-CZ"/>
              </w:rPr>
              <w:t>0,53</w:t>
            </w:r>
          </w:p>
        </w:tc>
      </w:tr>
      <w:tr w:rsidR="00C57582" w:rsidRPr="007434DA" w14:paraId="445E4C7F" w14:textId="7D585EFB" w:rsidTr="00B077FB">
        <w:trPr>
          <w:trHeight w:val="285"/>
        </w:trPr>
        <w:tc>
          <w:tcPr>
            <w:tcW w:w="1993" w:type="dxa"/>
            <w:tcBorders>
              <w:top w:val="nil"/>
              <w:left w:val="double" w:sz="4" w:space="0" w:color="auto"/>
              <w:bottom w:val="single" w:sz="4" w:space="0" w:color="auto"/>
              <w:right w:val="single" w:sz="12" w:space="0" w:color="auto"/>
            </w:tcBorders>
            <w:shd w:val="clear" w:color="auto" w:fill="auto"/>
            <w:noWrap/>
            <w:vAlign w:val="center"/>
            <w:hideMark/>
          </w:tcPr>
          <w:p w14:paraId="213E0AFC" w14:textId="77777777" w:rsidR="00C57582" w:rsidRPr="007434DA" w:rsidRDefault="00C57582" w:rsidP="004A57B3">
            <w:pPr>
              <w:rPr>
                <w:rFonts w:eastAsia="Times New Roman" w:cs="Times New Roman"/>
                <w:b/>
                <w:bCs/>
                <w:sz w:val="20"/>
                <w:szCs w:val="20"/>
                <w:lang w:val="cs-CZ" w:eastAsia="cs-CZ"/>
              </w:rPr>
            </w:pPr>
            <w:r w:rsidRPr="007434DA">
              <w:rPr>
                <w:rFonts w:eastAsia="Times New Roman" w:cs="Times New Roman"/>
                <w:b/>
                <w:bCs/>
                <w:sz w:val="20"/>
                <w:szCs w:val="20"/>
                <w:lang w:val="cs-CZ" w:eastAsia="cs-CZ"/>
              </w:rPr>
              <w:t>LAKR</w:t>
            </w:r>
          </w:p>
        </w:tc>
        <w:tc>
          <w:tcPr>
            <w:tcW w:w="1040" w:type="dxa"/>
            <w:tcBorders>
              <w:top w:val="nil"/>
              <w:left w:val="single" w:sz="12" w:space="0" w:color="auto"/>
              <w:bottom w:val="single" w:sz="4" w:space="0" w:color="auto"/>
              <w:right w:val="single" w:sz="4" w:space="0" w:color="auto"/>
            </w:tcBorders>
            <w:shd w:val="clear" w:color="auto" w:fill="auto"/>
            <w:noWrap/>
            <w:vAlign w:val="center"/>
            <w:hideMark/>
          </w:tcPr>
          <w:p w14:paraId="643831E6" w14:textId="77777777" w:rsidR="00C57582" w:rsidRPr="007434DA" w:rsidRDefault="00C57582" w:rsidP="00F532EB">
            <w:pPr>
              <w:jc w:val="center"/>
              <w:rPr>
                <w:rFonts w:eastAsia="Times New Roman" w:cs="Times New Roman"/>
                <w:sz w:val="20"/>
                <w:szCs w:val="20"/>
                <w:lang w:val="cs-CZ" w:eastAsia="cs-CZ"/>
              </w:rPr>
            </w:pPr>
            <w:r w:rsidRPr="007434DA">
              <w:rPr>
                <w:rFonts w:eastAsia="Times New Roman" w:cs="Times New Roman"/>
                <w:sz w:val="20"/>
                <w:szCs w:val="20"/>
                <w:lang w:val="cs-CZ" w:eastAsia="cs-CZ"/>
              </w:rPr>
              <w:t>20,42</w:t>
            </w:r>
          </w:p>
        </w:tc>
        <w:tc>
          <w:tcPr>
            <w:tcW w:w="1365" w:type="dxa"/>
            <w:tcBorders>
              <w:top w:val="nil"/>
              <w:left w:val="nil"/>
              <w:bottom w:val="single" w:sz="4" w:space="0" w:color="auto"/>
              <w:right w:val="single" w:sz="4" w:space="0" w:color="auto"/>
            </w:tcBorders>
            <w:shd w:val="clear" w:color="auto" w:fill="auto"/>
            <w:noWrap/>
            <w:vAlign w:val="center"/>
            <w:hideMark/>
          </w:tcPr>
          <w:p w14:paraId="5ADF21EA" w14:textId="77777777" w:rsidR="00C57582" w:rsidRPr="007434DA" w:rsidRDefault="00C57582" w:rsidP="00F532EB">
            <w:pPr>
              <w:jc w:val="center"/>
              <w:rPr>
                <w:rFonts w:eastAsia="Times New Roman" w:cs="Times New Roman"/>
                <w:sz w:val="20"/>
                <w:szCs w:val="20"/>
                <w:lang w:val="cs-CZ" w:eastAsia="cs-CZ"/>
              </w:rPr>
            </w:pPr>
            <w:r w:rsidRPr="007434DA">
              <w:rPr>
                <w:rFonts w:eastAsia="Times New Roman" w:cs="Times New Roman"/>
                <w:sz w:val="20"/>
                <w:szCs w:val="20"/>
                <w:lang w:val="cs-CZ" w:eastAsia="cs-CZ"/>
              </w:rPr>
              <w:t>18,48</w:t>
            </w:r>
          </w:p>
        </w:tc>
        <w:tc>
          <w:tcPr>
            <w:tcW w:w="1212" w:type="dxa"/>
            <w:tcBorders>
              <w:top w:val="nil"/>
              <w:left w:val="nil"/>
              <w:bottom w:val="single" w:sz="4" w:space="0" w:color="auto"/>
              <w:right w:val="single" w:sz="4" w:space="0" w:color="auto"/>
            </w:tcBorders>
            <w:shd w:val="clear" w:color="auto" w:fill="auto"/>
            <w:noWrap/>
            <w:vAlign w:val="center"/>
            <w:hideMark/>
          </w:tcPr>
          <w:p w14:paraId="3D24F449" w14:textId="77777777" w:rsidR="00C57582" w:rsidRPr="007434DA" w:rsidRDefault="00C57582" w:rsidP="00F532EB">
            <w:pPr>
              <w:jc w:val="center"/>
              <w:rPr>
                <w:rFonts w:eastAsia="Times New Roman" w:cs="Times New Roman"/>
                <w:sz w:val="20"/>
                <w:szCs w:val="20"/>
                <w:lang w:val="cs-CZ" w:eastAsia="cs-CZ"/>
              </w:rPr>
            </w:pPr>
            <w:r w:rsidRPr="007434DA">
              <w:rPr>
                <w:rFonts w:eastAsia="Times New Roman" w:cs="Times New Roman"/>
                <w:sz w:val="20"/>
                <w:szCs w:val="20"/>
                <w:lang w:val="cs-CZ" w:eastAsia="cs-CZ"/>
              </w:rPr>
              <w:t>24,18</w:t>
            </w:r>
          </w:p>
        </w:tc>
        <w:tc>
          <w:tcPr>
            <w:tcW w:w="1040" w:type="dxa"/>
            <w:tcBorders>
              <w:top w:val="nil"/>
              <w:left w:val="nil"/>
              <w:bottom w:val="single" w:sz="4" w:space="0" w:color="auto"/>
              <w:right w:val="single" w:sz="4" w:space="0" w:color="auto"/>
            </w:tcBorders>
            <w:shd w:val="clear" w:color="auto" w:fill="auto"/>
            <w:noWrap/>
            <w:vAlign w:val="center"/>
            <w:hideMark/>
          </w:tcPr>
          <w:p w14:paraId="4DBC6C09" w14:textId="77777777" w:rsidR="00C57582" w:rsidRPr="007434DA" w:rsidRDefault="00C57582" w:rsidP="00F532EB">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21,36</w:t>
            </w:r>
          </w:p>
        </w:tc>
        <w:tc>
          <w:tcPr>
            <w:tcW w:w="1212" w:type="dxa"/>
            <w:tcBorders>
              <w:top w:val="single" w:sz="4" w:space="0" w:color="auto"/>
              <w:left w:val="nil"/>
              <w:bottom w:val="single" w:sz="4" w:space="0" w:color="auto"/>
              <w:right w:val="single" w:sz="4" w:space="0" w:color="auto"/>
            </w:tcBorders>
            <w:shd w:val="clear" w:color="auto" w:fill="auto"/>
            <w:noWrap/>
            <w:vAlign w:val="center"/>
            <w:hideMark/>
          </w:tcPr>
          <w:p w14:paraId="5089751A" w14:textId="77777777" w:rsidR="00C57582" w:rsidRPr="007434DA" w:rsidRDefault="00C57582" w:rsidP="00F532EB">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32,34</w:t>
            </w:r>
          </w:p>
        </w:tc>
        <w:tc>
          <w:tcPr>
            <w:tcW w:w="1212" w:type="dxa"/>
            <w:tcBorders>
              <w:top w:val="single" w:sz="4" w:space="0" w:color="auto"/>
              <w:left w:val="single" w:sz="4" w:space="0" w:color="auto"/>
              <w:bottom w:val="single" w:sz="4" w:space="0" w:color="auto"/>
              <w:right w:val="double" w:sz="4" w:space="0" w:color="auto"/>
            </w:tcBorders>
          </w:tcPr>
          <w:p w14:paraId="4240C230" w14:textId="7C2E089D" w:rsidR="00C57582" w:rsidRPr="007434DA" w:rsidRDefault="00B077FB" w:rsidP="00F532EB">
            <w:pPr>
              <w:jc w:val="center"/>
              <w:rPr>
                <w:rFonts w:eastAsia="Times New Roman" w:cs="Times New Roman"/>
                <w:color w:val="000000"/>
                <w:sz w:val="20"/>
                <w:szCs w:val="20"/>
                <w:lang w:val="cs-CZ" w:eastAsia="cs-CZ"/>
              </w:rPr>
            </w:pPr>
            <w:r>
              <w:rPr>
                <w:rFonts w:eastAsia="Times New Roman" w:cs="Times New Roman"/>
                <w:color w:val="000000"/>
                <w:sz w:val="20"/>
                <w:szCs w:val="20"/>
                <w:lang w:val="cs-CZ" w:eastAsia="cs-CZ"/>
              </w:rPr>
              <w:t>34,03</w:t>
            </w:r>
          </w:p>
        </w:tc>
      </w:tr>
      <w:tr w:rsidR="00C57582" w:rsidRPr="007434DA" w14:paraId="2BFD14DD" w14:textId="496680C8" w:rsidTr="00B077FB">
        <w:trPr>
          <w:trHeight w:val="285"/>
        </w:trPr>
        <w:tc>
          <w:tcPr>
            <w:tcW w:w="1993" w:type="dxa"/>
            <w:tcBorders>
              <w:top w:val="nil"/>
              <w:left w:val="double" w:sz="4" w:space="0" w:color="auto"/>
              <w:bottom w:val="single" w:sz="4" w:space="0" w:color="auto"/>
              <w:right w:val="single" w:sz="12" w:space="0" w:color="auto"/>
            </w:tcBorders>
            <w:shd w:val="clear" w:color="auto" w:fill="auto"/>
            <w:noWrap/>
            <w:vAlign w:val="center"/>
            <w:hideMark/>
          </w:tcPr>
          <w:p w14:paraId="70A98D1C" w14:textId="77777777" w:rsidR="00C57582" w:rsidRPr="007434DA" w:rsidRDefault="00C57582" w:rsidP="004A57B3">
            <w:pPr>
              <w:rPr>
                <w:rFonts w:eastAsia="Times New Roman" w:cs="Times New Roman"/>
                <w:b/>
                <w:bCs/>
                <w:sz w:val="20"/>
                <w:szCs w:val="20"/>
                <w:lang w:val="cs-CZ" w:eastAsia="cs-CZ"/>
              </w:rPr>
            </w:pPr>
            <w:r w:rsidRPr="007434DA">
              <w:rPr>
                <w:rFonts w:eastAsia="Times New Roman" w:cs="Times New Roman"/>
                <w:b/>
                <w:bCs/>
                <w:sz w:val="20"/>
                <w:szCs w:val="20"/>
                <w:lang w:val="cs-CZ" w:eastAsia="cs-CZ"/>
              </w:rPr>
              <w:t>Zelenina</w:t>
            </w:r>
          </w:p>
        </w:tc>
        <w:tc>
          <w:tcPr>
            <w:tcW w:w="1040" w:type="dxa"/>
            <w:tcBorders>
              <w:top w:val="nil"/>
              <w:left w:val="single" w:sz="12" w:space="0" w:color="auto"/>
              <w:bottom w:val="single" w:sz="4" w:space="0" w:color="auto"/>
              <w:right w:val="single" w:sz="4" w:space="0" w:color="auto"/>
            </w:tcBorders>
            <w:shd w:val="clear" w:color="auto" w:fill="auto"/>
            <w:noWrap/>
            <w:vAlign w:val="center"/>
            <w:hideMark/>
          </w:tcPr>
          <w:p w14:paraId="3397575F" w14:textId="77777777" w:rsidR="00C57582" w:rsidRPr="007434DA" w:rsidRDefault="00C57582" w:rsidP="00F532EB">
            <w:pPr>
              <w:jc w:val="center"/>
              <w:rPr>
                <w:rFonts w:eastAsia="Times New Roman" w:cs="Times New Roman"/>
                <w:sz w:val="20"/>
                <w:szCs w:val="20"/>
                <w:lang w:val="cs-CZ" w:eastAsia="cs-CZ"/>
              </w:rPr>
            </w:pPr>
            <w:r w:rsidRPr="007434DA">
              <w:rPr>
                <w:rFonts w:eastAsia="Times New Roman" w:cs="Times New Roman"/>
                <w:sz w:val="20"/>
                <w:szCs w:val="20"/>
                <w:lang w:val="cs-CZ" w:eastAsia="cs-CZ"/>
              </w:rPr>
              <w:t>2,56</w:t>
            </w:r>
          </w:p>
        </w:tc>
        <w:tc>
          <w:tcPr>
            <w:tcW w:w="1365" w:type="dxa"/>
            <w:tcBorders>
              <w:top w:val="nil"/>
              <w:left w:val="nil"/>
              <w:bottom w:val="single" w:sz="4" w:space="0" w:color="auto"/>
              <w:right w:val="single" w:sz="4" w:space="0" w:color="auto"/>
            </w:tcBorders>
            <w:shd w:val="clear" w:color="auto" w:fill="auto"/>
            <w:noWrap/>
            <w:vAlign w:val="center"/>
            <w:hideMark/>
          </w:tcPr>
          <w:p w14:paraId="4FFF9614" w14:textId="77777777" w:rsidR="00C57582" w:rsidRPr="007434DA" w:rsidRDefault="00C57582" w:rsidP="00F532EB">
            <w:pPr>
              <w:jc w:val="center"/>
              <w:rPr>
                <w:rFonts w:eastAsia="Times New Roman" w:cs="Times New Roman"/>
                <w:sz w:val="20"/>
                <w:szCs w:val="20"/>
                <w:lang w:val="cs-CZ" w:eastAsia="cs-CZ"/>
              </w:rPr>
            </w:pPr>
            <w:r w:rsidRPr="007434DA">
              <w:rPr>
                <w:rFonts w:eastAsia="Times New Roman" w:cs="Times New Roman"/>
                <w:sz w:val="20"/>
                <w:szCs w:val="20"/>
                <w:lang w:val="cs-CZ" w:eastAsia="cs-CZ"/>
              </w:rPr>
              <w:t>1,85</w:t>
            </w:r>
          </w:p>
        </w:tc>
        <w:tc>
          <w:tcPr>
            <w:tcW w:w="1212" w:type="dxa"/>
            <w:tcBorders>
              <w:top w:val="nil"/>
              <w:left w:val="nil"/>
              <w:bottom w:val="single" w:sz="4" w:space="0" w:color="auto"/>
              <w:right w:val="single" w:sz="4" w:space="0" w:color="auto"/>
            </w:tcBorders>
            <w:shd w:val="clear" w:color="auto" w:fill="auto"/>
            <w:noWrap/>
            <w:vAlign w:val="center"/>
            <w:hideMark/>
          </w:tcPr>
          <w:p w14:paraId="1B2D4A72" w14:textId="77777777" w:rsidR="00C57582" w:rsidRPr="007434DA" w:rsidRDefault="00C57582" w:rsidP="00F532EB">
            <w:pPr>
              <w:jc w:val="center"/>
              <w:rPr>
                <w:rFonts w:eastAsia="Times New Roman" w:cs="Times New Roman"/>
                <w:sz w:val="20"/>
                <w:szCs w:val="20"/>
                <w:lang w:val="cs-CZ" w:eastAsia="cs-CZ"/>
              </w:rPr>
            </w:pPr>
            <w:r w:rsidRPr="007434DA">
              <w:rPr>
                <w:rFonts w:eastAsia="Times New Roman" w:cs="Times New Roman"/>
                <w:sz w:val="20"/>
                <w:szCs w:val="20"/>
                <w:lang w:val="cs-CZ" w:eastAsia="cs-CZ"/>
              </w:rPr>
              <w:t>2,46</w:t>
            </w:r>
          </w:p>
        </w:tc>
        <w:tc>
          <w:tcPr>
            <w:tcW w:w="1040" w:type="dxa"/>
            <w:tcBorders>
              <w:top w:val="nil"/>
              <w:left w:val="nil"/>
              <w:bottom w:val="single" w:sz="4" w:space="0" w:color="auto"/>
              <w:right w:val="single" w:sz="4" w:space="0" w:color="auto"/>
            </w:tcBorders>
            <w:shd w:val="clear" w:color="auto" w:fill="auto"/>
            <w:noWrap/>
            <w:vAlign w:val="center"/>
            <w:hideMark/>
          </w:tcPr>
          <w:p w14:paraId="338DAE56" w14:textId="77777777" w:rsidR="00C57582" w:rsidRPr="007434DA" w:rsidRDefault="00C57582" w:rsidP="00F532EB">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2,55</w:t>
            </w:r>
          </w:p>
        </w:tc>
        <w:tc>
          <w:tcPr>
            <w:tcW w:w="1212" w:type="dxa"/>
            <w:tcBorders>
              <w:top w:val="single" w:sz="4" w:space="0" w:color="auto"/>
              <w:left w:val="nil"/>
              <w:bottom w:val="single" w:sz="4" w:space="0" w:color="auto"/>
              <w:right w:val="single" w:sz="4" w:space="0" w:color="auto"/>
            </w:tcBorders>
            <w:shd w:val="clear" w:color="auto" w:fill="auto"/>
            <w:noWrap/>
            <w:vAlign w:val="center"/>
            <w:hideMark/>
          </w:tcPr>
          <w:p w14:paraId="5D65F88D" w14:textId="77777777" w:rsidR="00C57582" w:rsidRPr="007434DA" w:rsidRDefault="00C57582" w:rsidP="00F532EB">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3,39</w:t>
            </w:r>
          </w:p>
        </w:tc>
        <w:tc>
          <w:tcPr>
            <w:tcW w:w="1212" w:type="dxa"/>
            <w:tcBorders>
              <w:top w:val="single" w:sz="4" w:space="0" w:color="auto"/>
              <w:left w:val="single" w:sz="4" w:space="0" w:color="auto"/>
              <w:bottom w:val="single" w:sz="4" w:space="0" w:color="auto"/>
              <w:right w:val="double" w:sz="4" w:space="0" w:color="auto"/>
            </w:tcBorders>
          </w:tcPr>
          <w:p w14:paraId="7C674E39" w14:textId="2F3EC308" w:rsidR="00C57582" w:rsidRPr="007434DA" w:rsidRDefault="00B077FB" w:rsidP="00F532EB">
            <w:pPr>
              <w:jc w:val="center"/>
              <w:rPr>
                <w:rFonts w:eastAsia="Times New Roman" w:cs="Times New Roman"/>
                <w:color w:val="000000"/>
                <w:sz w:val="20"/>
                <w:szCs w:val="20"/>
                <w:lang w:val="cs-CZ" w:eastAsia="cs-CZ"/>
              </w:rPr>
            </w:pPr>
            <w:r>
              <w:rPr>
                <w:rFonts w:eastAsia="Times New Roman" w:cs="Times New Roman"/>
                <w:color w:val="000000"/>
                <w:sz w:val="20"/>
                <w:szCs w:val="20"/>
                <w:lang w:val="cs-CZ" w:eastAsia="cs-CZ"/>
              </w:rPr>
              <w:t>2,51</w:t>
            </w:r>
          </w:p>
        </w:tc>
      </w:tr>
      <w:tr w:rsidR="00C57582" w:rsidRPr="007434DA" w14:paraId="300CE3E0" w14:textId="2230CB2F" w:rsidTr="00025202">
        <w:trPr>
          <w:trHeight w:val="164"/>
        </w:trPr>
        <w:tc>
          <w:tcPr>
            <w:tcW w:w="1993" w:type="dxa"/>
            <w:tcBorders>
              <w:top w:val="nil"/>
              <w:left w:val="double" w:sz="4" w:space="0" w:color="auto"/>
              <w:bottom w:val="double" w:sz="4" w:space="0" w:color="auto"/>
              <w:right w:val="single" w:sz="12" w:space="0" w:color="auto"/>
            </w:tcBorders>
            <w:shd w:val="clear" w:color="auto" w:fill="auto"/>
            <w:noWrap/>
            <w:vAlign w:val="center"/>
            <w:hideMark/>
          </w:tcPr>
          <w:p w14:paraId="27161B62" w14:textId="77777777" w:rsidR="00C57582" w:rsidRPr="007434DA" w:rsidRDefault="00C57582" w:rsidP="004A57B3">
            <w:pPr>
              <w:spacing w:after="120" w:line="240" w:lineRule="atLeast"/>
              <w:rPr>
                <w:rFonts w:eastAsia="Times New Roman" w:cs="Times New Roman"/>
                <w:b/>
                <w:bCs/>
                <w:sz w:val="20"/>
                <w:szCs w:val="20"/>
                <w:lang w:val="cs-CZ" w:eastAsia="cs-CZ"/>
              </w:rPr>
            </w:pPr>
            <w:r w:rsidRPr="007434DA">
              <w:rPr>
                <w:rFonts w:eastAsia="Times New Roman" w:cs="Times New Roman"/>
                <w:b/>
                <w:bCs/>
                <w:sz w:val="20"/>
                <w:szCs w:val="20"/>
                <w:lang w:val="cs-CZ" w:eastAsia="cs-CZ"/>
              </w:rPr>
              <w:t>Ovocné sady</w:t>
            </w:r>
          </w:p>
        </w:tc>
        <w:tc>
          <w:tcPr>
            <w:tcW w:w="1040" w:type="dxa"/>
            <w:tcBorders>
              <w:top w:val="nil"/>
              <w:left w:val="single" w:sz="12" w:space="0" w:color="auto"/>
              <w:bottom w:val="double" w:sz="4" w:space="0" w:color="auto"/>
              <w:right w:val="single" w:sz="4" w:space="0" w:color="auto"/>
            </w:tcBorders>
            <w:shd w:val="clear" w:color="auto" w:fill="auto"/>
            <w:noWrap/>
            <w:vAlign w:val="center"/>
            <w:hideMark/>
          </w:tcPr>
          <w:p w14:paraId="162541D1" w14:textId="77777777" w:rsidR="00C57582" w:rsidRPr="007434DA" w:rsidRDefault="00C57582" w:rsidP="00F532EB">
            <w:pPr>
              <w:spacing w:after="120" w:line="240" w:lineRule="atLeast"/>
              <w:jc w:val="center"/>
              <w:rPr>
                <w:rFonts w:eastAsia="Times New Roman" w:cs="Times New Roman"/>
                <w:sz w:val="20"/>
                <w:szCs w:val="20"/>
                <w:lang w:val="cs-CZ" w:eastAsia="cs-CZ"/>
              </w:rPr>
            </w:pPr>
            <w:r w:rsidRPr="007434DA">
              <w:rPr>
                <w:rFonts w:eastAsia="Times New Roman" w:cs="Times New Roman"/>
                <w:sz w:val="20"/>
                <w:szCs w:val="20"/>
                <w:lang w:val="cs-CZ" w:eastAsia="cs-CZ"/>
              </w:rPr>
              <w:t>25,90</w:t>
            </w:r>
          </w:p>
        </w:tc>
        <w:tc>
          <w:tcPr>
            <w:tcW w:w="1365" w:type="dxa"/>
            <w:tcBorders>
              <w:top w:val="nil"/>
              <w:left w:val="nil"/>
              <w:bottom w:val="double" w:sz="4" w:space="0" w:color="auto"/>
              <w:right w:val="single" w:sz="4" w:space="0" w:color="auto"/>
            </w:tcBorders>
            <w:shd w:val="clear" w:color="auto" w:fill="auto"/>
            <w:noWrap/>
            <w:vAlign w:val="center"/>
            <w:hideMark/>
          </w:tcPr>
          <w:p w14:paraId="2E5A9FC8" w14:textId="77777777" w:rsidR="00C57582" w:rsidRPr="007434DA" w:rsidRDefault="00C57582" w:rsidP="00F532EB">
            <w:pPr>
              <w:spacing w:after="120" w:line="240" w:lineRule="atLeast"/>
              <w:jc w:val="center"/>
              <w:rPr>
                <w:rFonts w:eastAsia="Times New Roman" w:cs="Times New Roman"/>
                <w:sz w:val="20"/>
                <w:szCs w:val="20"/>
                <w:lang w:val="cs-CZ" w:eastAsia="cs-CZ"/>
              </w:rPr>
            </w:pPr>
            <w:r w:rsidRPr="007434DA">
              <w:rPr>
                <w:rFonts w:eastAsia="Times New Roman" w:cs="Times New Roman"/>
                <w:sz w:val="20"/>
                <w:szCs w:val="20"/>
                <w:lang w:val="cs-CZ" w:eastAsia="cs-CZ"/>
              </w:rPr>
              <w:t>21,10</w:t>
            </w:r>
          </w:p>
        </w:tc>
        <w:tc>
          <w:tcPr>
            <w:tcW w:w="1212" w:type="dxa"/>
            <w:tcBorders>
              <w:top w:val="nil"/>
              <w:left w:val="nil"/>
              <w:bottom w:val="double" w:sz="4" w:space="0" w:color="auto"/>
              <w:right w:val="single" w:sz="4" w:space="0" w:color="auto"/>
            </w:tcBorders>
            <w:shd w:val="clear" w:color="auto" w:fill="auto"/>
            <w:noWrap/>
            <w:vAlign w:val="center"/>
            <w:hideMark/>
          </w:tcPr>
          <w:p w14:paraId="65B07F9D" w14:textId="77777777" w:rsidR="00C57582" w:rsidRPr="007434DA" w:rsidRDefault="00C57582" w:rsidP="00F532EB">
            <w:pPr>
              <w:spacing w:after="120" w:line="240" w:lineRule="atLeast"/>
              <w:jc w:val="center"/>
              <w:rPr>
                <w:rFonts w:eastAsia="Times New Roman" w:cs="Times New Roman"/>
                <w:sz w:val="20"/>
                <w:szCs w:val="20"/>
                <w:lang w:val="cs-CZ" w:eastAsia="cs-CZ"/>
              </w:rPr>
            </w:pPr>
            <w:r w:rsidRPr="007434DA">
              <w:rPr>
                <w:rFonts w:eastAsia="Times New Roman" w:cs="Times New Roman"/>
                <w:sz w:val="20"/>
                <w:szCs w:val="20"/>
                <w:lang w:val="cs-CZ" w:eastAsia="cs-CZ"/>
              </w:rPr>
              <w:t>21,10</w:t>
            </w:r>
          </w:p>
        </w:tc>
        <w:tc>
          <w:tcPr>
            <w:tcW w:w="1040" w:type="dxa"/>
            <w:tcBorders>
              <w:top w:val="nil"/>
              <w:left w:val="nil"/>
              <w:bottom w:val="double" w:sz="4" w:space="0" w:color="auto"/>
              <w:right w:val="single" w:sz="4" w:space="0" w:color="auto"/>
            </w:tcBorders>
            <w:shd w:val="clear" w:color="auto" w:fill="auto"/>
            <w:noWrap/>
            <w:vAlign w:val="center"/>
            <w:hideMark/>
          </w:tcPr>
          <w:p w14:paraId="3F1CA092" w14:textId="77777777" w:rsidR="00C57582" w:rsidRPr="007434DA" w:rsidRDefault="00C57582" w:rsidP="00F532EB">
            <w:pPr>
              <w:spacing w:after="120" w:line="240" w:lineRule="atLeast"/>
              <w:jc w:val="center"/>
              <w:rPr>
                <w:rFonts w:eastAsia="Times New Roman" w:cs="Times New Roman"/>
                <w:sz w:val="20"/>
                <w:szCs w:val="20"/>
                <w:lang w:val="cs-CZ" w:eastAsia="cs-CZ"/>
              </w:rPr>
            </w:pPr>
            <w:r w:rsidRPr="007434DA">
              <w:rPr>
                <w:rFonts w:eastAsia="Times New Roman" w:cs="Times New Roman"/>
                <w:sz w:val="20"/>
                <w:szCs w:val="20"/>
                <w:lang w:val="cs-CZ" w:eastAsia="cs-CZ"/>
              </w:rPr>
              <w:t>22,80</w:t>
            </w:r>
          </w:p>
        </w:tc>
        <w:tc>
          <w:tcPr>
            <w:tcW w:w="1212" w:type="dxa"/>
            <w:tcBorders>
              <w:top w:val="single" w:sz="4" w:space="0" w:color="auto"/>
              <w:left w:val="nil"/>
              <w:bottom w:val="double" w:sz="4" w:space="0" w:color="auto"/>
              <w:right w:val="single" w:sz="4" w:space="0" w:color="auto"/>
            </w:tcBorders>
            <w:shd w:val="clear" w:color="auto" w:fill="auto"/>
            <w:noWrap/>
            <w:vAlign w:val="center"/>
            <w:hideMark/>
          </w:tcPr>
          <w:p w14:paraId="4848E884" w14:textId="77777777" w:rsidR="00C57582" w:rsidRPr="007434DA" w:rsidRDefault="00C57582" w:rsidP="00F532EB">
            <w:pPr>
              <w:spacing w:after="120" w:line="240" w:lineRule="atLeast"/>
              <w:jc w:val="center"/>
              <w:rPr>
                <w:rFonts w:eastAsia="Times New Roman" w:cs="Times New Roman"/>
                <w:sz w:val="20"/>
                <w:szCs w:val="20"/>
                <w:lang w:val="cs-CZ" w:eastAsia="cs-CZ"/>
              </w:rPr>
            </w:pPr>
            <w:r w:rsidRPr="007434DA">
              <w:rPr>
                <w:rFonts w:eastAsia="Times New Roman" w:cs="Times New Roman"/>
                <w:sz w:val="20"/>
                <w:szCs w:val="20"/>
                <w:lang w:val="cs-CZ" w:eastAsia="cs-CZ"/>
              </w:rPr>
              <w:t>23,70</w:t>
            </w:r>
          </w:p>
        </w:tc>
        <w:tc>
          <w:tcPr>
            <w:tcW w:w="1212" w:type="dxa"/>
            <w:tcBorders>
              <w:top w:val="single" w:sz="4" w:space="0" w:color="auto"/>
              <w:left w:val="single" w:sz="4" w:space="0" w:color="auto"/>
              <w:bottom w:val="double" w:sz="4" w:space="0" w:color="auto"/>
              <w:right w:val="double" w:sz="4" w:space="0" w:color="auto"/>
            </w:tcBorders>
          </w:tcPr>
          <w:p w14:paraId="44EF81E5" w14:textId="1326E411" w:rsidR="00C57582" w:rsidRPr="007434DA" w:rsidRDefault="00025202" w:rsidP="00F532EB">
            <w:pPr>
              <w:spacing w:after="120" w:line="240" w:lineRule="atLeast"/>
              <w:jc w:val="center"/>
              <w:rPr>
                <w:rFonts w:eastAsia="Times New Roman" w:cs="Times New Roman"/>
                <w:sz w:val="20"/>
                <w:szCs w:val="20"/>
                <w:lang w:val="cs-CZ" w:eastAsia="cs-CZ"/>
              </w:rPr>
            </w:pPr>
            <w:r>
              <w:rPr>
                <w:rFonts w:eastAsia="Times New Roman" w:cs="Times New Roman"/>
                <w:sz w:val="20"/>
                <w:szCs w:val="20"/>
                <w:lang w:val="cs-CZ" w:eastAsia="cs-CZ"/>
              </w:rPr>
              <w:t>23,39</w:t>
            </w:r>
          </w:p>
        </w:tc>
      </w:tr>
    </w:tbl>
    <w:p w14:paraId="798ECCA2" w14:textId="1AD12321" w:rsidR="00CB2594" w:rsidRPr="007434DA" w:rsidRDefault="00CB2594" w:rsidP="00F532EB">
      <w:pPr>
        <w:pStyle w:val="UZEIZdroj"/>
      </w:pPr>
      <w:r w:rsidRPr="007434DA">
        <w:t>Pramen: Statistické šetření ekologického zemědělství (2015 - 20</w:t>
      </w:r>
      <w:r w:rsidR="00C57582">
        <w:t>20</w:t>
      </w:r>
      <w:r w:rsidRPr="007434DA">
        <w:t>), ČSÚ Sklizeň zemědělských plodin</w:t>
      </w:r>
    </w:p>
    <w:p w14:paraId="0ED8A4B3" w14:textId="26A9D09F" w:rsidR="00CB2594" w:rsidRPr="007434DA" w:rsidRDefault="00CB2594" w:rsidP="00C60860">
      <w:pPr>
        <w:pStyle w:val="UZEIZdroj"/>
      </w:pPr>
      <w:r w:rsidRPr="007434DA">
        <w:t xml:space="preserve">Pozn.: V tabulce jsou porovnány jen vybrané skupiny plodin, u kterých je možné provést porovnání ploch (a tedy i podílu ploch) v ekologickém zemědělství a režimu konvenčního zemědělství. </w:t>
      </w:r>
    </w:p>
    <w:bookmarkEnd w:id="98"/>
    <w:p w14:paraId="28332418" w14:textId="643D6E72" w:rsidR="00CB2594" w:rsidRPr="007434DA" w:rsidRDefault="00CB2594" w:rsidP="00C60860">
      <w:pPr>
        <w:pStyle w:val="UZEINormaln"/>
      </w:pPr>
      <w:r w:rsidRPr="007434DA">
        <w:t>Podíl produkce ekologického zemědělství</w:t>
      </w:r>
      <w:r w:rsidRPr="007434DA">
        <w:rPr>
          <w:rStyle w:val="Znakapoznpodarou"/>
          <w:rFonts w:ascii="Arial" w:hAnsi="Arial" w:cs="Arial"/>
          <w:color w:val="000000"/>
          <w:sz w:val="20"/>
          <w:szCs w:val="20"/>
        </w:rPr>
        <w:footnoteReference w:id="16"/>
      </w:r>
      <w:r w:rsidRPr="007434DA">
        <w:t xml:space="preserve"> z celkové produkce je výrazně nižší než podíl pěstební plochy EZ vůči celkové pěstební ploše. Nejvíce patrný je tento rozdíl u ovocných sadů, kde v průměru let 2015-2019 byla na více než 20 % plochy ekologických sadů produkována pouze necelá 2 % z celkové výroby ovoce</w:t>
      </w:r>
      <w:r w:rsidRPr="007434DA">
        <w:rPr>
          <w:rStyle w:val="Znakapoznpodarou"/>
          <w:rFonts w:ascii="Arial" w:hAnsi="Arial" w:cs="Arial"/>
          <w:color w:val="000000"/>
          <w:sz w:val="20"/>
          <w:szCs w:val="20"/>
        </w:rPr>
        <w:footnoteReference w:id="17"/>
      </w:r>
      <w:r w:rsidRPr="007434DA">
        <w:t xml:space="preserve">. </w:t>
      </w:r>
    </w:p>
    <w:p w14:paraId="0EF98B2B" w14:textId="1CBF5A5E" w:rsidR="00CB2594" w:rsidRPr="007434DA" w:rsidRDefault="00CB2594" w:rsidP="00B1703F">
      <w:pPr>
        <w:pStyle w:val="UZEINormaln"/>
      </w:pPr>
      <w:r w:rsidRPr="007434DA">
        <w:t>Nejvyšší průměrný podíl produkce uvedených plodin v ekologickém zemědělství na celkové produkci ČR za období 2015-2019 vykazují LAKR (11,8 %). Významnější podíl byl zjištěn u luskovin na zrno (5,5 %). Poměrně nízký podíl ekologicky vyprodukovaného ovoce je u ovocných sadů (3,5 %)</w:t>
      </w:r>
      <w:r w:rsidRPr="007434DA">
        <w:rPr>
          <w:rStyle w:val="Znakapoznpodarou"/>
          <w:rFonts w:ascii="Arial" w:hAnsi="Arial" w:cs="Arial"/>
          <w:color w:val="000000"/>
          <w:sz w:val="20"/>
          <w:szCs w:val="20"/>
        </w:rPr>
        <w:footnoteReference w:id="18"/>
      </w:r>
      <w:r w:rsidRPr="007434DA">
        <w:t xml:space="preserve"> a také u zeleniny, kde nedosahoval v průměru let 2015-2019 ani 1 %. Téměř zanedbatelná je ekologická produkce olejnin a okopanin, kdy z celkové produkce těchto komodit v ČR představuje pouze 0,09 %, resp. 0,08 %.</w:t>
      </w:r>
    </w:p>
    <w:p w14:paraId="165CA214" w14:textId="77777777" w:rsidR="00CB2594" w:rsidRPr="00284643" w:rsidRDefault="00CB2594" w:rsidP="00284643">
      <w:pPr>
        <w:pStyle w:val="UZEINormaln"/>
        <w:rPr>
          <w:b/>
          <w:bCs/>
        </w:rPr>
      </w:pPr>
      <w:bookmarkStart w:id="100" w:name="_Toc12611744"/>
      <w:bookmarkStart w:id="101" w:name="_Toc12613408"/>
      <w:bookmarkStart w:id="102" w:name="_Toc80877856"/>
      <w:r w:rsidRPr="00284643">
        <w:rPr>
          <w:b/>
          <w:bCs/>
        </w:rPr>
        <w:t>Vývoj spotřeby POR v zemědělství</w:t>
      </w:r>
      <w:bookmarkEnd w:id="100"/>
      <w:bookmarkEnd w:id="101"/>
      <w:bookmarkEnd w:id="102"/>
    </w:p>
    <w:p w14:paraId="7AC2883E" w14:textId="78A8B29A" w:rsidR="00CB2594" w:rsidRPr="007434DA" w:rsidRDefault="00CB2594" w:rsidP="00CD4853">
      <w:pPr>
        <w:pStyle w:val="UZEINormaln"/>
      </w:pPr>
      <w:r w:rsidRPr="007434DA">
        <w:t xml:space="preserve">Celková spotřeba přípravků na ochranu rostlin dle ÚKZUZ v ČR vykazovala od roku 2010 do roku 2012 rostoucí trend a nejvyšší byla v letech 2012 a 2013 (viz graf </w:t>
      </w:r>
      <w:r w:rsidR="00CD4853" w:rsidRPr="007434DA">
        <w:t>2</w:t>
      </w:r>
      <w:r w:rsidRPr="007434DA">
        <w:t xml:space="preserve">). V období 2015-2017 byla poměrně stabilní a v průměru dosáhla 12,8 tis. </w:t>
      </w:r>
      <w:r w:rsidR="005D7A26" w:rsidRPr="007434DA">
        <w:t>K</w:t>
      </w:r>
      <w:r w:rsidRPr="007434DA">
        <w:t>g</w:t>
      </w:r>
      <w:r w:rsidR="005D7A26">
        <w:t xml:space="preserve"> </w:t>
      </w:r>
      <w:r w:rsidRPr="007434DA">
        <w:t xml:space="preserve">(l), </w:t>
      </w:r>
      <w:r w:rsidRPr="007434DA">
        <w:rPr>
          <w:rFonts w:eastAsia="Arial"/>
        </w:rPr>
        <w:t>proti průměru let 2010-2019 byla mírně vyšší (o 0,6 %). V roce 2018 pak došlo k výraznějšímu meziročnímu omezení spotřeby POR o 8,8 %.</w:t>
      </w:r>
      <w:r w:rsidRPr="007434DA">
        <w:t xml:space="preserve"> </w:t>
      </w:r>
      <w:bookmarkStart w:id="103" w:name="_Hlk12462558"/>
      <w:r w:rsidRPr="007434DA">
        <w:rPr>
          <w:rFonts w:eastAsia="Arial"/>
        </w:rPr>
        <w:t>V roce 2019 spotřeba POR klesla meziročně mírněji (o 1,4</w:t>
      </w:r>
      <w:r w:rsidRPr="007434DA">
        <w:rPr>
          <w:rFonts w:cs="Calibri"/>
        </w:rPr>
        <w:t xml:space="preserve"> </w:t>
      </w:r>
      <w:r w:rsidRPr="007434DA">
        <w:rPr>
          <w:rFonts w:eastAsia="Arial"/>
        </w:rPr>
        <w:t>%) a proti průměru za celé uvedené desetileté období byla nižší o 9,2 %).</w:t>
      </w:r>
      <w:bookmarkEnd w:id="103"/>
      <w:r w:rsidRPr="007434DA">
        <w:rPr>
          <w:rFonts w:eastAsia="Arial"/>
        </w:rPr>
        <w:t xml:space="preserve"> </w:t>
      </w:r>
      <w:r w:rsidRPr="007434DA">
        <w:t xml:space="preserve">Nejvíce užívanými prostředky v posledních letech byly herbicidy a desikanty, jejichž podíl na celkové spotřebě meziročně  klesal z 56,4 % v roce 2010 až na 44 % v roce 2019.  Druhým typem POR z hlediska výše objemu spotřeby jsou fungicidy a mořidla. Od roku 2010 do roku 2019 jejich spotřeba průběžně meziročně vzrostla </w:t>
      </w:r>
      <w:r w:rsidRPr="007434DA">
        <w:rPr>
          <w:rFonts w:eastAsia="Arial"/>
        </w:rPr>
        <w:t>z 2,8 tis, t v roce 2010 až na 3,9 tis. t v roce 2019 a současně se zvyšoval i jejich podíl na celkové spotřebě POR ze 24,4 % v roce 2010 na 33,3 % v roce 2019.</w:t>
      </w:r>
      <w:r w:rsidRPr="007434DA">
        <w:t xml:space="preserve"> Třetí, nejvíce užívanou skupinou ochranných prostředků jsou regulátory růstu (podíl více než 9 %). Jejich spotřeba se ale od roku 2010 příliš neměnila. </w:t>
      </w:r>
      <w:r w:rsidRPr="007434DA">
        <w:rPr>
          <w:rFonts w:eastAsia="Arial"/>
        </w:rPr>
        <w:t xml:space="preserve">Zoocidy a mořidla náleží z hlediska objemu užití ke čtvrté významné skupině POR. Jejich podíl na celkové spotřebě přípravků na ochranu rostlin stoupl od roku 2010 do roku 2019 z 6,2 % na 8,9 % (tj. z 0,6 tis. t na 1,0 tis. t). Nevyšší byl </w:t>
      </w:r>
      <w:r w:rsidRPr="007434DA">
        <w:t>v roce 2014, kdy došlo k významnému navýšení frekvence aplikací insekticidů v řepce, v důsledku zákazu moření osiva řepky neonikotinoidy.</w:t>
      </w:r>
    </w:p>
    <w:p w14:paraId="39BE82C4" w14:textId="64FB2E4E" w:rsidR="00CB2594" w:rsidRPr="007434DA" w:rsidRDefault="00CB2594" w:rsidP="00CD4853">
      <w:pPr>
        <w:pStyle w:val="UZEIGraf"/>
      </w:pPr>
      <w:bookmarkStart w:id="104" w:name="_Toc93676660"/>
      <w:r w:rsidRPr="007434DA">
        <w:t>Vývoj spotřeby přípravků na ochranu rostlin v ČR v letech 2010-2019 (tis. kg, tis. l)</w:t>
      </w:r>
      <w:bookmarkEnd w:id="104"/>
      <w:r w:rsidRPr="007434DA">
        <w:t xml:space="preserve"> </w:t>
      </w:r>
    </w:p>
    <w:p w14:paraId="5CAB5EE3" w14:textId="77777777" w:rsidR="00CB2594" w:rsidRPr="007434DA" w:rsidRDefault="00CB2594" w:rsidP="00CB2594">
      <w:pPr>
        <w:rPr>
          <w:rFonts w:ascii="Arial" w:eastAsia="Times New Roman" w:hAnsi="Arial" w:cs="Arial"/>
          <w:b/>
          <w:bCs/>
          <w:color w:val="000000"/>
          <w:lang w:val="cs-CZ" w:eastAsia="cs-CZ"/>
        </w:rPr>
      </w:pPr>
      <w:r w:rsidRPr="007434DA">
        <w:rPr>
          <w:noProof/>
          <w:lang w:val="cs-CZ" w:eastAsia="cs-CZ"/>
        </w:rPr>
        <w:drawing>
          <wp:inline distT="0" distB="0" distL="0" distR="0" wp14:anchorId="774C3B36" wp14:editId="4288840C">
            <wp:extent cx="5760085" cy="3571875"/>
            <wp:effectExtent l="0" t="0" r="12065" b="9525"/>
            <wp:docPr id="22" name="Graf 22">
              <a:extLst xmlns:a="http://schemas.openxmlformats.org/drawingml/2006/main">
                <a:ext uri="{FF2B5EF4-FFF2-40B4-BE49-F238E27FC236}">
                  <a16:creationId xmlns:a16="http://schemas.microsoft.com/office/drawing/2014/main" id="{49BB71F2-ACBB-4B9F-A978-3522FBD2543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35640175" w14:textId="77777777" w:rsidR="00CB2594" w:rsidRPr="007434DA" w:rsidRDefault="00CB2594" w:rsidP="00CD4853">
      <w:pPr>
        <w:pStyle w:val="UZEIZdroj"/>
      </w:pPr>
      <w:r w:rsidRPr="007434DA">
        <w:t xml:space="preserve">Pozn.: Ostatní - pomocné prostředky na ochranu rostlin, repelenty, minerální oleje aj. </w:t>
      </w:r>
    </w:p>
    <w:p w14:paraId="5898BAEC" w14:textId="77777777" w:rsidR="00CB2594" w:rsidRPr="007434DA" w:rsidRDefault="00CB2594" w:rsidP="00CD4853">
      <w:pPr>
        <w:pStyle w:val="UZEIZdroj"/>
      </w:pPr>
      <w:r w:rsidRPr="007434DA">
        <w:t>Pramen: ÚKZUZ</w:t>
      </w:r>
    </w:p>
    <w:p w14:paraId="7647CC45" w14:textId="77777777" w:rsidR="00CB2594" w:rsidRPr="007434DA" w:rsidRDefault="0005469C" w:rsidP="00CD4853">
      <w:pPr>
        <w:pStyle w:val="UZEIZdroj"/>
        <w:rPr>
          <w:rFonts w:ascii="Arial" w:hAnsi="Arial" w:cs="Arial"/>
          <w:sz w:val="18"/>
          <w:szCs w:val="18"/>
        </w:rPr>
      </w:pPr>
      <w:hyperlink r:id="rId11" w:history="1">
        <w:r w:rsidR="00CB2594" w:rsidRPr="007434DA">
          <w:rPr>
            <w:rStyle w:val="Hypertextovodkaz"/>
            <w:rFonts w:cs="Arial"/>
            <w:sz w:val="18"/>
            <w:szCs w:val="18"/>
          </w:rPr>
          <w:t>http://eagri.cz/public/web/ukzuz/portal/pripravky-na-or/ucinne-latky-v-por-statistika-spotreba/spotreba-pripravku-na-or/spotreba-v-jednotlivych-letech</w:t>
        </w:r>
      </w:hyperlink>
    </w:p>
    <w:p w14:paraId="3B74596B" w14:textId="77777777" w:rsidR="00CB2594" w:rsidRPr="007434DA" w:rsidRDefault="00CB2594" w:rsidP="00CB2594">
      <w:pPr>
        <w:spacing w:line="240" w:lineRule="atLeast"/>
        <w:ind w:left="720" w:hanging="720"/>
        <w:rPr>
          <w:rFonts w:ascii="Arial" w:hAnsi="Arial" w:cs="Arial"/>
          <w:i/>
          <w:sz w:val="18"/>
          <w:szCs w:val="18"/>
          <w:lang w:val="cs-CZ"/>
        </w:rPr>
      </w:pPr>
    </w:p>
    <w:p w14:paraId="22B5AFAF" w14:textId="532703BD" w:rsidR="00CB2594" w:rsidRPr="007434DA" w:rsidRDefault="00CB2594" w:rsidP="00CD4853">
      <w:pPr>
        <w:pStyle w:val="UZEINormaln"/>
      </w:pPr>
      <w:r w:rsidRPr="007434DA">
        <w:t>V rámci hodnocení spotřeby přípravků na ochranu rostlin (POR) jsou ve skupině polní plodiny zahrnuty obiloviny, olejniny, kukuřice, luskoviny a okopaniny. Ve sledovaném období se spotřeba jednotlivých skupin POR u těchto plodin významně nelišila. Nejvýznamnější skupinu z hlediska užití reprezentují herbicidy, které se podílely na celkové spotřebě POR za období 2010-2019 v průměru 54 %. U skupiny herbicidních látek je možno sledovat od roku 2012 setrvalý trend snižování spotřeby (v porovnání s rokem 2019 došlo ke snížení o více než 36 %). Tento fakt je možno vysvětlit několika faktory, mezi které lze zahrnout snížení množství účinné látky v registrovaných herbicidních POR a postupné náhrady starších herbicidů za novější s nižší registrovanou dávkou. U kategorie biopreparáty došlo od roku 2010 do roku 2018 k významnému téměř trojnásobnému nárůstu spotřeby (z 1 844 l/kg na 4 899 l/kg). Tento trend podpořilo pravděpodobně nejen zavádění systému integrované ochrany, rozvoj ploch EZ, ale též snaha pěstitelů zkoušet jiné než chemické alternativy. V roce 2019 meziročně spotřeba biopreparátu klesla na polovinu.</w:t>
      </w:r>
    </w:p>
    <w:p w14:paraId="2F218AEA" w14:textId="5A61BC1C" w:rsidR="00CB2594" w:rsidRPr="007434DA" w:rsidRDefault="00CB2594" w:rsidP="001356E8">
      <w:pPr>
        <w:pStyle w:val="UZEIGraf"/>
      </w:pPr>
      <w:bookmarkStart w:id="105" w:name="_Toc93676661"/>
      <w:r w:rsidRPr="007434DA">
        <w:t xml:space="preserve">Spotřeba POR a DP u polních plodin v letech 2010-2019 </w:t>
      </w:r>
      <w:r w:rsidRPr="007434DA">
        <w:rPr>
          <w:color w:val="000000" w:themeColor="text1"/>
        </w:rPr>
        <w:t>(tis. kg/l)</w:t>
      </w:r>
      <w:bookmarkEnd w:id="105"/>
    </w:p>
    <w:p w14:paraId="34DB11A5" w14:textId="77777777" w:rsidR="00CB2594" w:rsidRPr="007434DA" w:rsidRDefault="00CB2594" w:rsidP="00CB2594">
      <w:pPr>
        <w:spacing w:before="120" w:after="120" w:line="360" w:lineRule="atLeast"/>
        <w:ind w:firstLine="142"/>
        <w:rPr>
          <w:rFonts w:ascii="Arial" w:eastAsia="Times New Roman" w:hAnsi="Arial" w:cs="Arial"/>
          <w:color w:val="000000"/>
          <w:sz w:val="20"/>
          <w:szCs w:val="20"/>
          <w:lang w:val="cs-CZ" w:eastAsia="cs-CZ"/>
        </w:rPr>
      </w:pPr>
      <w:r w:rsidRPr="007434DA">
        <w:rPr>
          <w:noProof/>
          <w:lang w:val="cs-CZ" w:eastAsia="cs-CZ"/>
        </w:rPr>
        <w:drawing>
          <wp:inline distT="0" distB="0" distL="0" distR="0" wp14:anchorId="0A3E9CE6" wp14:editId="1F15E38C">
            <wp:extent cx="5760085" cy="3314700"/>
            <wp:effectExtent l="0" t="0" r="12065" b="0"/>
            <wp:docPr id="8" name="Graf 8">
              <a:extLst xmlns:a="http://schemas.openxmlformats.org/drawingml/2006/main">
                <a:ext uri="{FF2B5EF4-FFF2-40B4-BE49-F238E27FC236}">
                  <a16:creationId xmlns:a16="http://schemas.microsoft.com/office/drawing/2014/main" id="{EADAEB9C-4EF2-4D66-850E-21CEAA8C442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5340AA3A" w14:textId="77777777" w:rsidR="00CB2594" w:rsidRPr="007434DA" w:rsidRDefault="00CB2594" w:rsidP="001356E8">
      <w:pPr>
        <w:pStyle w:val="UZEIZdroj"/>
      </w:pPr>
      <w:r w:rsidRPr="007434DA">
        <w:t>Pramen: ÚKZÚZ</w:t>
      </w:r>
    </w:p>
    <w:p w14:paraId="72CF5141" w14:textId="77777777" w:rsidR="00CB2594" w:rsidRPr="007434DA" w:rsidRDefault="00CB2594" w:rsidP="001356E8">
      <w:pPr>
        <w:pStyle w:val="UZEINormaln"/>
        <w:rPr>
          <w:rFonts w:eastAsia="Arial"/>
        </w:rPr>
      </w:pPr>
      <w:r w:rsidRPr="007434DA">
        <w:rPr>
          <w:rFonts w:eastAsia="Arial"/>
        </w:rPr>
        <w:t>Významným ukazatelem intenzity ochrany je frekvence aplikací pesticidů. V systémech integrované produkce ovoce, zeleniny a révy vinné k významnému nárůstu frekvence aplikací pesticidů nedošlo, v důsledku uplatňování zásad integrované produkce a motivace pěstitelů dotačními tituly pro integrovanou produkci a dále díky zvyšujícímu se podílu plochy zařazené v systému ekologického zemědělství.</w:t>
      </w:r>
    </w:p>
    <w:p w14:paraId="166D10D1" w14:textId="77777777" w:rsidR="00CB2594" w:rsidRPr="007434DA" w:rsidRDefault="00CB2594" w:rsidP="001356E8">
      <w:pPr>
        <w:pStyle w:val="UZEINormaln"/>
        <w:rPr>
          <w:color w:val="000000"/>
        </w:rPr>
      </w:pPr>
      <w:r w:rsidRPr="007434DA">
        <w:rPr>
          <w:color w:val="000000"/>
        </w:rPr>
        <w:t xml:space="preserve">U zeleniny a ovoce existuje propracovaný systém integrované produkce (IP), který si klade za cíl snížení vstupů a ozelenění pěstebních technologií. Ze statistiky je patrné, že u zeleniny byly nejvíce užívanými fungicidy a herbicidy, jejichž podíl na celkovém užití POR v průměru posledních deseti let dosahoval podíl 61 %, resp. 36 %. V roce 2014 došlo ke skokovému zvýšení spotřeby fungicidů a insekticidů díky atypickému průběhu sezóny, což se odrazilo i v celkové spotřebě POR. Celkově se však podíl spotřeby pesticidů v zelenině na celkové spotřebě POR pohybuje na necelém jednom procentu (v průměru okolo cca 30 tis. l/kg). Meziroční výkyvy ve spotřebě lze vysvětlit především průběhem počasí. </w:t>
      </w:r>
    </w:p>
    <w:p w14:paraId="712AF279" w14:textId="77777777" w:rsidR="00CB2594" w:rsidRPr="007434DA" w:rsidRDefault="00CB2594" w:rsidP="00CB2594">
      <w:pPr>
        <w:spacing w:before="120" w:after="120" w:line="360" w:lineRule="atLeast"/>
        <w:ind w:firstLine="567"/>
        <w:rPr>
          <w:rFonts w:ascii="Arial" w:eastAsia="Times New Roman" w:hAnsi="Arial" w:cs="Arial"/>
          <w:color w:val="000000"/>
          <w:sz w:val="20"/>
          <w:szCs w:val="20"/>
          <w:lang w:val="cs-CZ" w:eastAsia="cs-CZ"/>
        </w:rPr>
      </w:pPr>
    </w:p>
    <w:p w14:paraId="17A4EFEA" w14:textId="77777777" w:rsidR="00CB2594" w:rsidRPr="007434DA" w:rsidRDefault="00CB2594" w:rsidP="00CB2594">
      <w:pPr>
        <w:spacing w:before="120" w:after="120" w:line="360" w:lineRule="atLeast"/>
        <w:ind w:firstLine="567"/>
        <w:rPr>
          <w:rFonts w:ascii="Arial" w:eastAsia="Times New Roman" w:hAnsi="Arial" w:cs="Arial"/>
          <w:color w:val="000000"/>
          <w:sz w:val="20"/>
          <w:szCs w:val="20"/>
          <w:lang w:val="cs-CZ" w:eastAsia="cs-CZ"/>
        </w:rPr>
      </w:pPr>
    </w:p>
    <w:p w14:paraId="30DC37BE" w14:textId="77777777" w:rsidR="00CB2594" w:rsidRPr="007434DA" w:rsidRDefault="00CB2594" w:rsidP="001356E8">
      <w:pPr>
        <w:spacing w:before="120" w:after="120" w:line="360" w:lineRule="atLeast"/>
        <w:rPr>
          <w:rFonts w:ascii="Arial" w:eastAsia="Times New Roman" w:hAnsi="Arial" w:cs="Arial"/>
          <w:color w:val="000000"/>
          <w:sz w:val="20"/>
          <w:szCs w:val="20"/>
          <w:lang w:val="cs-CZ" w:eastAsia="cs-CZ"/>
        </w:rPr>
      </w:pPr>
    </w:p>
    <w:p w14:paraId="0B533178" w14:textId="54F5AE49" w:rsidR="00CB2594" w:rsidRPr="007434DA" w:rsidRDefault="00CB2594" w:rsidP="001356E8">
      <w:pPr>
        <w:pStyle w:val="UZEIGraf"/>
      </w:pPr>
      <w:bookmarkStart w:id="106" w:name="_Toc93676662"/>
      <w:r w:rsidRPr="007434DA">
        <w:t xml:space="preserve">Spotřeba POR a DP u zeleniny v letech 2010-2019 </w:t>
      </w:r>
      <w:r w:rsidRPr="007434DA">
        <w:rPr>
          <w:color w:val="000000" w:themeColor="text1"/>
        </w:rPr>
        <w:t>(tis. kg/l)</w:t>
      </w:r>
      <w:bookmarkEnd w:id="106"/>
      <w:r w:rsidRPr="007434DA">
        <w:rPr>
          <w:color w:val="000000" w:themeColor="text1"/>
        </w:rPr>
        <w:t xml:space="preserve"> </w:t>
      </w:r>
    </w:p>
    <w:p w14:paraId="119D79FA" w14:textId="77777777" w:rsidR="00CB2594" w:rsidRPr="007434DA" w:rsidRDefault="00CB2594" w:rsidP="00CB2594">
      <w:pPr>
        <w:spacing w:after="120" w:line="360" w:lineRule="atLeast"/>
        <w:rPr>
          <w:lang w:val="cs-CZ"/>
        </w:rPr>
      </w:pPr>
      <w:r w:rsidRPr="007434DA">
        <w:rPr>
          <w:noProof/>
          <w:lang w:val="cs-CZ" w:eastAsia="cs-CZ"/>
        </w:rPr>
        <w:drawing>
          <wp:inline distT="0" distB="0" distL="0" distR="0" wp14:anchorId="25C729FC" wp14:editId="64A25DE5">
            <wp:extent cx="5760085" cy="3229610"/>
            <wp:effectExtent l="0" t="0" r="12065" b="8890"/>
            <wp:docPr id="7" name="Graf 7">
              <a:extLst xmlns:a="http://schemas.openxmlformats.org/drawingml/2006/main">
                <a:ext uri="{FF2B5EF4-FFF2-40B4-BE49-F238E27FC236}">
                  <a16:creationId xmlns:a16="http://schemas.microsoft.com/office/drawing/2014/main" id="{82BC9AF3-7976-4556-8919-3833AACD2B0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615D13D5" w14:textId="77777777" w:rsidR="00CB2594" w:rsidRPr="007434DA" w:rsidRDefault="00CB2594" w:rsidP="001356E8">
      <w:pPr>
        <w:pStyle w:val="UZEIZdroj"/>
      </w:pPr>
      <w:r w:rsidRPr="007434DA">
        <w:t>Pramen: ÚKZÚZ</w:t>
      </w:r>
    </w:p>
    <w:p w14:paraId="1A78CAF5" w14:textId="23C2F3DE" w:rsidR="00CB2594" w:rsidRPr="007434DA" w:rsidRDefault="00CB2594" w:rsidP="001356E8">
      <w:pPr>
        <w:pStyle w:val="UZEINormaln"/>
      </w:pPr>
      <w:r w:rsidRPr="007434DA">
        <w:t>V rámci PRV na období 2014–2020 mohou čeští pěstitelé pěstovat ovoce v režimech IP nebo EZ. Většina ovocných sadů v ČR je v režimu IP (cca 73 %), tedy s regulací pesticidních vstupů. U ovoce klesla spotřeba POR od roku 2010 do roku 2019 téměř o polovinu (o 45 %), tj. na 136 tis. kg/l</w:t>
      </w:r>
      <w:r w:rsidR="00093D52">
        <w:t>.</w:t>
      </w:r>
      <w:r w:rsidRPr="007434DA">
        <w:t xml:space="preserve"> Největší spotřebu vykazovaly fungicidy, jejichž podíl na celkovém užití POR dosáhl v průměru posledních deseti let 89 %. Spotřeba fungicidů však v průběhu od roku 2010 vykazovala rovněž klesající tendenci</w:t>
      </w:r>
      <w:r w:rsidR="00093D52">
        <w:t>,</w:t>
      </w:r>
      <w:r w:rsidRPr="007434DA">
        <w:t xml:space="preserve"> za toto období klesla rovněž na polovinu. Celkově se podíl spotřeby pesticidů pohybuje na cca 2,7 % (v průměru okolo cca 131 tis. l/kg). V referenčním období (2010-2019) též došlo k výraznému poklesu spotřeby zoocidů (insekticidů a akaricidů), o 54 %. Tento pokles je způsoben díky pravidlům IP, které omezují vstupy insekticidů a snaží se jej nahradit nechemickými postupy. Obecně je trend spotřeby v ovoci též ovlivněn poklesem ploch pěstovaných ovocných kultur a ročníkem. V roce 2016 a 2017 díky jarním mrazům nebylo v sezóně ani co ošetřovat. </w:t>
      </w:r>
    </w:p>
    <w:p w14:paraId="270ED33A" w14:textId="238344CC" w:rsidR="00CB2594" w:rsidRPr="007434DA" w:rsidRDefault="00CB2594" w:rsidP="001356E8">
      <w:pPr>
        <w:pStyle w:val="UZEIGraf"/>
      </w:pPr>
      <w:r w:rsidRPr="007434DA">
        <w:t xml:space="preserve"> </w:t>
      </w:r>
      <w:bookmarkStart w:id="107" w:name="_Toc93676663"/>
      <w:r w:rsidRPr="007434DA">
        <w:t xml:space="preserve">Spotřeba POR a DP u ovoce v letech 2010-2019 </w:t>
      </w:r>
      <w:r w:rsidRPr="007434DA">
        <w:rPr>
          <w:color w:val="000000" w:themeColor="text1"/>
        </w:rPr>
        <w:t>(tis. kg/l)</w:t>
      </w:r>
      <w:bookmarkEnd w:id="107"/>
    </w:p>
    <w:p w14:paraId="7ECA10B6" w14:textId="77777777" w:rsidR="00CB2594" w:rsidRPr="007434DA" w:rsidRDefault="00CB2594" w:rsidP="00CB2594">
      <w:pPr>
        <w:spacing w:before="120" w:after="120" w:line="360" w:lineRule="atLeast"/>
        <w:rPr>
          <w:rFonts w:ascii="Arial" w:eastAsia="Times New Roman" w:hAnsi="Arial" w:cs="Arial"/>
          <w:color w:val="000000"/>
          <w:sz w:val="20"/>
          <w:szCs w:val="20"/>
          <w:lang w:val="cs-CZ" w:eastAsia="cs-CZ"/>
        </w:rPr>
      </w:pPr>
      <w:r w:rsidRPr="007434DA">
        <w:rPr>
          <w:noProof/>
          <w:lang w:val="cs-CZ" w:eastAsia="cs-CZ"/>
        </w:rPr>
        <w:drawing>
          <wp:inline distT="0" distB="0" distL="0" distR="0" wp14:anchorId="43F9009E" wp14:editId="576F9FDC">
            <wp:extent cx="5690681" cy="2383276"/>
            <wp:effectExtent l="0" t="0" r="12065" b="17145"/>
            <wp:docPr id="16" name="Graf 16">
              <a:extLst xmlns:a="http://schemas.openxmlformats.org/drawingml/2006/main">
                <a:ext uri="{FF2B5EF4-FFF2-40B4-BE49-F238E27FC236}">
                  <a16:creationId xmlns:a16="http://schemas.microsoft.com/office/drawing/2014/main" id="{264626BC-4BC9-47A7-BDA7-5ACD997D648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28F0229C" w14:textId="77777777" w:rsidR="00CB2594" w:rsidRPr="007434DA" w:rsidRDefault="00CB2594" w:rsidP="001356E8">
      <w:pPr>
        <w:pStyle w:val="UZEIZdroj"/>
      </w:pPr>
      <w:r w:rsidRPr="007434DA">
        <w:t>Pramen: ÚKZÚZ</w:t>
      </w:r>
    </w:p>
    <w:p w14:paraId="1F6C8454" w14:textId="77777777" w:rsidR="00CB2594" w:rsidRPr="007434DA" w:rsidRDefault="00CB2594" w:rsidP="001356E8">
      <w:pPr>
        <w:pStyle w:val="UZEINormaln"/>
      </w:pPr>
      <w:r w:rsidRPr="007434DA">
        <w:t xml:space="preserve">Celková spotřeba POR u vinné révy za roky 2010 až 2019 vykazovala růstový trend. Nejvýznamněji se na ní podílejí fungicidy, a to v průměru posledních deseti let téměř 92 %. Statisticky průkazný nárůst spotřeby u fungicidů v průběhu let 2016-2019 lze vysvětlit změnou v registraci u některých hnojiv, které byly díky vedlejším účinkům přeregistrovány na přípravky na ochranu rostlin. Díky jejich hojnému využívání došlo ke znatelnému nárůstu i ve statistice spotřeby. </w:t>
      </w:r>
    </w:p>
    <w:p w14:paraId="3255BA5C" w14:textId="155B9B68" w:rsidR="00CB2594" w:rsidRPr="007434DA" w:rsidRDefault="00CB2594" w:rsidP="001356E8">
      <w:pPr>
        <w:pStyle w:val="UZEINormaln"/>
      </w:pPr>
      <w:r w:rsidRPr="007434DA">
        <w:t xml:space="preserve">U révy vinné existuje propracovaný systém IP, který si klade za cíl snížení vstupů a ozelenění pěstebních technologií. V rámci PRV na období 2014–2020 je možno révu pěstovat ve dvou titulech; a to základním a v nadstavbovém systému ochrany vinic. Dále je zde využíván systém EZ, kde jsou veškeré syntetické pesticidy zcela zakázány. Celkově se podíl spotřeby pesticidů v révě vinné pohybuje na cca 4 % (v průměru okolo cca 205 tis. l/kg). Ze statistiky je patrné, že v referenčním období též došlo k výraznému poklesu spotřeby zoocidů (insekticidů a akaricidů), o 99 % (z 23 tis. l/kg/l na 55 l/kg/l). Tento pokles je ovlivněn podmínkami podpor IP, které zakazují od roku 2014 aplikace akaricidů s náhradou introdukce dravého roztoče, dále zavedení nadstandartního titulu, který omezuje použití POR proti plísni révové a padlí a také striktní omezení POR proti obalečům. Podíl spotřeby insekticidů klesl díky úspěšné strategii matení samců významných druhů škůdců. </w:t>
      </w:r>
    </w:p>
    <w:p w14:paraId="1DDB22FB" w14:textId="2B260D2E" w:rsidR="00CB2594" w:rsidRPr="007434DA" w:rsidRDefault="00CB2594" w:rsidP="001356E8">
      <w:pPr>
        <w:pStyle w:val="UZEIGraf"/>
      </w:pPr>
      <w:bookmarkStart w:id="108" w:name="_Toc93676664"/>
      <w:r w:rsidRPr="007434DA">
        <w:t xml:space="preserve">Spotřeba POR a DP u révy vinné v letech 2010-2019 </w:t>
      </w:r>
      <w:r w:rsidRPr="007434DA">
        <w:rPr>
          <w:color w:val="000000" w:themeColor="text1"/>
        </w:rPr>
        <w:t>(tis. kg/l)</w:t>
      </w:r>
      <w:bookmarkEnd w:id="108"/>
    </w:p>
    <w:p w14:paraId="7AD9BC90" w14:textId="77777777" w:rsidR="00CB2594" w:rsidRPr="007434DA" w:rsidRDefault="00CB2594" w:rsidP="00CB2594">
      <w:pPr>
        <w:spacing w:after="120" w:line="360" w:lineRule="atLeast"/>
        <w:rPr>
          <w:lang w:val="cs-CZ"/>
        </w:rPr>
      </w:pPr>
      <w:r w:rsidRPr="007434DA">
        <w:rPr>
          <w:noProof/>
          <w:lang w:val="cs-CZ"/>
        </w:rPr>
        <w:t xml:space="preserve"> </w:t>
      </w:r>
      <w:r w:rsidRPr="007434DA">
        <w:rPr>
          <w:noProof/>
          <w:lang w:val="cs-CZ" w:eastAsia="cs-CZ"/>
        </w:rPr>
        <w:drawing>
          <wp:inline distT="0" distB="0" distL="0" distR="0" wp14:anchorId="18A38CCA" wp14:editId="555CE1D2">
            <wp:extent cx="5629275" cy="3342640"/>
            <wp:effectExtent l="0" t="0" r="9525" b="10160"/>
            <wp:docPr id="21" name="Graf 21">
              <a:extLst xmlns:a="http://schemas.openxmlformats.org/drawingml/2006/main">
                <a:ext uri="{FF2B5EF4-FFF2-40B4-BE49-F238E27FC236}">
                  <a16:creationId xmlns:a16="http://schemas.microsoft.com/office/drawing/2014/main" id="{A5A03937-BB36-487F-93D5-2DC245E1586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128E2C83" w14:textId="208668F2" w:rsidR="00CB2594" w:rsidRPr="007434DA" w:rsidRDefault="00CB2594" w:rsidP="001356E8">
      <w:pPr>
        <w:pStyle w:val="UZEIZdroj"/>
      </w:pPr>
      <w:r w:rsidRPr="007434DA">
        <w:t>Pramen: ÚKZÚZ</w:t>
      </w:r>
    </w:p>
    <w:p w14:paraId="3B660931" w14:textId="77777777" w:rsidR="00091C9F" w:rsidRPr="00FA3A37" w:rsidRDefault="00091C9F">
      <w:pPr>
        <w:spacing w:after="160" w:line="259" w:lineRule="auto"/>
        <w:jc w:val="left"/>
        <w:rPr>
          <w:b/>
          <w:bCs/>
          <w:lang w:val="cs-CZ"/>
        </w:rPr>
      </w:pPr>
      <w:bookmarkStart w:id="109" w:name="_Toc2272427"/>
      <w:bookmarkStart w:id="110" w:name="_Toc12611745"/>
      <w:bookmarkStart w:id="111" w:name="_Toc12613409"/>
      <w:bookmarkStart w:id="112" w:name="_Toc80877857"/>
      <w:bookmarkStart w:id="113" w:name="_Hlk532208131"/>
    </w:p>
    <w:p w14:paraId="6373E3F1" w14:textId="77777777" w:rsidR="00091C9F" w:rsidRDefault="00091C9F">
      <w:pPr>
        <w:spacing w:after="160" w:line="259" w:lineRule="auto"/>
        <w:jc w:val="left"/>
        <w:rPr>
          <w:rFonts w:eastAsia="Times New Roman" w:cstheme="minorHAnsi"/>
          <w:szCs w:val="24"/>
          <w:lang w:val="cs-CZ" w:eastAsia="cs-CZ"/>
        </w:rPr>
      </w:pPr>
      <w:r w:rsidRPr="00FA3A37">
        <w:rPr>
          <w:lang w:val="cs-CZ"/>
        </w:rPr>
        <w:br w:type="page"/>
      </w:r>
    </w:p>
    <w:p w14:paraId="52EA59BB" w14:textId="2FFBA19D" w:rsidR="00091C9F" w:rsidRPr="00091C9F" w:rsidRDefault="00091C9F" w:rsidP="00091C9F">
      <w:pPr>
        <w:pStyle w:val="UZEINormaln"/>
      </w:pPr>
      <w:r w:rsidRPr="00091C9F">
        <w:t xml:space="preserve">V grafu 7 je shrnuto zhodnocení směru vývoje HRI 1 za období 2011 – 2019. </w:t>
      </w:r>
      <w:r>
        <w:t>Indikátor je založen na množství účinných látek uvedených na trh v přípravcích na ochranu rostlin podle nařízení (ES) č. 1107/2009 1. Z grafu vyplývá, že u HRI I dochází v porovnání k základní hodnotě vypočítané za období 2011 – 2013, která je rovna 100 (baseline), v dalších letech 2014 - 2019 k postupnému poklesu, a to v roce 2019 až na hodnotu 56.</w:t>
      </w:r>
    </w:p>
    <w:p w14:paraId="315F96E5" w14:textId="3710EA37" w:rsidR="00091C9F" w:rsidRPr="00FA3A37" w:rsidRDefault="00091C9F">
      <w:pPr>
        <w:spacing w:after="160" w:line="259" w:lineRule="auto"/>
        <w:jc w:val="left"/>
        <w:rPr>
          <w:b/>
          <w:bCs/>
          <w:lang w:val="cs-CZ"/>
        </w:rPr>
      </w:pPr>
    </w:p>
    <w:p w14:paraId="1EF61E18" w14:textId="443D8523" w:rsidR="00091C9F" w:rsidRPr="00091C9F" w:rsidRDefault="00091C9F" w:rsidP="00091C9F">
      <w:pPr>
        <w:pStyle w:val="UZEIGraf"/>
      </w:pPr>
      <w:bookmarkStart w:id="114" w:name="_Toc93676665"/>
      <w:r w:rsidRPr="00091C9F">
        <w:t>Zhodnocení směru vývoje HRI 1 za období 201-2019</w:t>
      </w:r>
      <w:bookmarkEnd w:id="114"/>
    </w:p>
    <w:p w14:paraId="378CF18D" w14:textId="6312DE0C" w:rsidR="00091C9F" w:rsidRDefault="00091C9F">
      <w:pPr>
        <w:spacing w:after="160" w:line="259" w:lineRule="auto"/>
        <w:jc w:val="left"/>
        <w:rPr>
          <w:rFonts w:eastAsia="Times New Roman" w:cstheme="minorHAnsi"/>
          <w:b/>
          <w:bCs/>
          <w:szCs w:val="24"/>
          <w:lang w:val="cs-CZ" w:eastAsia="cs-CZ"/>
        </w:rPr>
      </w:pPr>
      <w:r>
        <w:rPr>
          <w:noProof/>
          <w:lang w:val="cs-CZ" w:eastAsia="cs-CZ"/>
        </w:rPr>
        <w:drawing>
          <wp:inline distT="0" distB="0" distL="0" distR="0" wp14:anchorId="65DD6D64" wp14:editId="049F2984">
            <wp:extent cx="5782733" cy="2861733"/>
            <wp:effectExtent l="0" t="0" r="8890" b="15240"/>
            <wp:docPr id="19" name="Graf 19">
              <a:extLst xmlns:a="http://schemas.openxmlformats.org/drawingml/2006/main">
                <a:ext uri="{FF2B5EF4-FFF2-40B4-BE49-F238E27FC236}">
                  <a16:creationId xmlns:a16="http://schemas.microsoft.com/office/drawing/2014/main" id="{6BF6BDE3-8314-475C-95DE-F013E2F9A5B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5CF39EA4" w14:textId="23112293" w:rsidR="00091C9F" w:rsidRPr="007434DA" w:rsidRDefault="00091C9F" w:rsidP="00091C9F">
      <w:pPr>
        <w:pStyle w:val="UZEIZdroj"/>
      </w:pPr>
      <w:r w:rsidRPr="007434DA">
        <w:t xml:space="preserve">Pramen: </w:t>
      </w:r>
      <w:r>
        <w:t>HRI 1 (ÚKZÚZ) (eagri.cz)</w:t>
      </w:r>
    </w:p>
    <w:p w14:paraId="79253474" w14:textId="77777777" w:rsidR="00091C9F" w:rsidRDefault="00091C9F" w:rsidP="002622E7">
      <w:pPr>
        <w:pStyle w:val="UZEINormaln"/>
        <w:rPr>
          <w:b/>
          <w:bCs/>
        </w:rPr>
      </w:pPr>
    </w:p>
    <w:p w14:paraId="734E593B" w14:textId="01AD871E" w:rsidR="00CB2594" w:rsidRPr="002622E7" w:rsidRDefault="00CB2594" w:rsidP="002622E7">
      <w:pPr>
        <w:pStyle w:val="UZEINormaln"/>
        <w:rPr>
          <w:b/>
          <w:bCs/>
        </w:rPr>
      </w:pPr>
      <w:r w:rsidRPr="002622E7">
        <w:rPr>
          <w:b/>
          <w:bCs/>
        </w:rPr>
        <w:t>Výskyt reziduí účinných látek POR</w:t>
      </w:r>
      <w:bookmarkEnd w:id="109"/>
      <w:r w:rsidRPr="002622E7">
        <w:rPr>
          <w:b/>
          <w:bCs/>
        </w:rPr>
        <w:t xml:space="preserve"> v potravinách</w:t>
      </w:r>
      <w:bookmarkEnd w:id="110"/>
      <w:bookmarkEnd w:id="111"/>
      <w:bookmarkEnd w:id="112"/>
    </w:p>
    <w:bookmarkEnd w:id="113"/>
    <w:p w14:paraId="1FC21CC1" w14:textId="77777777" w:rsidR="00CB2594" w:rsidRPr="007434DA" w:rsidRDefault="00CB2594" w:rsidP="001356E8">
      <w:pPr>
        <w:pStyle w:val="UZEINormaln"/>
      </w:pPr>
      <w:r w:rsidRPr="007434DA">
        <w:t xml:space="preserve">Na základě národních kontrolních programů (čl. 30 nařízení (ES) č. 396/2005), které jsou každoročně aktualizovány, provádějí členské státy EU kontroly reziduí pesticidů, aby ověřily dodržování MLR. Tyto kontroly spočívají zejména v odebírání vzorků, provádění rozborů a v následné identifikaci pesticidů a stanovení hodnot přítomných reziduí. </w:t>
      </w:r>
    </w:p>
    <w:p w14:paraId="494471D6" w14:textId="168D5812" w:rsidR="00CB2594" w:rsidRDefault="00CB2594" w:rsidP="001356E8">
      <w:pPr>
        <w:pStyle w:val="UZEINormaln"/>
      </w:pPr>
      <w:r w:rsidRPr="007434DA">
        <w:t>Přehled počtu pozitivních nálezů výskytů reziduí účinných látek POR (tj. nad prahem detekce i s překročeným max. limitem MLR) ve vzorcích sledovaných produktů z Výsledků kontrol SZPI je uveden v tab. 5. Z přehledu je patrné, že období let 2012</w:t>
      </w:r>
      <w:r w:rsidRPr="007434DA">
        <w:noBreakHyphen/>
        <w:t>2020 vykazovala v České republice více než polovina (v průměru 57,3 %) analyzovaných vzorků výskyt reziduí účinných látek přípravků na ochranu rostlin nad prahem detekce. V posledních třech letech (2018-2020) se podíl těchto vzorků zvýšil a dosahoval v průměru na 67,3 %. V rámci hodnocených produktů dovezených z EU byla situace horší, neboť z celkového počtu analyzovaných vzorků vykázalo v období 2012-2020 rezidua pesticidů nad prahem detekce více než dvě třetiny (průměr 69,1 %). Také zde došlo za poslední tři roky ke zhoršení a podíl pozitivních vzorků stoupl na 75,2 %. V rámci třetích zemí bylo v průměru let 2012-2020 zjištěno SZPI překročení prahu detekce reziduí pesticidů téměř u tří čtvrtin analyzovaných vzorků (72,5 %) z dovezených produktů ze všech hodnocených. Průměr posledních třech let se zvýšil jen o 1,9procentních bodů na 74,5 %.</w:t>
      </w:r>
    </w:p>
    <w:p w14:paraId="47785C84" w14:textId="77777777" w:rsidR="00093D52" w:rsidRPr="007434DA" w:rsidRDefault="00093D52" w:rsidP="001356E8">
      <w:pPr>
        <w:pStyle w:val="UZEINormaln"/>
      </w:pPr>
    </w:p>
    <w:p w14:paraId="61D00A7D" w14:textId="1CD5F830" w:rsidR="00CB2594" w:rsidRPr="007434DA" w:rsidRDefault="00CB2594" w:rsidP="002622E7">
      <w:pPr>
        <w:pStyle w:val="UZEITaB"/>
        <w:tabs>
          <w:tab w:val="left" w:pos="851"/>
        </w:tabs>
        <w:ind w:left="993" w:hanging="993"/>
      </w:pPr>
      <w:bookmarkStart w:id="115" w:name="_Toc94095277"/>
      <w:r w:rsidRPr="007434DA">
        <w:t>Porovnání množství zjištěných reziduí účinných látek přípravků na ochranu rostlin a jejich metabolitů v zemědělských produktech v rámci kontrol v ČR 2012 – 2020</w:t>
      </w:r>
      <w:bookmarkEnd w:id="115"/>
    </w:p>
    <w:p w14:paraId="052F3EE5" w14:textId="77777777" w:rsidR="00CB2594" w:rsidRPr="007434DA" w:rsidRDefault="00CB2594" w:rsidP="00CB2594">
      <w:pPr>
        <w:spacing w:before="120" w:line="240" w:lineRule="atLeast"/>
        <w:rPr>
          <w:rFonts w:ascii="Arial" w:eastAsia="Times New Roman" w:hAnsi="Arial" w:cs="Arial"/>
          <w:b/>
          <w:bCs/>
          <w:color w:val="000000"/>
          <w:lang w:val="cs-CZ" w:eastAsia="cs-CZ"/>
        </w:rPr>
      </w:pPr>
      <w:r w:rsidRPr="007434DA">
        <w:rPr>
          <w:noProof/>
          <w:lang w:val="cs-CZ" w:eastAsia="cs-CZ"/>
        </w:rPr>
        <w:drawing>
          <wp:inline distT="0" distB="0" distL="0" distR="0" wp14:anchorId="67501738" wp14:editId="0697A8B2">
            <wp:extent cx="6057754" cy="3895725"/>
            <wp:effectExtent l="0" t="0" r="635"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
                    <pic:cNvPicPr/>
                  </pic:nvPicPr>
                  <pic:blipFill>
                    <a:blip r:embed="rId17">
                      <a:extLst>
                        <a:ext uri="{28A0092B-C50C-407E-A947-70E740481C1C}">
                          <a14:useLocalDpi xmlns:a14="http://schemas.microsoft.com/office/drawing/2010/main" val="0"/>
                        </a:ext>
                      </a:extLst>
                    </a:blip>
                    <a:stretch>
                      <a:fillRect/>
                    </a:stretch>
                  </pic:blipFill>
                  <pic:spPr>
                    <a:xfrm>
                      <a:off x="0" y="0"/>
                      <a:ext cx="6057754" cy="3895725"/>
                    </a:xfrm>
                    <a:prstGeom prst="rect">
                      <a:avLst/>
                    </a:prstGeom>
                  </pic:spPr>
                </pic:pic>
              </a:graphicData>
            </a:graphic>
          </wp:inline>
        </w:drawing>
      </w:r>
    </w:p>
    <w:p w14:paraId="008C96BC" w14:textId="77777777" w:rsidR="00CB2594" w:rsidRPr="007434DA" w:rsidRDefault="00CB2594" w:rsidP="001356E8">
      <w:pPr>
        <w:pStyle w:val="UZEIZdroj"/>
      </w:pPr>
      <w:r w:rsidRPr="007434DA">
        <w:t>Pramen: Výsledky kontrol SZPI v ČR v období 2012-2018 NAP, Zpráva o výsledcích plánované kontroly cizorodých látek v potravinách (2012-2020)</w:t>
      </w:r>
    </w:p>
    <w:p w14:paraId="2C7F5EF9" w14:textId="77777777" w:rsidR="00CB2594" w:rsidRPr="007434DA" w:rsidRDefault="00CB2594" w:rsidP="001356E8">
      <w:pPr>
        <w:pStyle w:val="UZEIZdroj"/>
      </w:pPr>
      <w:r w:rsidRPr="007434DA">
        <w:t>Pozn.: V případě překročení maximálního limitu u sledovaného vzorku stanoveného závazným právním předpisem, SZPI uloží zákaz prodeje či distribuce kontrolované potraviny.</w:t>
      </w:r>
    </w:p>
    <w:p w14:paraId="2D6B4489" w14:textId="09124712" w:rsidR="00CB2594" w:rsidRPr="007434DA" w:rsidRDefault="00CB2594" w:rsidP="001356E8">
      <w:pPr>
        <w:pStyle w:val="UZEINormaln"/>
      </w:pPr>
      <w:r w:rsidRPr="007434DA">
        <w:t xml:space="preserve">Důležité však je, že počet </w:t>
      </w:r>
      <w:r w:rsidRPr="007434DA">
        <w:rPr>
          <w:b/>
          <w:bCs/>
        </w:rPr>
        <w:t>vzorků překračujících maximální povolený limit reziduí POR</w:t>
      </w:r>
      <w:r w:rsidRPr="007434DA">
        <w:t xml:space="preserve"> ve vzorcích potravin z celkového počtu analyzovaných byl téměř zanedbatelný, neboť v průměru let 2012</w:t>
      </w:r>
      <w:r w:rsidRPr="007434DA">
        <w:noBreakHyphen/>
        <w:t>2020 dosahoval 1,0 %. V potravinách vyrobených v ČR bylo takto označeno 0,8 % vzorků s tím, že v roce 2014, 2015 a 2019 tento podíl mírně převyšoval 1,4 %. U produktů dovezených z Evropské unie vykazovalo v průměru sledovaného období 1,0 % vzorků hodnoty nad</w:t>
      </w:r>
      <w:r w:rsidRPr="007434DA">
        <w:rPr>
          <w:b/>
          <w:bCs/>
          <w:color w:val="000000"/>
        </w:rPr>
        <w:t xml:space="preserve"> </w:t>
      </w:r>
      <w:r w:rsidRPr="007434DA">
        <w:t xml:space="preserve">max. povolený limit reziduí (MLR). Jak je patrné z grafu 8, zatímco od roku 2012 do roku 2016 byl tento podíl vzorků velmi nízký a nepřekročil 0,7 %, v posledních třech letech se zhruba zdvojnásobil na 1,5 %. U vzorků potravin pocházejících ze třetích zemí v průměru let 2012-2020 bylo u 2,0 % vzorků identifikováno překročení MLR. V posledních třech letech se situace výrazně zhoršila a počet nevyhovujících vzorků potravin dovezených ze třetích zemí výrazně rostl (graf </w:t>
      </w:r>
      <w:r w:rsidR="000F5D6E">
        <w:t>8</w:t>
      </w:r>
      <w:r w:rsidRPr="007434DA">
        <w:t xml:space="preserve">). </w:t>
      </w:r>
    </w:p>
    <w:p w14:paraId="27088465" w14:textId="538A5E13" w:rsidR="000F5D6E" w:rsidRDefault="000F5D6E">
      <w:pPr>
        <w:spacing w:after="160" w:line="259" w:lineRule="auto"/>
        <w:jc w:val="left"/>
        <w:rPr>
          <w:rFonts w:ascii="Arial" w:eastAsia="Times New Roman" w:hAnsi="Arial" w:cs="Arial"/>
          <w:b/>
          <w:bCs/>
          <w:color w:val="000000"/>
          <w:lang w:val="cs-CZ" w:eastAsia="cs-CZ"/>
        </w:rPr>
      </w:pPr>
      <w:r>
        <w:rPr>
          <w:rFonts w:ascii="Arial" w:eastAsia="Times New Roman" w:hAnsi="Arial" w:cs="Arial"/>
          <w:b/>
          <w:bCs/>
          <w:color w:val="000000"/>
          <w:lang w:val="cs-CZ" w:eastAsia="cs-CZ"/>
        </w:rPr>
        <w:br w:type="page"/>
      </w:r>
    </w:p>
    <w:p w14:paraId="7E47F1D7" w14:textId="77777777" w:rsidR="00CB2594" w:rsidRPr="007434DA" w:rsidRDefault="00CB2594" w:rsidP="00CB2594">
      <w:pPr>
        <w:rPr>
          <w:rFonts w:ascii="Arial" w:eastAsia="Times New Roman" w:hAnsi="Arial" w:cs="Arial"/>
          <w:b/>
          <w:bCs/>
          <w:color w:val="000000"/>
          <w:lang w:val="cs-CZ" w:eastAsia="cs-CZ"/>
        </w:rPr>
      </w:pPr>
    </w:p>
    <w:p w14:paraId="0CCBDABB" w14:textId="634B5EFD" w:rsidR="00CB2594" w:rsidRPr="007434DA" w:rsidRDefault="00CB2594" w:rsidP="00CA70CD">
      <w:pPr>
        <w:pStyle w:val="UZEIGraf"/>
        <w:ind w:hanging="720"/>
      </w:pPr>
      <w:bookmarkStart w:id="116" w:name="_Toc93676666"/>
      <w:r w:rsidRPr="007434DA">
        <w:t>Podíl vzorků s překročeným max. povoleným limitem reziduí POR z celkového počtu analyzovaných potravin v ČR, v EU a ve třetích zemí za období 2012-2020 v %</w:t>
      </w:r>
      <w:bookmarkEnd w:id="116"/>
      <w:r w:rsidRPr="007434DA">
        <w:t xml:space="preserve"> </w:t>
      </w:r>
    </w:p>
    <w:p w14:paraId="0392E8B7" w14:textId="77777777" w:rsidR="00CB2594" w:rsidRPr="007434DA" w:rsidRDefault="00CB2594" w:rsidP="00CB2594">
      <w:pPr>
        <w:rPr>
          <w:rFonts w:ascii="Arial" w:eastAsia="Times New Roman" w:hAnsi="Arial" w:cs="Arial"/>
          <w:color w:val="000000"/>
          <w:sz w:val="20"/>
          <w:szCs w:val="20"/>
          <w:lang w:val="cs-CZ" w:eastAsia="cs-CZ"/>
        </w:rPr>
      </w:pPr>
      <w:r w:rsidRPr="007434DA">
        <w:rPr>
          <w:noProof/>
          <w:lang w:val="cs-CZ" w:eastAsia="cs-CZ"/>
        </w:rPr>
        <w:drawing>
          <wp:inline distT="0" distB="0" distL="0" distR="0" wp14:anchorId="032F76FB" wp14:editId="4EF42525">
            <wp:extent cx="5781675" cy="2771775"/>
            <wp:effectExtent l="0" t="0" r="9525" b="9525"/>
            <wp:docPr id="12" name="Graf 12">
              <a:extLst xmlns:a="http://schemas.openxmlformats.org/drawingml/2006/main">
                <a:ext uri="{FF2B5EF4-FFF2-40B4-BE49-F238E27FC236}">
                  <a16:creationId xmlns:a16="http://schemas.microsoft.com/office/drawing/2014/main" id="{8906FFD4-B1C4-47EF-B1C1-F98961A5BB9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35F67179" w14:textId="77777777" w:rsidR="00CB2594" w:rsidRPr="007434DA" w:rsidRDefault="00CB2594" w:rsidP="001356E8">
      <w:pPr>
        <w:pStyle w:val="UZEIZdroj"/>
      </w:pPr>
      <w:r w:rsidRPr="007434DA">
        <w:t>Pramen: Zpráva o výsledcích plánované kontroly cizorodých látek v potravinách (2012-2020)</w:t>
      </w:r>
    </w:p>
    <w:p w14:paraId="4A6C0340" w14:textId="77777777" w:rsidR="00CB2594" w:rsidRPr="007434DA" w:rsidRDefault="00CB2594" w:rsidP="00CB2594">
      <w:pPr>
        <w:spacing w:after="120" w:line="260" w:lineRule="atLeast"/>
        <w:ind w:firstLine="567"/>
        <w:rPr>
          <w:rFonts w:ascii="Arial" w:eastAsia="Times New Roman" w:hAnsi="Arial" w:cs="Arial"/>
          <w:i/>
          <w:color w:val="000000"/>
          <w:sz w:val="18"/>
          <w:szCs w:val="18"/>
          <w:lang w:val="cs-CZ" w:eastAsia="cs-CZ"/>
        </w:rPr>
      </w:pPr>
    </w:p>
    <w:p w14:paraId="2CC5955A" w14:textId="3720D33E" w:rsidR="00CB2594" w:rsidRPr="007434DA" w:rsidRDefault="00CB2594" w:rsidP="00D06320">
      <w:pPr>
        <w:pStyle w:val="UZEINormaln"/>
      </w:pPr>
      <w:r w:rsidRPr="007434DA">
        <w:t xml:space="preserve">V tabulce </w:t>
      </w:r>
      <w:r w:rsidR="00D06320" w:rsidRPr="007434DA">
        <w:t>5</w:t>
      </w:r>
      <w:r w:rsidRPr="007434DA">
        <w:t xml:space="preserve"> je uveden počet vzorků, které vykazovaly ve všech analyzovaných rostlinných produktech pozitivní a nadlimitní výskyt reziduí z celkového počtu analyzovaných. U ovoce a zeleniny je uvedeno podrobnější členění výsledků, tj. za ČR, EU a třetí země. V průměru let 2012</w:t>
      </w:r>
      <w:r w:rsidRPr="007434DA">
        <w:noBreakHyphen/>
        <w:t xml:space="preserve">2020 byl zjištěn nejlepší výsledek u obilnin (včetně rýže a obilných výrobků), kde u žádného ze vzorků nebylo v případě pesticidů identifikováno překročení stanoveného limitu (MLR). Celkem byl u zeleniny v průměru let 2012-2020 překročen limit výskytu reziduí u 1,2 % vzorků, z toho v ČR u 1,4 %. U vzorků zeleniny pocházející z EU pak 1,1 % vzorků vykazovalo nadlimitní hodnoty POR a v případě třetích zemí to bylo u 2,1 % vzorků. </w:t>
      </w:r>
    </w:p>
    <w:p w14:paraId="32FF7523" w14:textId="77777777" w:rsidR="00CB2594" w:rsidRPr="007434DA" w:rsidRDefault="00CB2594" w:rsidP="00D06320">
      <w:pPr>
        <w:pStyle w:val="UZEINormaln"/>
      </w:pPr>
      <w:r w:rsidRPr="007434DA">
        <w:t xml:space="preserve">U analyzovaného ovoce byl překročen maximální povolený limit pesticidů u 0,9 % z celkového počtu analyzovaných vzorků, z toho v ČR to bylo u 0,8 % a stejná hodnota byla i u vzorků pocházejících z EU. Podíl nevyhovujících vzorků dodaného ovoce ze třetích zemích dosáhl 1,8 %. </w:t>
      </w:r>
    </w:p>
    <w:p w14:paraId="0D3D9895" w14:textId="2E779009" w:rsidR="00CB2594" w:rsidRPr="007434DA" w:rsidRDefault="00CB2594" w:rsidP="00D06320">
      <w:pPr>
        <w:pStyle w:val="UZEINormaln"/>
      </w:pPr>
      <w:r w:rsidRPr="007434DA">
        <w:t xml:space="preserve">Frekvence výskytu pesticidů v zelenině a ovoci je sice nízká (viz tab. </w:t>
      </w:r>
      <w:r w:rsidR="00D06320" w:rsidRPr="007434DA">
        <w:t>5</w:t>
      </w:r>
      <w:r w:rsidRPr="007434DA">
        <w:t>), ale především díky tomu, že převážná část vyprodukovaného ovoce pochází ze sadů s uplatňovaným režimem IP a EZ (téměř 97 % plochy) a obdobně i významný objem produkce zeleniny pochází z pěstební plochy s režimem IP a EZ (téměř 68 %). Oba tyto způsoby hospodaření jsou podporovány v rámci PRV a pěstitelé jsou tak motivováni se do nich zapojovat.</w:t>
      </w:r>
    </w:p>
    <w:p w14:paraId="0F134FF1" w14:textId="77777777" w:rsidR="00CB2594" w:rsidRPr="007434DA" w:rsidRDefault="00CB2594" w:rsidP="00CB2594">
      <w:pPr>
        <w:rPr>
          <w:rFonts w:ascii="Arial" w:eastAsia="Times New Roman" w:hAnsi="Arial" w:cs="Arial"/>
          <w:b/>
          <w:bCs/>
          <w:color w:val="000000"/>
          <w:lang w:val="cs-CZ" w:eastAsia="cs-CZ"/>
        </w:rPr>
      </w:pPr>
    </w:p>
    <w:p w14:paraId="72EE92C9" w14:textId="3BDD6A02" w:rsidR="00CB2594" w:rsidRPr="007434DA" w:rsidRDefault="00CB2594" w:rsidP="00CB2594">
      <w:pPr>
        <w:rPr>
          <w:rFonts w:ascii="Arial" w:eastAsia="Times New Roman" w:hAnsi="Arial" w:cs="Arial"/>
          <w:b/>
          <w:bCs/>
          <w:color w:val="000000"/>
          <w:lang w:val="cs-CZ" w:eastAsia="cs-CZ"/>
        </w:rPr>
      </w:pPr>
    </w:p>
    <w:p w14:paraId="3838B1AC" w14:textId="7204D4AB" w:rsidR="00D06320" w:rsidRPr="007434DA" w:rsidRDefault="00D06320" w:rsidP="00CB2594">
      <w:pPr>
        <w:rPr>
          <w:rFonts w:ascii="Arial" w:eastAsia="Times New Roman" w:hAnsi="Arial" w:cs="Arial"/>
          <w:b/>
          <w:bCs/>
          <w:color w:val="000000"/>
          <w:lang w:val="cs-CZ" w:eastAsia="cs-CZ"/>
        </w:rPr>
      </w:pPr>
    </w:p>
    <w:p w14:paraId="3E5FA55F" w14:textId="76581416" w:rsidR="00D06320" w:rsidRPr="007434DA" w:rsidRDefault="00D06320" w:rsidP="00CB2594">
      <w:pPr>
        <w:rPr>
          <w:rFonts w:ascii="Arial" w:eastAsia="Times New Roman" w:hAnsi="Arial" w:cs="Arial"/>
          <w:b/>
          <w:bCs/>
          <w:color w:val="000000"/>
          <w:lang w:val="cs-CZ" w:eastAsia="cs-CZ"/>
        </w:rPr>
      </w:pPr>
    </w:p>
    <w:p w14:paraId="2C078362" w14:textId="374815F4" w:rsidR="00D06320" w:rsidRPr="007434DA" w:rsidRDefault="00D06320" w:rsidP="00CB2594">
      <w:pPr>
        <w:rPr>
          <w:rFonts w:ascii="Arial" w:eastAsia="Times New Roman" w:hAnsi="Arial" w:cs="Arial"/>
          <w:b/>
          <w:bCs/>
          <w:color w:val="000000"/>
          <w:lang w:val="cs-CZ" w:eastAsia="cs-CZ"/>
        </w:rPr>
      </w:pPr>
    </w:p>
    <w:p w14:paraId="637EF2D4" w14:textId="77777777" w:rsidR="00D06320" w:rsidRPr="007434DA" w:rsidRDefault="00D06320" w:rsidP="00CB2594">
      <w:pPr>
        <w:rPr>
          <w:rFonts w:ascii="Arial" w:eastAsia="Times New Roman" w:hAnsi="Arial" w:cs="Arial"/>
          <w:b/>
          <w:bCs/>
          <w:color w:val="000000"/>
          <w:lang w:val="cs-CZ" w:eastAsia="cs-CZ"/>
        </w:rPr>
      </w:pPr>
    </w:p>
    <w:p w14:paraId="458218BD" w14:textId="77777777" w:rsidR="00CB2594" w:rsidRPr="007434DA" w:rsidRDefault="00CB2594" w:rsidP="00CB2594">
      <w:pPr>
        <w:rPr>
          <w:rFonts w:ascii="Arial" w:eastAsia="Times New Roman" w:hAnsi="Arial" w:cs="Arial"/>
          <w:b/>
          <w:bCs/>
          <w:color w:val="000000"/>
          <w:lang w:val="cs-CZ" w:eastAsia="cs-CZ"/>
        </w:rPr>
      </w:pPr>
    </w:p>
    <w:p w14:paraId="2AFBDDE8" w14:textId="77777777" w:rsidR="00CB2594" w:rsidRPr="007434DA" w:rsidRDefault="00CB2594" w:rsidP="00CB2594">
      <w:pPr>
        <w:rPr>
          <w:rFonts w:ascii="Arial" w:eastAsia="Times New Roman" w:hAnsi="Arial" w:cs="Arial"/>
          <w:b/>
          <w:bCs/>
          <w:color w:val="000000"/>
          <w:lang w:val="cs-CZ" w:eastAsia="cs-CZ"/>
        </w:rPr>
      </w:pPr>
    </w:p>
    <w:p w14:paraId="1B7CDF8E" w14:textId="4CA148AA" w:rsidR="00CB2594" w:rsidRPr="007434DA" w:rsidRDefault="00CB2594" w:rsidP="00CB2594">
      <w:pPr>
        <w:rPr>
          <w:rFonts w:ascii="Arial" w:eastAsia="Times New Roman" w:hAnsi="Arial" w:cs="Arial"/>
          <w:b/>
          <w:bCs/>
          <w:color w:val="000000"/>
          <w:lang w:val="cs-CZ" w:eastAsia="cs-CZ"/>
        </w:rPr>
      </w:pPr>
    </w:p>
    <w:p w14:paraId="626D723B" w14:textId="77777777" w:rsidR="00D06320" w:rsidRPr="007434DA" w:rsidRDefault="00D06320" w:rsidP="00CB2594">
      <w:pPr>
        <w:rPr>
          <w:rFonts w:ascii="Arial" w:eastAsia="Times New Roman" w:hAnsi="Arial" w:cs="Arial"/>
          <w:b/>
          <w:bCs/>
          <w:color w:val="000000"/>
          <w:lang w:val="cs-CZ" w:eastAsia="cs-CZ"/>
        </w:rPr>
      </w:pPr>
    </w:p>
    <w:p w14:paraId="20990EFF" w14:textId="348E2800" w:rsidR="00CB2594" w:rsidRPr="007434DA" w:rsidRDefault="00CB2594" w:rsidP="002622E7">
      <w:pPr>
        <w:pStyle w:val="UZEITaB"/>
        <w:ind w:left="993" w:hanging="993"/>
        <w:rPr>
          <w:color w:val="000000"/>
        </w:rPr>
      </w:pPr>
      <w:bookmarkStart w:id="117" w:name="_Toc94095278"/>
      <w:r w:rsidRPr="007434DA">
        <w:t>Porovnání zjištěných reziduí účinných látek přípravků na ochranu rostlin a jejich metabolitů ve vybraných rostlinných produktech v rámci kontrol v ČR 2012-2020 (počet vzorků).</w:t>
      </w:r>
      <w:bookmarkEnd w:id="117"/>
    </w:p>
    <w:p w14:paraId="2AE12042" w14:textId="77777777" w:rsidR="00CB2594" w:rsidRPr="007434DA" w:rsidRDefault="00CB2594" w:rsidP="00D06320">
      <w:pPr>
        <w:pStyle w:val="UZEIZdroj"/>
      </w:pPr>
      <w:r w:rsidRPr="007434DA">
        <w:rPr>
          <w:noProof/>
          <w:lang w:eastAsia="cs-CZ"/>
        </w:rPr>
        <w:drawing>
          <wp:inline distT="0" distB="0" distL="0" distR="0" wp14:anchorId="0741CB7F" wp14:editId="02288375">
            <wp:extent cx="5848352" cy="2638425"/>
            <wp:effectExtent l="0" t="0" r="0" b="9525"/>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7"/>
                    <pic:cNvPicPr/>
                  </pic:nvPicPr>
                  <pic:blipFill>
                    <a:blip r:embed="rId19">
                      <a:extLst>
                        <a:ext uri="{28A0092B-C50C-407E-A947-70E740481C1C}">
                          <a14:useLocalDpi xmlns:a14="http://schemas.microsoft.com/office/drawing/2010/main" val="0"/>
                        </a:ext>
                      </a:extLst>
                    </a:blip>
                    <a:stretch>
                      <a:fillRect/>
                    </a:stretch>
                  </pic:blipFill>
                  <pic:spPr>
                    <a:xfrm>
                      <a:off x="0" y="0"/>
                      <a:ext cx="5848352" cy="2638425"/>
                    </a:xfrm>
                    <a:prstGeom prst="rect">
                      <a:avLst/>
                    </a:prstGeom>
                  </pic:spPr>
                </pic:pic>
              </a:graphicData>
            </a:graphic>
          </wp:inline>
        </w:drawing>
      </w:r>
      <w:r w:rsidRPr="007434DA">
        <w:t xml:space="preserve"> Pozn.: Brambory, obilniny a obilné výrobky za všechny sledované země včetně ČR</w:t>
      </w:r>
    </w:p>
    <w:p w14:paraId="199F52BB" w14:textId="77777777" w:rsidR="00CB2594" w:rsidRPr="007434DA" w:rsidRDefault="00CB2594" w:rsidP="00D06320">
      <w:pPr>
        <w:pStyle w:val="UZEIZdroj"/>
      </w:pPr>
      <w:r w:rsidRPr="007434DA">
        <w:t>Pramen: Zpráva o výsledcích plánované kontroly cizorodých látek v potravinách (2012-2020)</w:t>
      </w:r>
    </w:p>
    <w:p w14:paraId="10357FBE" w14:textId="77777777" w:rsidR="00CB2594" w:rsidRPr="007434DA" w:rsidRDefault="00CB2594" w:rsidP="00D06320">
      <w:pPr>
        <w:pStyle w:val="UZEINormaln"/>
      </w:pPr>
      <w:r w:rsidRPr="007434DA">
        <w:t>Podle SZÚ se nejčastěji a v největším množství rezidua pesticidů vyskytují v listové, brukvovité a plodové zelenině. Méně a v nižších koncentracích naopak v kořenové, hlíznaté a cibulové zelenině, kukuřici, kukuřici cukrové a v semenech ukrytých v plodech (např. hrachová a fazolová semena, semena olejnin). Nejčastěji se v ovoci a zelenině vyskytují rezidua fungicidů. Poměrně často se v ovoci a zelenině vyskytují také rezidua insekticidů, a to převážně ze skupin organofosfáty, neonikotinoidy, pyretroidy a přírodní insekticid spinosad</w:t>
      </w:r>
      <w:r w:rsidRPr="007434DA">
        <w:rPr>
          <w:rStyle w:val="Znakapoznpodarou"/>
          <w:rFonts w:ascii="Arial" w:hAnsi="Arial" w:cs="Arial"/>
          <w:color w:val="000000"/>
          <w:sz w:val="20"/>
          <w:szCs w:val="20"/>
        </w:rPr>
        <w:footnoteReference w:id="19"/>
      </w:r>
      <w:r w:rsidRPr="007434DA">
        <w:t xml:space="preserve">. </w:t>
      </w:r>
    </w:p>
    <w:p w14:paraId="6F724B27" w14:textId="77777777" w:rsidR="00CB2594" w:rsidRPr="007434DA" w:rsidRDefault="00CB2594" w:rsidP="00D06320">
      <w:pPr>
        <w:pStyle w:val="UZEINormaln"/>
      </w:pPr>
      <w:r w:rsidRPr="007434DA">
        <w:t xml:space="preserve">Rezidua herbicidů se v potravinách nacházejí minimálně, s výjimkou linuronu (jeden z nejčastějších reziduí pesticidů v mrkvi, méně v dalších druzích zeleniny a v obilovinách), glyfosátu (jeden z nejčastějších reziduí pesticidů v obilovinách, kde se však používá jako předsklizňový desikant). </w:t>
      </w:r>
    </w:p>
    <w:p w14:paraId="0EB9FAAD" w14:textId="77777777" w:rsidR="00CB2594" w:rsidRPr="007434DA" w:rsidRDefault="00CB2594" w:rsidP="00D06320">
      <w:pPr>
        <w:pStyle w:val="UZEINormaln"/>
      </w:pPr>
      <w:r w:rsidRPr="007434DA">
        <w:t>Obecně nižší výskyt reziduí pesticidů je ve zpracovaných produktech (obdobné látky jako v nezpracovaných produktech), v biopotravinách (např. Cu a spinosad) a nejnižší v živočišných produktech (v mase, mléku a vejcích) hlavně perzistentní organické polutanty – DDT, hechachlorbenzen a hexachlorcyklohexan, a látky pocházející z jiných zdrojů, než je používání pesticidů (Cu, Hg, v medu pak nejčastěji thiakloprid). Mezi nejproblematičtější patří herbicidy používané na ochranu řepky a kukuřice (Pepperný, 2015).</w:t>
      </w:r>
    </w:p>
    <w:p w14:paraId="0FD27AB8" w14:textId="0989257D" w:rsidR="00CB2594" w:rsidRPr="007434DA" w:rsidRDefault="00CB2594" w:rsidP="00D06320">
      <w:pPr>
        <w:pStyle w:val="UZEINormaln"/>
      </w:pPr>
      <w:r w:rsidRPr="007434DA">
        <w:t xml:space="preserve">Za období 2012-2020 provedla SVS analýzu na rezidua pesticidů u potravin živočišného původu ročně v průměru u 978 vzorků, kdy byl sledován výskyt v průměru u 86 pesticidů včetně jejich metabolitů Ve 39 % analyzovaných potravin živočišného původu byla za toto období detekována rezidua pesticidů v povolených limitech. Celkový podíl vzorků, kde byla detekována rezidua se za sladované období měnil a pohyboval se v rozpětí od 14,4 % v roce 2016 až po 87,5 % v roce 2020. Podíl vzorků s překročeným povoleným maximálním limitem výskytu reziduí pesticidů v žádném z roků nepřekročil hodnotu 0,2 % z počtu analyzovaných (tab. </w:t>
      </w:r>
      <w:r w:rsidR="00972770" w:rsidRPr="007434DA">
        <w:t>6</w:t>
      </w:r>
      <w:r w:rsidRPr="007434DA">
        <w:t xml:space="preserve">). </w:t>
      </w:r>
    </w:p>
    <w:p w14:paraId="18BA9D58" w14:textId="44432DE8" w:rsidR="00CB2594" w:rsidRPr="007434DA" w:rsidRDefault="00B43312" w:rsidP="00B05F10">
      <w:pPr>
        <w:pStyle w:val="UZEITaB"/>
        <w:ind w:left="1276" w:hanging="1134"/>
      </w:pPr>
      <w:bookmarkStart w:id="118" w:name="_Hlk527017432"/>
      <w:bookmarkStart w:id="119" w:name="_Toc94095279"/>
      <w:r w:rsidRPr="007434DA">
        <w:t>Porovnání množství zjištěných účinných látek pesticidů v</w:t>
      </w:r>
      <w:r w:rsidR="00CB5E4F" w:rsidRPr="007434DA">
        <w:t> </w:t>
      </w:r>
      <w:r w:rsidRPr="007434DA">
        <w:t>potraviná</w:t>
      </w:r>
      <w:r w:rsidR="00CB5E4F" w:rsidRPr="007434DA">
        <w:t>ch živočišného původu v rámci monitoringu cizorodých látek v ČR 2012 - 2020</w:t>
      </w:r>
      <w:bookmarkEnd w:id="119"/>
    </w:p>
    <w:p w14:paraId="4A32EACC" w14:textId="77777777" w:rsidR="00CB2594" w:rsidRPr="007434DA" w:rsidRDefault="00CB2594" w:rsidP="00CB2594">
      <w:pPr>
        <w:spacing w:after="120" w:line="260" w:lineRule="atLeast"/>
        <w:rPr>
          <w:rFonts w:ascii="Arial" w:hAnsi="Arial" w:cs="Arial"/>
          <w:i/>
          <w:iCs/>
          <w:color w:val="000000"/>
          <w:sz w:val="18"/>
          <w:szCs w:val="18"/>
          <w:lang w:val="cs-CZ" w:eastAsia="cs-CZ"/>
        </w:rPr>
      </w:pPr>
      <w:r w:rsidRPr="007434DA">
        <w:rPr>
          <w:noProof/>
          <w:lang w:val="cs-CZ" w:eastAsia="cs-CZ"/>
        </w:rPr>
        <w:drawing>
          <wp:inline distT="0" distB="0" distL="0" distR="0" wp14:anchorId="6747DB72" wp14:editId="052C251A">
            <wp:extent cx="6440170" cy="1535001"/>
            <wp:effectExtent l="0" t="0" r="0" b="1905"/>
            <wp:docPr id="39" name="Obrázek 39" descr="Obsah obrázku stůl&#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Obrázek 39" descr="Obsah obrázku stůl&#10;&#10;Popis byl vytvořen automaticky"/>
                    <pic:cNvPicPr/>
                  </pic:nvPicPr>
                  <pic:blipFill rotWithShape="1">
                    <a:blip r:embed="rId20"/>
                    <a:srcRect t="19818"/>
                    <a:stretch/>
                  </pic:blipFill>
                  <pic:spPr bwMode="auto">
                    <a:xfrm>
                      <a:off x="0" y="0"/>
                      <a:ext cx="6445743" cy="1536329"/>
                    </a:xfrm>
                    <a:prstGeom prst="rect">
                      <a:avLst/>
                    </a:prstGeom>
                    <a:ln>
                      <a:noFill/>
                    </a:ln>
                    <a:extLst>
                      <a:ext uri="{53640926-AAD7-44D8-BBD7-CCE9431645EC}">
                        <a14:shadowObscured xmlns:a14="http://schemas.microsoft.com/office/drawing/2010/main"/>
                      </a:ext>
                    </a:extLst>
                  </pic:spPr>
                </pic:pic>
              </a:graphicData>
            </a:graphic>
          </wp:inline>
        </w:drawing>
      </w:r>
    </w:p>
    <w:bookmarkEnd w:id="118"/>
    <w:p w14:paraId="596142C9" w14:textId="22B48249" w:rsidR="00CB2594" w:rsidRPr="007434DA" w:rsidRDefault="00CB2594" w:rsidP="00972770">
      <w:pPr>
        <w:pStyle w:val="UZEINormaln"/>
      </w:pPr>
      <w:r w:rsidRPr="007434DA">
        <w:t xml:space="preserve">V rámci vybraných sledovaných druhů živočišných potravin byl za období 2012-2020 nejvyšší podíl vzorků s povoleným výskytem reziduí z celkového počtu analyzovaných zaznamenán dle SVS u ryb (93,2 %), dále u farmové a lovné zvěře (54,8 %) a u mléka (52,0 %). Naopak nízký podíl vzorků s povoleným výskytem účinných látek pesticidů byl zjištěn u vajec (22,4 %) a vůbec nejnižší u medu (0,6 %). Za celé uvedené devítileté období se vyskytly pouze 2 vzorky s překročeným limitem reziduí, a to v roce 2020, jeden u bílého masa a jeden farmové a lovně zvěře. (tab. </w:t>
      </w:r>
      <w:r w:rsidR="00972770" w:rsidRPr="007434DA">
        <w:t>7</w:t>
      </w:r>
      <w:r w:rsidRPr="007434DA">
        <w:t>).</w:t>
      </w:r>
    </w:p>
    <w:p w14:paraId="034C055F" w14:textId="42E7DD10" w:rsidR="00CB2594" w:rsidRPr="007434DA" w:rsidRDefault="00CB2594" w:rsidP="002622E7">
      <w:pPr>
        <w:pStyle w:val="UZEITaB"/>
        <w:ind w:left="993" w:hanging="993"/>
      </w:pPr>
      <w:bookmarkStart w:id="120" w:name="_Toc94095280"/>
      <w:r w:rsidRPr="007434DA">
        <w:t>Přehled množství zjištěných účinných látek pesticidů a jejich metabolitů podle vybraných komodit živočišného původu (počet vzorků)</w:t>
      </w:r>
      <w:bookmarkStart w:id="121" w:name="_Hlk527017447"/>
      <w:bookmarkEnd w:id="120"/>
    </w:p>
    <w:tbl>
      <w:tblPr>
        <w:tblW w:w="9986" w:type="dxa"/>
        <w:tblCellMar>
          <w:left w:w="70" w:type="dxa"/>
          <w:right w:w="70" w:type="dxa"/>
        </w:tblCellMar>
        <w:tblLook w:val="04A0" w:firstRow="1" w:lastRow="0" w:firstColumn="1" w:lastColumn="0" w:noHBand="0" w:noVBand="1"/>
      </w:tblPr>
      <w:tblGrid>
        <w:gridCol w:w="1160"/>
        <w:gridCol w:w="919"/>
        <w:gridCol w:w="1030"/>
        <w:gridCol w:w="919"/>
        <w:gridCol w:w="1030"/>
        <w:gridCol w:w="919"/>
        <w:gridCol w:w="1030"/>
        <w:gridCol w:w="919"/>
        <w:gridCol w:w="1030"/>
        <w:gridCol w:w="1030"/>
      </w:tblGrid>
      <w:tr w:rsidR="00CB2594" w:rsidRPr="00FA3A37" w14:paraId="665A52FB" w14:textId="77777777" w:rsidTr="004A57B3">
        <w:trPr>
          <w:trHeight w:val="315"/>
        </w:trPr>
        <w:tc>
          <w:tcPr>
            <w:tcW w:w="1160" w:type="dxa"/>
            <w:vMerge w:val="restart"/>
            <w:tcBorders>
              <w:top w:val="double" w:sz="6" w:space="0" w:color="auto"/>
              <w:left w:val="double" w:sz="6" w:space="0" w:color="auto"/>
              <w:bottom w:val="single" w:sz="8" w:space="0" w:color="000000"/>
              <w:right w:val="single" w:sz="8" w:space="0" w:color="auto"/>
            </w:tcBorders>
            <w:shd w:val="clear" w:color="auto" w:fill="auto"/>
            <w:noWrap/>
            <w:vAlign w:val="center"/>
            <w:hideMark/>
          </w:tcPr>
          <w:p w14:paraId="1676B3A7" w14:textId="77777777" w:rsidR="00CB2594" w:rsidRPr="007434DA" w:rsidRDefault="00CB2594" w:rsidP="004A57B3">
            <w:pPr>
              <w:rPr>
                <w:rFonts w:eastAsia="Times New Roman" w:cs="Times New Roman"/>
                <w:b/>
                <w:bCs/>
                <w:color w:val="000000"/>
                <w:sz w:val="20"/>
                <w:szCs w:val="20"/>
                <w:lang w:val="cs-CZ" w:eastAsia="cs-CZ"/>
              </w:rPr>
            </w:pPr>
            <w:r w:rsidRPr="007434DA">
              <w:rPr>
                <w:rFonts w:eastAsia="Times New Roman" w:cs="Times New Roman"/>
                <w:b/>
                <w:bCs/>
                <w:color w:val="000000"/>
                <w:sz w:val="20"/>
                <w:szCs w:val="20"/>
                <w:lang w:val="cs-CZ" w:eastAsia="cs-CZ"/>
              </w:rPr>
              <w:t>Potravina</w:t>
            </w:r>
          </w:p>
        </w:tc>
        <w:tc>
          <w:tcPr>
            <w:tcW w:w="8826" w:type="dxa"/>
            <w:gridSpan w:val="9"/>
            <w:tcBorders>
              <w:top w:val="double" w:sz="6" w:space="0" w:color="auto"/>
              <w:left w:val="nil"/>
              <w:bottom w:val="single" w:sz="4" w:space="0" w:color="auto"/>
              <w:right w:val="double" w:sz="6" w:space="0" w:color="000000"/>
            </w:tcBorders>
            <w:shd w:val="clear" w:color="auto" w:fill="auto"/>
            <w:noWrap/>
            <w:vAlign w:val="bottom"/>
            <w:hideMark/>
          </w:tcPr>
          <w:p w14:paraId="62D6D29A" w14:textId="77777777" w:rsidR="00CB2594" w:rsidRPr="007434DA" w:rsidRDefault="00CB2594" w:rsidP="004A57B3">
            <w:pPr>
              <w:jc w:val="center"/>
              <w:rPr>
                <w:rFonts w:eastAsia="Times New Roman" w:cs="Times New Roman"/>
                <w:b/>
                <w:bCs/>
                <w:color w:val="000000"/>
                <w:sz w:val="20"/>
                <w:szCs w:val="20"/>
                <w:lang w:val="cs-CZ" w:eastAsia="cs-CZ"/>
              </w:rPr>
            </w:pPr>
            <w:r w:rsidRPr="007434DA">
              <w:rPr>
                <w:rFonts w:eastAsia="Times New Roman" w:cs="Times New Roman"/>
                <w:b/>
                <w:bCs/>
                <w:color w:val="000000"/>
                <w:sz w:val="20"/>
                <w:szCs w:val="20"/>
                <w:lang w:val="cs-CZ" w:eastAsia="cs-CZ"/>
              </w:rPr>
              <w:t>Počty vzorků celkem/ s pozitivním/ s nadlimitním výskytem reziduí</w:t>
            </w:r>
          </w:p>
        </w:tc>
      </w:tr>
      <w:tr w:rsidR="00CB2594" w:rsidRPr="007434DA" w14:paraId="671B4C91" w14:textId="77777777" w:rsidTr="004A57B3">
        <w:trPr>
          <w:trHeight w:val="315"/>
        </w:trPr>
        <w:tc>
          <w:tcPr>
            <w:tcW w:w="1160" w:type="dxa"/>
            <w:vMerge/>
            <w:tcBorders>
              <w:top w:val="double" w:sz="6" w:space="0" w:color="auto"/>
              <w:left w:val="double" w:sz="6" w:space="0" w:color="auto"/>
              <w:bottom w:val="single" w:sz="8" w:space="0" w:color="000000"/>
              <w:right w:val="single" w:sz="8" w:space="0" w:color="auto"/>
            </w:tcBorders>
            <w:vAlign w:val="center"/>
            <w:hideMark/>
          </w:tcPr>
          <w:p w14:paraId="322E5CBF" w14:textId="77777777" w:rsidR="00CB2594" w:rsidRPr="007434DA" w:rsidRDefault="00CB2594" w:rsidP="004A57B3">
            <w:pPr>
              <w:rPr>
                <w:rFonts w:eastAsia="Times New Roman" w:cs="Times New Roman"/>
                <w:b/>
                <w:bCs/>
                <w:color w:val="000000"/>
                <w:sz w:val="20"/>
                <w:szCs w:val="20"/>
                <w:lang w:val="cs-CZ" w:eastAsia="cs-CZ"/>
              </w:rPr>
            </w:pPr>
          </w:p>
        </w:tc>
        <w:tc>
          <w:tcPr>
            <w:tcW w:w="919" w:type="dxa"/>
            <w:tcBorders>
              <w:top w:val="nil"/>
              <w:left w:val="nil"/>
              <w:bottom w:val="single" w:sz="8" w:space="0" w:color="auto"/>
              <w:right w:val="single" w:sz="4" w:space="0" w:color="auto"/>
            </w:tcBorders>
            <w:shd w:val="clear" w:color="auto" w:fill="auto"/>
            <w:noWrap/>
            <w:vAlign w:val="bottom"/>
            <w:hideMark/>
          </w:tcPr>
          <w:p w14:paraId="37A8E500" w14:textId="77777777" w:rsidR="00CB2594" w:rsidRPr="007434DA" w:rsidRDefault="00CB2594" w:rsidP="004A57B3">
            <w:pPr>
              <w:jc w:val="center"/>
              <w:rPr>
                <w:rFonts w:eastAsia="Times New Roman" w:cs="Times New Roman"/>
                <w:b/>
                <w:bCs/>
                <w:color w:val="000000"/>
                <w:sz w:val="20"/>
                <w:szCs w:val="20"/>
                <w:lang w:val="cs-CZ" w:eastAsia="cs-CZ"/>
              </w:rPr>
            </w:pPr>
            <w:r w:rsidRPr="007434DA">
              <w:rPr>
                <w:rFonts w:eastAsia="Times New Roman" w:cs="Times New Roman"/>
                <w:b/>
                <w:bCs/>
                <w:color w:val="000000"/>
                <w:sz w:val="20"/>
                <w:szCs w:val="20"/>
                <w:lang w:val="cs-CZ" w:eastAsia="cs-CZ"/>
              </w:rPr>
              <w:t>2012</w:t>
            </w:r>
          </w:p>
        </w:tc>
        <w:tc>
          <w:tcPr>
            <w:tcW w:w="1030" w:type="dxa"/>
            <w:tcBorders>
              <w:top w:val="nil"/>
              <w:left w:val="nil"/>
              <w:bottom w:val="single" w:sz="8" w:space="0" w:color="auto"/>
              <w:right w:val="single" w:sz="4" w:space="0" w:color="auto"/>
            </w:tcBorders>
            <w:shd w:val="clear" w:color="auto" w:fill="auto"/>
            <w:noWrap/>
            <w:vAlign w:val="bottom"/>
            <w:hideMark/>
          </w:tcPr>
          <w:p w14:paraId="65661421" w14:textId="77777777" w:rsidR="00CB2594" w:rsidRPr="007434DA" w:rsidRDefault="00CB2594" w:rsidP="004A57B3">
            <w:pPr>
              <w:jc w:val="center"/>
              <w:rPr>
                <w:rFonts w:eastAsia="Times New Roman" w:cs="Times New Roman"/>
                <w:b/>
                <w:bCs/>
                <w:color w:val="000000"/>
                <w:sz w:val="20"/>
                <w:szCs w:val="20"/>
                <w:lang w:val="cs-CZ" w:eastAsia="cs-CZ"/>
              </w:rPr>
            </w:pPr>
            <w:r w:rsidRPr="007434DA">
              <w:rPr>
                <w:rFonts w:eastAsia="Times New Roman" w:cs="Times New Roman"/>
                <w:b/>
                <w:bCs/>
                <w:color w:val="000000"/>
                <w:sz w:val="20"/>
                <w:szCs w:val="20"/>
                <w:lang w:val="cs-CZ" w:eastAsia="cs-CZ"/>
              </w:rPr>
              <w:t>2013</w:t>
            </w:r>
          </w:p>
        </w:tc>
        <w:tc>
          <w:tcPr>
            <w:tcW w:w="919" w:type="dxa"/>
            <w:tcBorders>
              <w:top w:val="nil"/>
              <w:left w:val="nil"/>
              <w:bottom w:val="single" w:sz="8" w:space="0" w:color="auto"/>
              <w:right w:val="single" w:sz="4" w:space="0" w:color="auto"/>
            </w:tcBorders>
            <w:shd w:val="clear" w:color="auto" w:fill="auto"/>
            <w:noWrap/>
            <w:vAlign w:val="bottom"/>
            <w:hideMark/>
          </w:tcPr>
          <w:p w14:paraId="181F1BBE" w14:textId="77777777" w:rsidR="00CB2594" w:rsidRPr="007434DA" w:rsidRDefault="00CB2594" w:rsidP="004A57B3">
            <w:pPr>
              <w:jc w:val="center"/>
              <w:rPr>
                <w:rFonts w:eastAsia="Times New Roman" w:cs="Times New Roman"/>
                <w:b/>
                <w:bCs/>
                <w:color w:val="000000"/>
                <w:sz w:val="20"/>
                <w:szCs w:val="20"/>
                <w:lang w:val="cs-CZ" w:eastAsia="cs-CZ"/>
              </w:rPr>
            </w:pPr>
            <w:r w:rsidRPr="007434DA">
              <w:rPr>
                <w:rFonts w:eastAsia="Times New Roman" w:cs="Times New Roman"/>
                <w:b/>
                <w:bCs/>
                <w:color w:val="000000"/>
                <w:sz w:val="20"/>
                <w:szCs w:val="20"/>
                <w:lang w:val="cs-CZ" w:eastAsia="cs-CZ"/>
              </w:rPr>
              <w:t>2014</w:t>
            </w:r>
          </w:p>
        </w:tc>
        <w:tc>
          <w:tcPr>
            <w:tcW w:w="1030" w:type="dxa"/>
            <w:tcBorders>
              <w:top w:val="nil"/>
              <w:left w:val="nil"/>
              <w:bottom w:val="single" w:sz="8" w:space="0" w:color="auto"/>
              <w:right w:val="single" w:sz="4" w:space="0" w:color="auto"/>
            </w:tcBorders>
            <w:shd w:val="clear" w:color="auto" w:fill="auto"/>
            <w:noWrap/>
            <w:vAlign w:val="bottom"/>
            <w:hideMark/>
          </w:tcPr>
          <w:p w14:paraId="7C78151F" w14:textId="77777777" w:rsidR="00CB2594" w:rsidRPr="007434DA" w:rsidRDefault="00CB2594" w:rsidP="004A57B3">
            <w:pPr>
              <w:jc w:val="center"/>
              <w:rPr>
                <w:rFonts w:eastAsia="Times New Roman" w:cs="Times New Roman"/>
                <w:b/>
                <w:bCs/>
                <w:color w:val="000000"/>
                <w:sz w:val="20"/>
                <w:szCs w:val="20"/>
                <w:lang w:val="cs-CZ" w:eastAsia="cs-CZ"/>
              </w:rPr>
            </w:pPr>
            <w:r w:rsidRPr="007434DA">
              <w:rPr>
                <w:rFonts w:eastAsia="Times New Roman" w:cs="Times New Roman"/>
                <w:b/>
                <w:bCs/>
                <w:color w:val="000000"/>
                <w:sz w:val="20"/>
                <w:szCs w:val="20"/>
                <w:lang w:val="cs-CZ" w:eastAsia="cs-CZ"/>
              </w:rPr>
              <w:t>2015</w:t>
            </w:r>
          </w:p>
        </w:tc>
        <w:tc>
          <w:tcPr>
            <w:tcW w:w="919" w:type="dxa"/>
            <w:tcBorders>
              <w:top w:val="nil"/>
              <w:left w:val="nil"/>
              <w:bottom w:val="single" w:sz="8" w:space="0" w:color="auto"/>
              <w:right w:val="single" w:sz="4" w:space="0" w:color="auto"/>
            </w:tcBorders>
            <w:shd w:val="clear" w:color="auto" w:fill="auto"/>
            <w:noWrap/>
            <w:vAlign w:val="bottom"/>
            <w:hideMark/>
          </w:tcPr>
          <w:p w14:paraId="25CF42F2" w14:textId="77777777" w:rsidR="00CB2594" w:rsidRPr="007434DA" w:rsidRDefault="00CB2594" w:rsidP="004A57B3">
            <w:pPr>
              <w:jc w:val="center"/>
              <w:rPr>
                <w:rFonts w:eastAsia="Times New Roman" w:cs="Times New Roman"/>
                <w:b/>
                <w:bCs/>
                <w:color w:val="000000"/>
                <w:sz w:val="20"/>
                <w:szCs w:val="20"/>
                <w:lang w:val="cs-CZ" w:eastAsia="cs-CZ"/>
              </w:rPr>
            </w:pPr>
            <w:r w:rsidRPr="007434DA">
              <w:rPr>
                <w:rFonts w:eastAsia="Times New Roman" w:cs="Times New Roman"/>
                <w:b/>
                <w:bCs/>
                <w:color w:val="000000"/>
                <w:sz w:val="20"/>
                <w:szCs w:val="20"/>
                <w:lang w:val="cs-CZ" w:eastAsia="cs-CZ"/>
              </w:rPr>
              <w:t>2016</w:t>
            </w:r>
          </w:p>
        </w:tc>
        <w:tc>
          <w:tcPr>
            <w:tcW w:w="1030" w:type="dxa"/>
            <w:tcBorders>
              <w:top w:val="nil"/>
              <w:left w:val="nil"/>
              <w:bottom w:val="single" w:sz="8" w:space="0" w:color="auto"/>
              <w:right w:val="single" w:sz="4" w:space="0" w:color="auto"/>
            </w:tcBorders>
            <w:shd w:val="clear" w:color="auto" w:fill="auto"/>
            <w:noWrap/>
            <w:vAlign w:val="bottom"/>
            <w:hideMark/>
          </w:tcPr>
          <w:p w14:paraId="1B47FAFC" w14:textId="77777777" w:rsidR="00CB2594" w:rsidRPr="007434DA" w:rsidRDefault="00CB2594" w:rsidP="004A57B3">
            <w:pPr>
              <w:jc w:val="center"/>
              <w:rPr>
                <w:rFonts w:eastAsia="Times New Roman" w:cs="Times New Roman"/>
                <w:b/>
                <w:bCs/>
                <w:color w:val="000000"/>
                <w:sz w:val="20"/>
                <w:szCs w:val="20"/>
                <w:lang w:val="cs-CZ" w:eastAsia="cs-CZ"/>
              </w:rPr>
            </w:pPr>
            <w:r w:rsidRPr="007434DA">
              <w:rPr>
                <w:rFonts w:eastAsia="Times New Roman" w:cs="Times New Roman"/>
                <w:b/>
                <w:bCs/>
                <w:color w:val="000000"/>
                <w:sz w:val="20"/>
                <w:szCs w:val="20"/>
                <w:lang w:val="cs-CZ" w:eastAsia="cs-CZ"/>
              </w:rPr>
              <w:t>2017</w:t>
            </w:r>
          </w:p>
        </w:tc>
        <w:tc>
          <w:tcPr>
            <w:tcW w:w="919" w:type="dxa"/>
            <w:tcBorders>
              <w:top w:val="nil"/>
              <w:left w:val="nil"/>
              <w:bottom w:val="single" w:sz="8" w:space="0" w:color="auto"/>
              <w:right w:val="single" w:sz="4" w:space="0" w:color="auto"/>
            </w:tcBorders>
            <w:shd w:val="clear" w:color="auto" w:fill="auto"/>
            <w:noWrap/>
            <w:vAlign w:val="bottom"/>
            <w:hideMark/>
          </w:tcPr>
          <w:p w14:paraId="33744A73" w14:textId="77777777" w:rsidR="00CB2594" w:rsidRPr="007434DA" w:rsidRDefault="00CB2594" w:rsidP="004A57B3">
            <w:pPr>
              <w:jc w:val="center"/>
              <w:rPr>
                <w:rFonts w:eastAsia="Times New Roman" w:cs="Times New Roman"/>
                <w:b/>
                <w:bCs/>
                <w:color w:val="000000"/>
                <w:sz w:val="20"/>
                <w:szCs w:val="20"/>
                <w:lang w:val="cs-CZ" w:eastAsia="cs-CZ"/>
              </w:rPr>
            </w:pPr>
            <w:r w:rsidRPr="007434DA">
              <w:rPr>
                <w:rFonts w:eastAsia="Times New Roman" w:cs="Times New Roman"/>
                <w:b/>
                <w:bCs/>
                <w:color w:val="000000"/>
                <w:sz w:val="20"/>
                <w:szCs w:val="20"/>
                <w:lang w:val="cs-CZ" w:eastAsia="cs-CZ"/>
              </w:rPr>
              <w:t>2018</w:t>
            </w:r>
          </w:p>
        </w:tc>
        <w:tc>
          <w:tcPr>
            <w:tcW w:w="1030" w:type="dxa"/>
            <w:tcBorders>
              <w:top w:val="nil"/>
              <w:left w:val="nil"/>
              <w:bottom w:val="single" w:sz="8" w:space="0" w:color="auto"/>
              <w:right w:val="single" w:sz="4" w:space="0" w:color="auto"/>
            </w:tcBorders>
            <w:shd w:val="clear" w:color="auto" w:fill="auto"/>
            <w:noWrap/>
            <w:vAlign w:val="bottom"/>
            <w:hideMark/>
          </w:tcPr>
          <w:p w14:paraId="0F58DA66" w14:textId="77777777" w:rsidR="00CB2594" w:rsidRPr="007434DA" w:rsidRDefault="00CB2594" w:rsidP="004A57B3">
            <w:pPr>
              <w:jc w:val="center"/>
              <w:rPr>
                <w:rFonts w:eastAsia="Times New Roman" w:cs="Times New Roman"/>
                <w:b/>
                <w:bCs/>
                <w:color w:val="000000"/>
                <w:sz w:val="20"/>
                <w:szCs w:val="20"/>
                <w:lang w:val="cs-CZ" w:eastAsia="cs-CZ"/>
              </w:rPr>
            </w:pPr>
            <w:r w:rsidRPr="007434DA">
              <w:rPr>
                <w:rFonts w:eastAsia="Times New Roman" w:cs="Times New Roman"/>
                <w:b/>
                <w:bCs/>
                <w:color w:val="000000"/>
                <w:sz w:val="20"/>
                <w:szCs w:val="20"/>
                <w:lang w:val="cs-CZ" w:eastAsia="cs-CZ"/>
              </w:rPr>
              <w:t>2019</w:t>
            </w:r>
          </w:p>
        </w:tc>
        <w:tc>
          <w:tcPr>
            <w:tcW w:w="1030" w:type="dxa"/>
            <w:tcBorders>
              <w:top w:val="nil"/>
              <w:left w:val="nil"/>
              <w:bottom w:val="single" w:sz="8" w:space="0" w:color="auto"/>
              <w:right w:val="double" w:sz="6" w:space="0" w:color="auto"/>
            </w:tcBorders>
            <w:shd w:val="clear" w:color="auto" w:fill="auto"/>
            <w:noWrap/>
            <w:vAlign w:val="bottom"/>
            <w:hideMark/>
          </w:tcPr>
          <w:p w14:paraId="5EBF2C81" w14:textId="77777777" w:rsidR="00CB2594" w:rsidRPr="007434DA" w:rsidRDefault="00CB2594" w:rsidP="004A57B3">
            <w:pPr>
              <w:jc w:val="center"/>
              <w:rPr>
                <w:rFonts w:eastAsia="Times New Roman" w:cs="Times New Roman"/>
                <w:b/>
                <w:bCs/>
                <w:color w:val="000000"/>
                <w:sz w:val="20"/>
                <w:szCs w:val="20"/>
                <w:lang w:val="cs-CZ" w:eastAsia="cs-CZ"/>
              </w:rPr>
            </w:pPr>
            <w:r w:rsidRPr="007434DA">
              <w:rPr>
                <w:rFonts w:eastAsia="Times New Roman" w:cs="Times New Roman"/>
                <w:b/>
                <w:bCs/>
                <w:color w:val="000000"/>
                <w:sz w:val="20"/>
                <w:szCs w:val="20"/>
                <w:lang w:val="cs-CZ" w:eastAsia="cs-CZ"/>
              </w:rPr>
              <w:t>2020</w:t>
            </w:r>
          </w:p>
        </w:tc>
      </w:tr>
      <w:tr w:rsidR="00CB2594" w:rsidRPr="007434DA" w14:paraId="10E6359F" w14:textId="77777777" w:rsidTr="004A57B3">
        <w:trPr>
          <w:trHeight w:val="600"/>
        </w:trPr>
        <w:tc>
          <w:tcPr>
            <w:tcW w:w="1160" w:type="dxa"/>
            <w:tcBorders>
              <w:top w:val="nil"/>
              <w:left w:val="double" w:sz="6" w:space="0" w:color="auto"/>
              <w:bottom w:val="single" w:sz="4" w:space="0" w:color="auto"/>
              <w:right w:val="single" w:sz="8" w:space="0" w:color="auto"/>
            </w:tcBorders>
            <w:shd w:val="clear" w:color="auto" w:fill="auto"/>
            <w:vAlign w:val="bottom"/>
            <w:hideMark/>
          </w:tcPr>
          <w:p w14:paraId="1D55529C" w14:textId="77777777" w:rsidR="00CB2594" w:rsidRPr="007434DA" w:rsidRDefault="00CB2594" w:rsidP="004A57B3">
            <w:pPr>
              <w:rPr>
                <w:rFonts w:eastAsia="Times New Roman" w:cs="Times New Roman"/>
                <w:b/>
                <w:bCs/>
                <w:color w:val="000000"/>
                <w:sz w:val="20"/>
                <w:szCs w:val="20"/>
                <w:lang w:val="cs-CZ" w:eastAsia="cs-CZ"/>
              </w:rPr>
            </w:pPr>
            <w:r w:rsidRPr="007434DA">
              <w:rPr>
                <w:rFonts w:eastAsia="Times New Roman" w:cs="Times New Roman"/>
                <w:b/>
                <w:bCs/>
                <w:color w:val="000000"/>
                <w:sz w:val="20"/>
                <w:szCs w:val="20"/>
                <w:lang w:val="cs-CZ" w:eastAsia="cs-CZ"/>
              </w:rPr>
              <w:t xml:space="preserve">Červené </w:t>
            </w:r>
            <w:r w:rsidRPr="007434DA">
              <w:rPr>
                <w:rFonts w:eastAsia="Times New Roman" w:cs="Times New Roman"/>
                <w:b/>
                <w:bCs/>
                <w:color w:val="000000"/>
                <w:sz w:val="20"/>
                <w:szCs w:val="20"/>
                <w:lang w:val="cs-CZ" w:eastAsia="cs-CZ"/>
              </w:rPr>
              <w:br/>
              <w:t>maso</w:t>
            </w:r>
          </w:p>
        </w:tc>
        <w:tc>
          <w:tcPr>
            <w:tcW w:w="919" w:type="dxa"/>
            <w:tcBorders>
              <w:top w:val="nil"/>
              <w:left w:val="nil"/>
              <w:bottom w:val="single" w:sz="4" w:space="0" w:color="auto"/>
              <w:right w:val="single" w:sz="4" w:space="0" w:color="auto"/>
            </w:tcBorders>
            <w:shd w:val="clear" w:color="auto" w:fill="auto"/>
            <w:noWrap/>
            <w:vAlign w:val="bottom"/>
            <w:hideMark/>
          </w:tcPr>
          <w:p w14:paraId="6D4EEEC7"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384/58/0</w:t>
            </w:r>
          </w:p>
        </w:tc>
        <w:tc>
          <w:tcPr>
            <w:tcW w:w="1030" w:type="dxa"/>
            <w:tcBorders>
              <w:top w:val="nil"/>
              <w:left w:val="nil"/>
              <w:bottom w:val="single" w:sz="4" w:space="0" w:color="auto"/>
              <w:right w:val="single" w:sz="4" w:space="0" w:color="auto"/>
            </w:tcBorders>
            <w:shd w:val="clear" w:color="auto" w:fill="auto"/>
            <w:noWrap/>
            <w:vAlign w:val="bottom"/>
            <w:hideMark/>
          </w:tcPr>
          <w:p w14:paraId="082B4CC5"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465/237/0</w:t>
            </w:r>
          </w:p>
        </w:tc>
        <w:tc>
          <w:tcPr>
            <w:tcW w:w="919" w:type="dxa"/>
            <w:tcBorders>
              <w:top w:val="nil"/>
              <w:left w:val="nil"/>
              <w:bottom w:val="single" w:sz="4" w:space="0" w:color="auto"/>
              <w:right w:val="single" w:sz="4" w:space="0" w:color="auto"/>
            </w:tcBorders>
            <w:shd w:val="clear" w:color="auto" w:fill="auto"/>
            <w:noWrap/>
            <w:vAlign w:val="bottom"/>
            <w:hideMark/>
          </w:tcPr>
          <w:p w14:paraId="002CDA71"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437/99/0</w:t>
            </w:r>
          </w:p>
        </w:tc>
        <w:tc>
          <w:tcPr>
            <w:tcW w:w="1030" w:type="dxa"/>
            <w:tcBorders>
              <w:top w:val="nil"/>
              <w:left w:val="nil"/>
              <w:bottom w:val="single" w:sz="4" w:space="0" w:color="auto"/>
              <w:right w:val="single" w:sz="4" w:space="0" w:color="auto"/>
            </w:tcBorders>
            <w:shd w:val="clear" w:color="auto" w:fill="auto"/>
            <w:noWrap/>
            <w:vAlign w:val="bottom"/>
            <w:hideMark/>
          </w:tcPr>
          <w:p w14:paraId="53C4CF5B"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443/103/0</w:t>
            </w:r>
          </w:p>
        </w:tc>
        <w:tc>
          <w:tcPr>
            <w:tcW w:w="919" w:type="dxa"/>
            <w:tcBorders>
              <w:top w:val="nil"/>
              <w:left w:val="nil"/>
              <w:bottom w:val="single" w:sz="4" w:space="0" w:color="auto"/>
              <w:right w:val="single" w:sz="4" w:space="0" w:color="auto"/>
            </w:tcBorders>
            <w:shd w:val="clear" w:color="auto" w:fill="auto"/>
            <w:noWrap/>
            <w:vAlign w:val="bottom"/>
            <w:hideMark/>
          </w:tcPr>
          <w:p w14:paraId="4053B9A4"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429/71/0</w:t>
            </w:r>
          </w:p>
        </w:tc>
        <w:tc>
          <w:tcPr>
            <w:tcW w:w="1030" w:type="dxa"/>
            <w:tcBorders>
              <w:top w:val="nil"/>
              <w:left w:val="nil"/>
              <w:bottom w:val="single" w:sz="4" w:space="0" w:color="auto"/>
              <w:right w:val="single" w:sz="4" w:space="0" w:color="auto"/>
            </w:tcBorders>
            <w:shd w:val="clear" w:color="auto" w:fill="auto"/>
            <w:noWrap/>
            <w:vAlign w:val="bottom"/>
            <w:hideMark/>
          </w:tcPr>
          <w:p w14:paraId="670599CC"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442/113/0</w:t>
            </w:r>
          </w:p>
        </w:tc>
        <w:tc>
          <w:tcPr>
            <w:tcW w:w="919" w:type="dxa"/>
            <w:tcBorders>
              <w:top w:val="nil"/>
              <w:left w:val="nil"/>
              <w:bottom w:val="single" w:sz="4" w:space="0" w:color="auto"/>
              <w:right w:val="single" w:sz="4" w:space="0" w:color="auto"/>
            </w:tcBorders>
            <w:shd w:val="clear" w:color="auto" w:fill="auto"/>
            <w:noWrap/>
            <w:vAlign w:val="bottom"/>
            <w:hideMark/>
          </w:tcPr>
          <w:p w14:paraId="5CEA236A"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448/85/0</w:t>
            </w:r>
          </w:p>
        </w:tc>
        <w:tc>
          <w:tcPr>
            <w:tcW w:w="1030" w:type="dxa"/>
            <w:tcBorders>
              <w:top w:val="nil"/>
              <w:left w:val="nil"/>
              <w:bottom w:val="single" w:sz="4" w:space="0" w:color="auto"/>
              <w:right w:val="single" w:sz="4" w:space="0" w:color="auto"/>
            </w:tcBorders>
            <w:shd w:val="clear" w:color="auto" w:fill="auto"/>
            <w:noWrap/>
            <w:vAlign w:val="bottom"/>
            <w:hideMark/>
          </w:tcPr>
          <w:p w14:paraId="1D5D8076"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448/440/0</w:t>
            </w:r>
          </w:p>
        </w:tc>
        <w:tc>
          <w:tcPr>
            <w:tcW w:w="1030" w:type="dxa"/>
            <w:tcBorders>
              <w:top w:val="nil"/>
              <w:left w:val="nil"/>
              <w:bottom w:val="single" w:sz="4" w:space="0" w:color="auto"/>
              <w:right w:val="double" w:sz="6" w:space="0" w:color="auto"/>
            </w:tcBorders>
            <w:shd w:val="clear" w:color="auto" w:fill="auto"/>
            <w:noWrap/>
            <w:vAlign w:val="bottom"/>
            <w:hideMark/>
          </w:tcPr>
          <w:p w14:paraId="2715F860"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358/350/0</w:t>
            </w:r>
          </w:p>
        </w:tc>
      </w:tr>
      <w:tr w:rsidR="00CB2594" w:rsidRPr="007434DA" w14:paraId="3238E71E" w14:textId="77777777" w:rsidTr="004A57B3">
        <w:trPr>
          <w:trHeight w:val="300"/>
        </w:trPr>
        <w:tc>
          <w:tcPr>
            <w:tcW w:w="1160" w:type="dxa"/>
            <w:tcBorders>
              <w:top w:val="nil"/>
              <w:left w:val="double" w:sz="6" w:space="0" w:color="auto"/>
              <w:bottom w:val="single" w:sz="4" w:space="0" w:color="auto"/>
              <w:right w:val="single" w:sz="8" w:space="0" w:color="auto"/>
            </w:tcBorders>
            <w:shd w:val="clear" w:color="auto" w:fill="auto"/>
            <w:noWrap/>
            <w:vAlign w:val="bottom"/>
            <w:hideMark/>
          </w:tcPr>
          <w:p w14:paraId="6AA3D7D2" w14:textId="77777777" w:rsidR="00CB2594" w:rsidRPr="007434DA" w:rsidRDefault="00CB2594" w:rsidP="004A57B3">
            <w:pPr>
              <w:rPr>
                <w:rFonts w:eastAsia="Times New Roman" w:cs="Times New Roman"/>
                <w:b/>
                <w:bCs/>
                <w:color w:val="000000"/>
                <w:sz w:val="20"/>
                <w:szCs w:val="20"/>
                <w:lang w:val="cs-CZ" w:eastAsia="cs-CZ"/>
              </w:rPr>
            </w:pPr>
            <w:r w:rsidRPr="007434DA">
              <w:rPr>
                <w:rFonts w:eastAsia="Times New Roman" w:cs="Times New Roman"/>
                <w:b/>
                <w:bCs/>
                <w:color w:val="000000"/>
                <w:sz w:val="20"/>
                <w:szCs w:val="20"/>
                <w:lang w:val="cs-CZ" w:eastAsia="cs-CZ"/>
              </w:rPr>
              <w:t>Bílé maso</w:t>
            </w:r>
          </w:p>
        </w:tc>
        <w:tc>
          <w:tcPr>
            <w:tcW w:w="919" w:type="dxa"/>
            <w:tcBorders>
              <w:top w:val="nil"/>
              <w:left w:val="nil"/>
              <w:bottom w:val="single" w:sz="4" w:space="0" w:color="auto"/>
              <w:right w:val="single" w:sz="4" w:space="0" w:color="auto"/>
            </w:tcBorders>
            <w:shd w:val="clear" w:color="auto" w:fill="auto"/>
            <w:noWrap/>
            <w:vAlign w:val="bottom"/>
            <w:hideMark/>
          </w:tcPr>
          <w:p w14:paraId="2A9B82EF"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77/6/0</w:t>
            </w:r>
          </w:p>
        </w:tc>
        <w:tc>
          <w:tcPr>
            <w:tcW w:w="1030" w:type="dxa"/>
            <w:tcBorders>
              <w:top w:val="nil"/>
              <w:left w:val="nil"/>
              <w:bottom w:val="single" w:sz="4" w:space="0" w:color="auto"/>
              <w:right w:val="single" w:sz="4" w:space="0" w:color="auto"/>
            </w:tcBorders>
            <w:shd w:val="clear" w:color="auto" w:fill="auto"/>
            <w:noWrap/>
            <w:vAlign w:val="bottom"/>
            <w:hideMark/>
          </w:tcPr>
          <w:p w14:paraId="2AFAD707"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77/37/0</w:t>
            </w:r>
          </w:p>
        </w:tc>
        <w:tc>
          <w:tcPr>
            <w:tcW w:w="919" w:type="dxa"/>
            <w:tcBorders>
              <w:top w:val="nil"/>
              <w:left w:val="nil"/>
              <w:bottom w:val="single" w:sz="4" w:space="0" w:color="auto"/>
              <w:right w:val="single" w:sz="4" w:space="0" w:color="auto"/>
            </w:tcBorders>
            <w:shd w:val="clear" w:color="auto" w:fill="auto"/>
            <w:noWrap/>
            <w:vAlign w:val="bottom"/>
            <w:hideMark/>
          </w:tcPr>
          <w:p w14:paraId="7417F6F7"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87/19/0</w:t>
            </w:r>
          </w:p>
        </w:tc>
        <w:tc>
          <w:tcPr>
            <w:tcW w:w="1030" w:type="dxa"/>
            <w:tcBorders>
              <w:top w:val="nil"/>
              <w:left w:val="nil"/>
              <w:bottom w:val="single" w:sz="4" w:space="0" w:color="auto"/>
              <w:right w:val="single" w:sz="4" w:space="0" w:color="auto"/>
            </w:tcBorders>
            <w:shd w:val="clear" w:color="auto" w:fill="auto"/>
            <w:noWrap/>
            <w:vAlign w:val="bottom"/>
            <w:hideMark/>
          </w:tcPr>
          <w:p w14:paraId="566A5040"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87/17/1</w:t>
            </w:r>
          </w:p>
        </w:tc>
        <w:tc>
          <w:tcPr>
            <w:tcW w:w="919" w:type="dxa"/>
            <w:tcBorders>
              <w:top w:val="nil"/>
              <w:left w:val="nil"/>
              <w:bottom w:val="single" w:sz="4" w:space="0" w:color="auto"/>
              <w:right w:val="single" w:sz="4" w:space="0" w:color="auto"/>
            </w:tcBorders>
            <w:shd w:val="clear" w:color="auto" w:fill="auto"/>
            <w:noWrap/>
            <w:vAlign w:val="bottom"/>
            <w:hideMark/>
          </w:tcPr>
          <w:p w14:paraId="47957E17"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85/6/0</w:t>
            </w:r>
          </w:p>
        </w:tc>
        <w:tc>
          <w:tcPr>
            <w:tcW w:w="1030" w:type="dxa"/>
            <w:tcBorders>
              <w:top w:val="nil"/>
              <w:left w:val="nil"/>
              <w:bottom w:val="single" w:sz="4" w:space="0" w:color="auto"/>
              <w:right w:val="single" w:sz="4" w:space="0" w:color="auto"/>
            </w:tcBorders>
            <w:shd w:val="clear" w:color="auto" w:fill="auto"/>
            <w:noWrap/>
            <w:vAlign w:val="bottom"/>
            <w:hideMark/>
          </w:tcPr>
          <w:p w14:paraId="4D132633"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86/16/0</w:t>
            </w:r>
          </w:p>
        </w:tc>
        <w:tc>
          <w:tcPr>
            <w:tcW w:w="919" w:type="dxa"/>
            <w:tcBorders>
              <w:top w:val="nil"/>
              <w:left w:val="nil"/>
              <w:bottom w:val="single" w:sz="4" w:space="0" w:color="auto"/>
              <w:right w:val="single" w:sz="4" w:space="0" w:color="auto"/>
            </w:tcBorders>
            <w:shd w:val="clear" w:color="auto" w:fill="auto"/>
            <w:noWrap/>
            <w:vAlign w:val="bottom"/>
            <w:hideMark/>
          </w:tcPr>
          <w:p w14:paraId="72AD574E"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110/4/0</w:t>
            </w:r>
          </w:p>
        </w:tc>
        <w:tc>
          <w:tcPr>
            <w:tcW w:w="1030" w:type="dxa"/>
            <w:tcBorders>
              <w:top w:val="nil"/>
              <w:left w:val="nil"/>
              <w:bottom w:val="single" w:sz="4" w:space="0" w:color="auto"/>
              <w:right w:val="single" w:sz="4" w:space="0" w:color="auto"/>
            </w:tcBorders>
            <w:shd w:val="clear" w:color="auto" w:fill="auto"/>
            <w:noWrap/>
            <w:vAlign w:val="bottom"/>
            <w:hideMark/>
          </w:tcPr>
          <w:p w14:paraId="7EFB30EF"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110/73/0</w:t>
            </w:r>
          </w:p>
        </w:tc>
        <w:tc>
          <w:tcPr>
            <w:tcW w:w="1030" w:type="dxa"/>
            <w:tcBorders>
              <w:top w:val="nil"/>
              <w:left w:val="nil"/>
              <w:bottom w:val="single" w:sz="4" w:space="0" w:color="auto"/>
              <w:right w:val="double" w:sz="6" w:space="0" w:color="auto"/>
            </w:tcBorders>
            <w:shd w:val="clear" w:color="auto" w:fill="auto"/>
            <w:noWrap/>
            <w:vAlign w:val="bottom"/>
            <w:hideMark/>
          </w:tcPr>
          <w:p w14:paraId="05914CB8"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82/72/</w:t>
            </w:r>
            <w:r w:rsidRPr="007434DA">
              <w:rPr>
                <w:rFonts w:eastAsia="Times New Roman" w:cs="Times New Roman"/>
                <w:b/>
                <w:bCs/>
                <w:color w:val="FF0000"/>
                <w:sz w:val="20"/>
                <w:szCs w:val="20"/>
                <w:lang w:val="cs-CZ" w:eastAsia="cs-CZ"/>
              </w:rPr>
              <w:t>1</w:t>
            </w:r>
          </w:p>
        </w:tc>
      </w:tr>
      <w:tr w:rsidR="00CB2594" w:rsidRPr="007434DA" w14:paraId="2B23E3DE" w14:textId="77777777" w:rsidTr="004A57B3">
        <w:trPr>
          <w:trHeight w:val="300"/>
        </w:trPr>
        <w:tc>
          <w:tcPr>
            <w:tcW w:w="1160" w:type="dxa"/>
            <w:tcBorders>
              <w:top w:val="nil"/>
              <w:left w:val="double" w:sz="6" w:space="0" w:color="auto"/>
              <w:bottom w:val="single" w:sz="4" w:space="0" w:color="auto"/>
              <w:right w:val="single" w:sz="8" w:space="0" w:color="auto"/>
            </w:tcBorders>
            <w:shd w:val="clear" w:color="auto" w:fill="auto"/>
            <w:noWrap/>
            <w:vAlign w:val="bottom"/>
            <w:hideMark/>
          </w:tcPr>
          <w:p w14:paraId="4C072D2F" w14:textId="77777777" w:rsidR="00CB2594" w:rsidRPr="007434DA" w:rsidRDefault="00CB2594" w:rsidP="004A57B3">
            <w:pPr>
              <w:rPr>
                <w:rFonts w:eastAsia="Times New Roman" w:cs="Times New Roman"/>
                <w:b/>
                <w:bCs/>
                <w:color w:val="000000"/>
                <w:sz w:val="20"/>
                <w:szCs w:val="20"/>
                <w:lang w:val="cs-CZ" w:eastAsia="cs-CZ"/>
              </w:rPr>
            </w:pPr>
            <w:r w:rsidRPr="007434DA">
              <w:rPr>
                <w:rFonts w:eastAsia="Times New Roman" w:cs="Times New Roman"/>
                <w:b/>
                <w:bCs/>
                <w:color w:val="000000"/>
                <w:sz w:val="20"/>
                <w:szCs w:val="20"/>
                <w:lang w:val="cs-CZ" w:eastAsia="cs-CZ"/>
              </w:rPr>
              <w:t>Ryby</w:t>
            </w:r>
          </w:p>
        </w:tc>
        <w:tc>
          <w:tcPr>
            <w:tcW w:w="919" w:type="dxa"/>
            <w:tcBorders>
              <w:top w:val="nil"/>
              <w:left w:val="nil"/>
              <w:bottom w:val="single" w:sz="4" w:space="0" w:color="auto"/>
              <w:right w:val="single" w:sz="4" w:space="0" w:color="auto"/>
            </w:tcBorders>
            <w:shd w:val="clear" w:color="auto" w:fill="auto"/>
            <w:noWrap/>
            <w:vAlign w:val="bottom"/>
            <w:hideMark/>
          </w:tcPr>
          <w:p w14:paraId="4A5D4242"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20/17/0</w:t>
            </w:r>
          </w:p>
        </w:tc>
        <w:tc>
          <w:tcPr>
            <w:tcW w:w="1030" w:type="dxa"/>
            <w:tcBorders>
              <w:top w:val="nil"/>
              <w:left w:val="nil"/>
              <w:bottom w:val="single" w:sz="4" w:space="0" w:color="auto"/>
              <w:right w:val="single" w:sz="4" w:space="0" w:color="auto"/>
            </w:tcBorders>
            <w:shd w:val="clear" w:color="auto" w:fill="auto"/>
            <w:noWrap/>
            <w:vAlign w:val="bottom"/>
            <w:hideMark/>
          </w:tcPr>
          <w:p w14:paraId="76C3C42D"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25/25/0</w:t>
            </w:r>
          </w:p>
        </w:tc>
        <w:tc>
          <w:tcPr>
            <w:tcW w:w="919" w:type="dxa"/>
            <w:tcBorders>
              <w:top w:val="nil"/>
              <w:left w:val="nil"/>
              <w:bottom w:val="single" w:sz="4" w:space="0" w:color="auto"/>
              <w:right w:val="single" w:sz="4" w:space="0" w:color="auto"/>
            </w:tcBorders>
            <w:shd w:val="clear" w:color="auto" w:fill="auto"/>
            <w:noWrap/>
            <w:vAlign w:val="bottom"/>
            <w:hideMark/>
          </w:tcPr>
          <w:p w14:paraId="4F49E942"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20/18/0</w:t>
            </w:r>
          </w:p>
        </w:tc>
        <w:tc>
          <w:tcPr>
            <w:tcW w:w="1030" w:type="dxa"/>
            <w:tcBorders>
              <w:top w:val="nil"/>
              <w:left w:val="nil"/>
              <w:bottom w:val="single" w:sz="4" w:space="0" w:color="auto"/>
              <w:right w:val="single" w:sz="4" w:space="0" w:color="auto"/>
            </w:tcBorders>
            <w:shd w:val="clear" w:color="auto" w:fill="auto"/>
            <w:noWrap/>
            <w:vAlign w:val="bottom"/>
            <w:hideMark/>
          </w:tcPr>
          <w:p w14:paraId="61866D01"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12/12/0</w:t>
            </w:r>
          </w:p>
        </w:tc>
        <w:tc>
          <w:tcPr>
            <w:tcW w:w="919" w:type="dxa"/>
            <w:tcBorders>
              <w:top w:val="nil"/>
              <w:left w:val="nil"/>
              <w:bottom w:val="single" w:sz="4" w:space="0" w:color="auto"/>
              <w:right w:val="single" w:sz="4" w:space="0" w:color="auto"/>
            </w:tcBorders>
            <w:shd w:val="clear" w:color="auto" w:fill="auto"/>
            <w:noWrap/>
            <w:vAlign w:val="bottom"/>
            <w:hideMark/>
          </w:tcPr>
          <w:p w14:paraId="7D10AC02"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3/2/0</w:t>
            </w:r>
          </w:p>
        </w:tc>
        <w:tc>
          <w:tcPr>
            <w:tcW w:w="1030" w:type="dxa"/>
            <w:tcBorders>
              <w:top w:val="nil"/>
              <w:left w:val="nil"/>
              <w:bottom w:val="single" w:sz="4" w:space="0" w:color="auto"/>
              <w:right w:val="single" w:sz="4" w:space="0" w:color="auto"/>
            </w:tcBorders>
            <w:shd w:val="clear" w:color="auto" w:fill="auto"/>
            <w:noWrap/>
            <w:vAlign w:val="bottom"/>
            <w:hideMark/>
          </w:tcPr>
          <w:p w14:paraId="03A3B11B"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3/3/0</w:t>
            </w:r>
          </w:p>
        </w:tc>
        <w:tc>
          <w:tcPr>
            <w:tcW w:w="919" w:type="dxa"/>
            <w:tcBorders>
              <w:top w:val="nil"/>
              <w:left w:val="nil"/>
              <w:bottom w:val="single" w:sz="4" w:space="0" w:color="auto"/>
              <w:right w:val="single" w:sz="4" w:space="0" w:color="auto"/>
            </w:tcBorders>
            <w:shd w:val="clear" w:color="auto" w:fill="auto"/>
            <w:noWrap/>
            <w:vAlign w:val="bottom"/>
            <w:hideMark/>
          </w:tcPr>
          <w:p w14:paraId="39CE0D56"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3/3/0</w:t>
            </w:r>
          </w:p>
        </w:tc>
        <w:tc>
          <w:tcPr>
            <w:tcW w:w="1030" w:type="dxa"/>
            <w:tcBorders>
              <w:top w:val="nil"/>
              <w:left w:val="nil"/>
              <w:bottom w:val="single" w:sz="4" w:space="0" w:color="auto"/>
              <w:right w:val="single" w:sz="4" w:space="0" w:color="auto"/>
            </w:tcBorders>
            <w:shd w:val="clear" w:color="auto" w:fill="auto"/>
            <w:noWrap/>
            <w:vAlign w:val="bottom"/>
            <w:hideMark/>
          </w:tcPr>
          <w:p w14:paraId="30E25C62"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3/3/0</w:t>
            </w:r>
          </w:p>
        </w:tc>
        <w:tc>
          <w:tcPr>
            <w:tcW w:w="1030" w:type="dxa"/>
            <w:tcBorders>
              <w:top w:val="nil"/>
              <w:left w:val="nil"/>
              <w:bottom w:val="single" w:sz="4" w:space="0" w:color="auto"/>
              <w:right w:val="double" w:sz="6" w:space="0" w:color="auto"/>
            </w:tcBorders>
            <w:shd w:val="clear" w:color="auto" w:fill="auto"/>
            <w:noWrap/>
            <w:vAlign w:val="bottom"/>
            <w:hideMark/>
          </w:tcPr>
          <w:p w14:paraId="76FEE1A8"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3/3/0</w:t>
            </w:r>
          </w:p>
        </w:tc>
      </w:tr>
      <w:tr w:rsidR="00CB2594" w:rsidRPr="007434DA" w14:paraId="65F7D437" w14:textId="77777777" w:rsidTr="004A57B3">
        <w:trPr>
          <w:trHeight w:val="570"/>
        </w:trPr>
        <w:tc>
          <w:tcPr>
            <w:tcW w:w="1160" w:type="dxa"/>
            <w:tcBorders>
              <w:top w:val="nil"/>
              <w:left w:val="double" w:sz="6" w:space="0" w:color="auto"/>
              <w:bottom w:val="single" w:sz="4" w:space="0" w:color="auto"/>
              <w:right w:val="single" w:sz="8" w:space="0" w:color="auto"/>
            </w:tcBorders>
            <w:shd w:val="clear" w:color="auto" w:fill="auto"/>
            <w:vAlign w:val="bottom"/>
            <w:hideMark/>
          </w:tcPr>
          <w:p w14:paraId="1AE97C9D" w14:textId="77777777" w:rsidR="00CB2594" w:rsidRPr="007434DA" w:rsidRDefault="00CB2594" w:rsidP="004A57B3">
            <w:pPr>
              <w:rPr>
                <w:rFonts w:eastAsia="Times New Roman" w:cs="Times New Roman"/>
                <w:b/>
                <w:bCs/>
                <w:color w:val="000000"/>
                <w:sz w:val="20"/>
                <w:szCs w:val="20"/>
                <w:lang w:val="cs-CZ" w:eastAsia="cs-CZ"/>
              </w:rPr>
            </w:pPr>
            <w:r w:rsidRPr="007434DA">
              <w:rPr>
                <w:rFonts w:eastAsia="Times New Roman" w:cs="Times New Roman"/>
                <w:b/>
                <w:bCs/>
                <w:color w:val="000000"/>
                <w:sz w:val="20"/>
                <w:szCs w:val="20"/>
                <w:lang w:val="cs-CZ" w:eastAsia="cs-CZ"/>
              </w:rPr>
              <w:t xml:space="preserve">Farmová </w:t>
            </w:r>
            <w:r w:rsidRPr="007434DA">
              <w:rPr>
                <w:rFonts w:eastAsia="Times New Roman" w:cs="Times New Roman"/>
                <w:b/>
                <w:bCs/>
                <w:color w:val="000000"/>
                <w:sz w:val="20"/>
                <w:szCs w:val="20"/>
                <w:lang w:val="cs-CZ" w:eastAsia="cs-CZ"/>
              </w:rPr>
              <w:br/>
              <w:t>a lov. zvěř</w:t>
            </w:r>
          </w:p>
        </w:tc>
        <w:tc>
          <w:tcPr>
            <w:tcW w:w="919" w:type="dxa"/>
            <w:tcBorders>
              <w:top w:val="nil"/>
              <w:left w:val="nil"/>
              <w:bottom w:val="single" w:sz="4" w:space="0" w:color="auto"/>
              <w:right w:val="single" w:sz="4" w:space="0" w:color="auto"/>
            </w:tcBorders>
            <w:shd w:val="clear" w:color="auto" w:fill="auto"/>
            <w:noWrap/>
            <w:vAlign w:val="bottom"/>
            <w:hideMark/>
          </w:tcPr>
          <w:p w14:paraId="0A5E5906"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32/15/0</w:t>
            </w:r>
          </w:p>
        </w:tc>
        <w:tc>
          <w:tcPr>
            <w:tcW w:w="1030" w:type="dxa"/>
            <w:tcBorders>
              <w:top w:val="nil"/>
              <w:left w:val="nil"/>
              <w:bottom w:val="single" w:sz="4" w:space="0" w:color="auto"/>
              <w:right w:val="single" w:sz="4" w:space="0" w:color="auto"/>
            </w:tcBorders>
            <w:shd w:val="clear" w:color="auto" w:fill="auto"/>
            <w:noWrap/>
            <w:vAlign w:val="bottom"/>
            <w:hideMark/>
          </w:tcPr>
          <w:p w14:paraId="6089E151"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35/33/0</w:t>
            </w:r>
          </w:p>
        </w:tc>
        <w:tc>
          <w:tcPr>
            <w:tcW w:w="919" w:type="dxa"/>
            <w:tcBorders>
              <w:top w:val="nil"/>
              <w:left w:val="nil"/>
              <w:bottom w:val="single" w:sz="4" w:space="0" w:color="auto"/>
              <w:right w:val="single" w:sz="4" w:space="0" w:color="auto"/>
            </w:tcBorders>
            <w:shd w:val="clear" w:color="auto" w:fill="auto"/>
            <w:noWrap/>
            <w:vAlign w:val="bottom"/>
            <w:hideMark/>
          </w:tcPr>
          <w:p w14:paraId="2495CBBA"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32/16/0</w:t>
            </w:r>
          </w:p>
        </w:tc>
        <w:tc>
          <w:tcPr>
            <w:tcW w:w="1030" w:type="dxa"/>
            <w:tcBorders>
              <w:top w:val="nil"/>
              <w:left w:val="nil"/>
              <w:bottom w:val="single" w:sz="4" w:space="0" w:color="auto"/>
              <w:right w:val="single" w:sz="4" w:space="0" w:color="auto"/>
            </w:tcBorders>
            <w:shd w:val="clear" w:color="auto" w:fill="auto"/>
            <w:noWrap/>
            <w:vAlign w:val="bottom"/>
            <w:hideMark/>
          </w:tcPr>
          <w:p w14:paraId="21B5563F"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31/14/0</w:t>
            </w:r>
          </w:p>
        </w:tc>
        <w:tc>
          <w:tcPr>
            <w:tcW w:w="919" w:type="dxa"/>
            <w:tcBorders>
              <w:top w:val="nil"/>
              <w:left w:val="nil"/>
              <w:bottom w:val="single" w:sz="4" w:space="0" w:color="auto"/>
              <w:right w:val="single" w:sz="4" w:space="0" w:color="auto"/>
            </w:tcBorders>
            <w:shd w:val="clear" w:color="auto" w:fill="auto"/>
            <w:noWrap/>
            <w:vAlign w:val="bottom"/>
            <w:hideMark/>
          </w:tcPr>
          <w:p w14:paraId="44BA60CA"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28/11/0</w:t>
            </w:r>
          </w:p>
        </w:tc>
        <w:tc>
          <w:tcPr>
            <w:tcW w:w="1030" w:type="dxa"/>
            <w:tcBorders>
              <w:top w:val="nil"/>
              <w:left w:val="nil"/>
              <w:bottom w:val="single" w:sz="4" w:space="0" w:color="auto"/>
              <w:right w:val="single" w:sz="4" w:space="0" w:color="auto"/>
            </w:tcBorders>
            <w:shd w:val="clear" w:color="auto" w:fill="auto"/>
            <w:noWrap/>
            <w:vAlign w:val="bottom"/>
            <w:hideMark/>
          </w:tcPr>
          <w:p w14:paraId="3D1FFE2C"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35/7/0</w:t>
            </w:r>
          </w:p>
        </w:tc>
        <w:tc>
          <w:tcPr>
            <w:tcW w:w="919" w:type="dxa"/>
            <w:tcBorders>
              <w:top w:val="nil"/>
              <w:left w:val="nil"/>
              <w:bottom w:val="single" w:sz="4" w:space="0" w:color="auto"/>
              <w:right w:val="single" w:sz="4" w:space="0" w:color="auto"/>
            </w:tcBorders>
            <w:shd w:val="clear" w:color="auto" w:fill="auto"/>
            <w:noWrap/>
            <w:vAlign w:val="bottom"/>
            <w:hideMark/>
          </w:tcPr>
          <w:p w14:paraId="0F66C131"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35/12/0</w:t>
            </w:r>
          </w:p>
        </w:tc>
        <w:tc>
          <w:tcPr>
            <w:tcW w:w="1030" w:type="dxa"/>
            <w:tcBorders>
              <w:top w:val="nil"/>
              <w:left w:val="nil"/>
              <w:bottom w:val="single" w:sz="4" w:space="0" w:color="auto"/>
              <w:right w:val="single" w:sz="4" w:space="0" w:color="auto"/>
            </w:tcBorders>
            <w:shd w:val="clear" w:color="auto" w:fill="auto"/>
            <w:noWrap/>
            <w:vAlign w:val="bottom"/>
            <w:hideMark/>
          </w:tcPr>
          <w:p w14:paraId="740E3B28"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31/31/0</w:t>
            </w:r>
          </w:p>
        </w:tc>
        <w:tc>
          <w:tcPr>
            <w:tcW w:w="1030" w:type="dxa"/>
            <w:tcBorders>
              <w:top w:val="nil"/>
              <w:left w:val="nil"/>
              <w:bottom w:val="single" w:sz="4" w:space="0" w:color="auto"/>
              <w:right w:val="double" w:sz="6" w:space="0" w:color="auto"/>
            </w:tcBorders>
            <w:shd w:val="clear" w:color="auto" w:fill="auto"/>
            <w:noWrap/>
            <w:vAlign w:val="bottom"/>
            <w:hideMark/>
          </w:tcPr>
          <w:p w14:paraId="61005CDF"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31/30/</w:t>
            </w:r>
            <w:r w:rsidRPr="007434DA">
              <w:rPr>
                <w:rFonts w:eastAsia="Times New Roman" w:cs="Times New Roman"/>
                <w:b/>
                <w:bCs/>
                <w:color w:val="FF0000"/>
                <w:sz w:val="20"/>
                <w:szCs w:val="20"/>
                <w:lang w:val="cs-CZ" w:eastAsia="cs-CZ"/>
              </w:rPr>
              <w:t>1</w:t>
            </w:r>
          </w:p>
        </w:tc>
      </w:tr>
      <w:tr w:rsidR="00CB2594" w:rsidRPr="007434DA" w14:paraId="4B1B149C" w14:textId="77777777" w:rsidTr="004A57B3">
        <w:trPr>
          <w:trHeight w:val="300"/>
        </w:trPr>
        <w:tc>
          <w:tcPr>
            <w:tcW w:w="1160" w:type="dxa"/>
            <w:tcBorders>
              <w:top w:val="nil"/>
              <w:left w:val="double" w:sz="6" w:space="0" w:color="auto"/>
              <w:bottom w:val="single" w:sz="4" w:space="0" w:color="auto"/>
              <w:right w:val="single" w:sz="8" w:space="0" w:color="auto"/>
            </w:tcBorders>
            <w:shd w:val="clear" w:color="auto" w:fill="auto"/>
            <w:noWrap/>
            <w:vAlign w:val="bottom"/>
            <w:hideMark/>
          </w:tcPr>
          <w:p w14:paraId="6F952FD3" w14:textId="77777777" w:rsidR="00CB2594" w:rsidRPr="007434DA" w:rsidRDefault="00CB2594" w:rsidP="004A57B3">
            <w:pPr>
              <w:rPr>
                <w:rFonts w:eastAsia="Times New Roman" w:cs="Times New Roman"/>
                <w:b/>
                <w:bCs/>
                <w:color w:val="000000"/>
                <w:sz w:val="20"/>
                <w:szCs w:val="20"/>
                <w:lang w:val="cs-CZ" w:eastAsia="cs-CZ"/>
              </w:rPr>
            </w:pPr>
            <w:r w:rsidRPr="007434DA">
              <w:rPr>
                <w:rFonts w:eastAsia="Times New Roman" w:cs="Times New Roman"/>
                <w:b/>
                <w:bCs/>
                <w:color w:val="000000"/>
                <w:sz w:val="20"/>
                <w:szCs w:val="20"/>
                <w:lang w:val="cs-CZ" w:eastAsia="cs-CZ"/>
              </w:rPr>
              <w:t xml:space="preserve">Mléko  </w:t>
            </w:r>
          </w:p>
        </w:tc>
        <w:tc>
          <w:tcPr>
            <w:tcW w:w="919" w:type="dxa"/>
            <w:tcBorders>
              <w:top w:val="nil"/>
              <w:left w:val="nil"/>
              <w:bottom w:val="single" w:sz="4" w:space="0" w:color="auto"/>
              <w:right w:val="single" w:sz="4" w:space="0" w:color="auto"/>
            </w:tcBorders>
            <w:shd w:val="clear" w:color="auto" w:fill="auto"/>
            <w:noWrap/>
            <w:vAlign w:val="bottom"/>
            <w:hideMark/>
          </w:tcPr>
          <w:p w14:paraId="4958966E"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94/34/0</w:t>
            </w:r>
          </w:p>
        </w:tc>
        <w:tc>
          <w:tcPr>
            <w:tcW w:w="1030" w:type="dxa"/>
            <w:tcBorders>
              <w:top w:val="nil"/>
              <w:left w:val="nil"/>
              <w:bottom w:val="single" w:sz="4" w:space="0" w:color="auto"/>
              <w:right w:val="single" w:sz="4" w:space="0" w:color="auto"/>
            </w:tcBorders>
            <w:shd w:val="clear" w:color="auto" w:fill="auto"/>
            <w:noWrap/>
            <w:vAlign w:val="bottom"/>
            <w:hideMark/>
          </w:tcPr>
          <w:p w14:paraId="668FDFA3"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91/64/0</w:t>
            </w:r>
          </w:p>
        </w:tc>
        <w:tc>
          <w:tcPr>
            <w:tcW w:w="919" w:type="dxa"/>
            <w:tcBorders>
              <w:top w:val="nil"/>
              <w:left w:val="nil"/>
              <w:bottom w:val="single" w:sz="4" w:space="0" w:color="auto"/>
              <w:right w:val="single" w:sz="4" w:space="0" w:color="auto"/>
            </w:tcBorders>
            <w:shd w:val="clear" w:color="auto" w:fill="auto"/>
            <w:noWrap/>
            <w:vAlign w:val="bottom"/>
            <w:hideMark/>
          </w:tcPr>
          <w:p w14:paraId="38835CB6"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57/22/0</w:t>
            </w:r>
          </w:p>
        </w:tc>
        <w:tc>
          <w:tcPr>
            <w:tcW w:w="1030" w:type="dxa"/>
            <w:tcBorders>
              <w:top w:val="nil"/>
              <w:left w:val="nil"/>
              <w:bottom w:val="single" w:sz="4" w:space="0" w:color="auto"/>
              <w:right w:val="single" w:sz="4" w:space="0" w:color="auto"/>
            </w:tcBorders>
            <w:shd w:val="clear" w:color="auto" w:fill="auto"/>
            <w:noWrap/>
            <w:vAlign w:val="bottom"/>
            <w:hideMark/>
          </w:tcPr>
          <w:p w14:paraId="22888C8F"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82/40/0</w:t>
            </w:r>
          </w:p>
        </w:tc>
        <w:tc>
          <w:tcPr>
            <w:tcW w:w="919" w:type="dxa"/>
            <w:tcBorders>
              <w:top w:val="nil"/>
              <w:left w:val="nil"/>
              <w:bottom w:val="single" w:sz="4" w:space="0" w:color="auto"/>
              <w:right w:val="single" w:sz="4" w:space="0" w:color="auto"/>
            </w:tcBorders>
            <w:shd w:val="clear" w:color="auto" w:fill="auto"/>
            <w:noWrap/>
            <w:vAlign w:val="bottom"/>
            <w:hideMark/>
          </w:tcPr>
          <w:p w14:paraId="6B8506A4"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76/20/0</w:t>
            </w:r>
          </w:p>
        </w:tc>
        <w:tc>
          <w:tcPr>
            <w:tcW w:w="1030" w:type="dxa"/>
            <w:tcBorders>
              <w:top w:val="nil"/>
              <w:left w:val="nil"/>
              <w:bottom w:val="single" w:sz="4" w:space="0" w:color="auto"/>
              <w:right w:val="single" w:sz="4" w:space="0" w:color="auto"/>
            </w:tcBorders>
            <w:shd w:val="clear" w:color="auto" w:fill="auto"/>
            <w:noWrap/>
            <w:vAlign w:val="bottom"/>
            <w:hideMark/>
          </w:tcPr>
          <w:p w14:paraId="695CA05C"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76/35/0</w:t>
            </w:r>
          </w:p>
        </w:tc>
        <w:tc>
          <w:tcPr>
            <w:tcW w:w="919" w:type="dxa"/>
            <w:tcBorders>
              <w:top w:val="nil"/>
              <w:left w:val="nil"/>
              <w:bottom w:val="single" w:sz="4" w:space="0" w:color="auto"/>
              <w:right w:val="single" w:sz="4" w:space="0" w:color="auto"/>
            </w:tcBorders>
            <w:shd w:val="clear" w:color="auto" w:fill="auto"/>
            <w:noWrap/>
            <w:vAlign w:val="bottom"/>
            <w:hideMark/>
          </w:tcPr>
          <w:p w14:paraId="2180E116"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70/15/0</w:t>
            </w:r>
          </w:p>
        </w:tc>
        <w:tc>
          <w:tcPr>
            <w:tcW w:w="1030" w:type="dxa"/>
            <w:tcBorders>
              <w:top w:val="nil"/>
              <w:left w:val="nil"/>
              <w:bottom w:val="single" w:sz="4" w:space="0" w:color="auto"/>
              <w:right w:val="single" w:sz="4" w:space="0" w:color="auto"/>
            </w:tcBorders>
            <w:shd w:val="clear" w:color="auto" w:fill="auto"/>
            <w:noWrap/>
            <w:vAlign w:val="bottom"/>
            <w:hideMark/>
          </w:tcPr>
          <w:p w14:paraId="6847BF8A"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70/67/0</w:t>
            </w:r>
          </w:p>
        </w:tc>
        <w:tc>
          <w:tcPr>
            <w:tcW w:w="1030" w:type="dxa"/>
            <w:tcBorders>
              <w:top w:val="nil"/>
              <w:left w:val="nil"/>
              <w:bottom w:val="single" w:sz="4" w:space="0" w:color="auto"/>
              <w:right w:val="double" w:sz="6" w:space="0" w:color="auto"/>
            </w:tcBorders>
            <w:shd w:val="clear" w:color="auto" w:fill="auto"/>
            <w:noWrap/>
            <w:vAlign w:val="bottom"/>
            <w:hideMark/>
          </w:tcPr>
          <w:p w14:paraId="238BF3F7"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70/63/0</w:t>
            </w:r>
          </w:p>
        </w:tc>
      </w:tr>
      <w:tr w:rsidR="00CB2594" w:rsidRPr="007434DA" w14:paraId="044B3A15" w14:textId="77777777" w:rsidTr="004A57B3">
        <w:trPr>
          <w:trHeight w:val="300"/>
        </w:trPr>
        <w:tc>
          <w:tcPr>
            <w:tcW w:w="1160" w:type="dxa"/>
            <w:tcBorders>
              <w:top w:val="nil"/>
              <w:left w:val="double" w:sz="6" w:space="0" w:color="auto"/>
              <w:bottom w:val="single" w:sz="4" w:space="0" w:color="auto"/>
              <w:right w:val="single" w:sz="8" w:space="0" w:color="auto"/>
            </w:tcBorders>
            <w:shd w:val="clear" w:color="auto" w:fill="auto"/>
            <w:noWrap/>
            <w:vAlign w:val="bottom"/>
            <w:hideMark/>
          </w:tcPr>
          <w:p w14:paraId="68F28241" w14:textId="77777777" w:rsidR="00CB2594" w:rsidRPr="007434DA" w:rsidRDefault="00CB2594" w:rsidP="004A57B3">
            <w:pPr>
              <w:rPr>
                <w:rFonts w:eastAsia="Times New Roman" w:cs="Times New Roman"/>
                <w:b/>
                <w:bCs/>
                <w:color w:val="000000"/>
                <w:sz w:val="20"/>
                <w:szCs w:val="20"/>
                <w:lang w:val="cs-CZ" w:eastAsia="cs-CZ"/>
              </w:rPr>
            </w:pPr>
            <w:r w:rsidRPr="007434DA">
              <w:rPr>
                <w:rFonts w:eastAsia="Times New Roman" w:cs="Times New Roman"/>
                <w:b/>
                <w:bCs/>
                <w:color w:val="000000"/>
                <w:sz w:val="20"/>
                <w:szCs w:val="20"/>
                <w:lang w:val="cs-CZ" w:eastAsia="cs-CZ"/>
              </w:rPr>
              <w:t>Vejce</w:t>
            </w:r>
          </w:p>
        </w:tc>
        <w:tc>
          <w:tcPr>
            <w:tcW w:w="919" w:type="dxa"/>
            <w:tcBorders>
              <w:top w:val="nil"/>
              <w:left w:val="nil"/>
              <w:bottom w:val="single" w:sz="4" w:space="0" w:color="auto"/>
              <w:right w:val="single" w:sz="4" w:space="0" w:color="auto"/>
            </w:tcBorders>
            <w:shd w:val="clear" w:color="auto" w:fill="auto"/>
            <w:noWrap/>
            <w:vAlign w:val="bottom"/>
            <w:hideMark/>
          </w:tcPr>
          <w:p w14:paraId="3A7BF2CC"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102/15/0</w:t>
            </w:r>
          </w:p>
        </w:tc>
        <w:tc>
          <w:tcPr>
            <w:tcW w:w="1030" w:type="dxa"/>
            <w:tcBorders>
              <w:top w:val="nil"/>
              <w:left w:val="nil"/>
              <w:bottom w:val="single" w:sz="4" w:space="0" w:color="auto"/>
              <w:right w:val="single" w:sz="4" w:space="0" w:color="auto"/>
            </w:tcBorders>
            <w:shd w:val="clear" w:color="auto" w:fill="auto"/>
            <w:noWrap/>
            <w:vAlign w:val="bottom"/>
            <w:hideMark/>
          </w:tcPr>
          <w:p w14:paraId="401E4743"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96/5/0</w:t>
            </w:r>
          </w:p>
        </w:tc>
        <w:tc>
          <w:tcPr>
            <w:tcW w:w="919" w:type="dxa"/>
            <w:tcBorders>
              <w:top w:val="nil"/>
              <w:left w:val="nil"/>
              <w:bottom w:val="single" w:sz="4" w:space="0" w:color="auto"/>
              <w:right w:val="single" w:sz="4" w:space="0" w:color="auto"/>
            </w:tcBorders>
            <w:shd w:val="clear" w:color="auto" w:fill="auto"/>
            <w:noWrap/>
            <w:vAlign w:val="bottom"/>
            <w:hideMark/>
          </w:tcPr>
          <w:p w14:paraId="64A0B64C"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83/5/0</w:t>
            </w:r>
          </w:p>
        </w:tc>
        <w:tc>
          <w:tcPr>
            <w:tcW w:w="1030" w:type="dxa"/>
            <w:tcBorders>
              <w:top w:val="nil"/>
              <w:left w:val="nil"/>
              <w:bottom w:val="single" w:sz="4" w:space="0" w:color="auto"/>
              <w:right w:val="single" w:sz="4" w:space="0" w:color="auto"/>
            </w:tcBorders>
            <w:shd w:val="clear" w:color="auto" w:fill="auto"/>
            <w:noWrap/>
            <w:vAlign w:val="bottom"/>
            <w:hideMark/>
          </w:tcPr>
          <w:p w14:paraId="047E5D1A"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78/15/0</w:t>
            </w:r>
          </w:p>
        </w:tc>
        <w:tc>
          <w:tcPr>
            <w:tcW w:w="919" w:type="dxa"/>
            <w:tcBorders>
              <w:top w:val="nil"/>
              <w:left w:val="nil"/>
              <w:bottom w:val="single" w:sz="4" w:space="0" w:color="auto"/>
              <w:right w:val="single" w:sz="4" w:space="0" w:color="auto"/>
            </w:tcBorders>
            <w:shd w:val="clear" w:color="auto" w:fill="auto"/>
            <w:noWrap/>
            <w:vAlign w:val="bottom"/>
            <w:hideMark/>
          </w:tcPr>
          <w:p w14:paraId="7EC6599A"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71/0/0</w:t>
            </w:r>
          </w:p>
        </w:tc>
        <w:tc>
          <w:tcPr>
            <w:tcW w:w="1030" w:type="dxa"/>
            <w:tcBorders>
              <w:top w:val="nil"/>
              <w:left w:val="nil"/>
              <w:bottom w:val="single" w:sz="4" w:space="0" w:color="auto"/>
              <w:right w:val="single" w:sz="4" w:space="0" w:color="auto"/>
            </w:tcBorders>
            <w:shd w:val="clear" w:color="auto" w:fill="auto"/>
            <w:noWrap/>
            <w:vAlign w:val="bottom"/>
            <w:hideMark/>
          </w:tcPr>
          <w:p w14:paraId="1A685AC4"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72/17/0</w:t>
            </w:r>
          </w:p>
        </w:tc>
        <w:tc>
          <w:tcPr>
            <w:tcW w:w="919" w:type="dxa"/>
            <w:tcBorders>
              <w:top w:val="nil"/>
              <w:left w:val="nil"/>
              <w:bottom w:val="single" w:sz="4" w:space="0" w:color="auto"/>
              <w:right w:val="single" w:sz="4" w:space="0" w:color="auto"/>
            </w:tcBorders>
            <w:shd w:val="clear" w:color="auto" w:fill="auto"/>
            <w:noWrap/>
            <w:vAlign w:val="bottom"/>
            <w:hideMark/>
          </w:tcPr>
          <w:p w14:paraId="306EC162"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84/0/0</w:t>
            </w:r>
          </w:p>
        </w:tc>
        <w:tc>
          <w:tcPr>
            <w:tcW w:w="1030" w:type="dxa"/>
            <w:tcBorders>
              <w:top w:val="nil"/>
              <w:left w:val="nil"/>
              <w:bottom w:val="single" w:sz="4" w:space="0" w:color="auto"/>
              <w:right w:val="single" w:sz="4" w:space="0" w:color="auto"/>
            </w:tcBorders>
            <w:shd w:val="clear" w:color="auto" w:fill="auto"/>
            <w:noWrap/>
            <w:vAlign w:val="bottom"/>
            <w:hideMark/>
          </w:tcPr>
          <w:p w14:paraId="23FD9E93"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84/54/0</w:t>
            </w:r>
          </w:p>
        </w:tc>
        <w:tc>
          <w:tcPr>
            <w:tcW w:w="1030" w:type="dxa"/>
            <w:tcBorders>
              <w:top w:val="nil"/>
              <w:left w:val="nil"/>
              <w:bottom w:val="single" w:sz="4" w:space="0" w:color="auto"/>
              <w:right w:val="double" w:sz="6" w:space="0" w:color="auto"/>
            </w:tcBorders>
            <w:shd w:val="clear" w:color="auto" w:fill="auto"/>
            <w:noWrap/>
            <w:vAlign w:val="bottom"/>
            <w:hideMark/>
          </w:tcPr>
          <w:p w14:paraId="53B93C4D"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66/54/0</w:t>
            </w:r>
          </w:p>
        </w:tc>
      </w:tr>
      <w:tr w:rsidR="00CB2594" w:rsidRPr="007434DA" w14:paraId="1C2A9DCE" w14:textId="77777777" w:rsidTr="004A57B3">
        <w:trPr>
          <w:trHeight w:val="300"/>
        </w:trPr>
        <w:tc>
          <w:tcPr>
            <w:tcW w:w="1160" w:type="dxa"/>
            <w:tcBorders>
              <w:top w:val="nil"/>
              <w:left w:val="double" w:sz="6" w:space="0" w:color="auto"/>
              <w:bottom w:val="single" w:sz="4" w:space="0" w:color="auto"/>
              <w:right w:val="single" w:sz="8" w:space="0" w:color="auto"/>
            </w:tcBorders>
            <w:shd w:val="clear" w:color="auto" w:fill="auto"/>
            <w:noWrap/>
            <w:vAlign w:val="bottom"/>
            <w:hideMark/>
          </w:tcPr>
          <w:p w14:paraId="54FFDE84" w14:textId="77777777" w:rsidR="00CB2594" w:rsidRPr="007434DA" w:rsidRDefault="00CB2594" w:rsidP="004A57B3">
            <w:pPr>
              <w:rPr>
                <w:rFonts w:eastAsia="Times New Roman" w:cs="Times New Roman"/>
                <w:b/>
                <w:bCs/>
                <w:color w:val="000000"/>
                <w:sz w:val="20"/>
                <w:szCs w:val="20"/>
                <w:lang w:val="cs-CZ" w:eastAsia="cs-CZ"/>
              </w:rPr>
            </w:pPr>
            <w:r w:rsidRPr="007434DA">
              <w:rPr>
                <w:rFonts w:eastAsia="Times New Roman" w:cs="Times New Roman"/>
                <w:b/>
                <w:bCs/>
                <w:color w:val="000000"/>
                <w:sz w:val="20"/>
                <w:szCs w:val="20"/>
                <w:lang w:val="cs-CZ" w:eastAsia="cs-CZ"/>
              </w:rPr>
              <w:t>Med</w:t>
            </w:r>
          </w:p>
        </w:tc>
        <w:tc>
          <w:tcPr>
            <w:tcW w:w="919" w:type="dxa"/>
            <w:tcBorders>
              <w:top w:val="nil"/>
              <w:left w:val="nil"/>
              <w:bottom w:val="single" w:sz="4" w:space="0" w:color="auto"/>
              <w:right w:val="single" w:sz="4" w:space="0" w:color="auto"/>
            </w:tcBorders>
            <w:shd w:val="clear" w:color="auto" w:fill="auto"/>
            <w:noWrap/>
            <w:vAlign w:val="bottom"/>
            <w:hideMark/>
          </w:tcPr>
          <w:p w14:paraId="77085234"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65/0</w:t>
            </w:r>
          </w:p>
        </w:tc>
        <w:tc>
          <w:tcPr>
            <w:tcW w:w="1030" w:type="dxa"/>
            <w:tcBorders>
              <w:top w:val="nil"/>
              <w:left w:val="nil"/>
              <w:bottom w:val="single" w:sz="4" w:space="0" w:color="auto"/>
              <w:right w:val="single" w:sz="4" w:space="0" w:color="auto"/>
            </w:tcBorders>
            <w:shd w:val="clear" w:color="auto" w:fill="auto"/>
            <w:noWrap/>
            <w:vAlign w:val="bottom"/>
            <w:hideMark/>
          </w:tcPr>
          <w:p w14:paraId="15469672"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65/0</w:t>
            </w:r>
          </w:p>
        </w:tc>
        <w:tc>
          <w:tcPr>
            <w:tcW w:w="919" w:type="dxa"/>
            <w:tcBorders>
              <w:top w:val="nil"/>
              <w:left w:val="nil"/>
              <w:bottom w:val="single" w:sz="4" w:space="0" w:color="auto"/>
              <w:right w:val="single" w:sz="4" w:space="0" w:color="auto"/>
            </w:tcBorders>
            <w:shd w:val="clear" w:color="auto" w:fill="auto"/>
            <w:noWrap/>
            <w:vAlign w:val="bottom"/>
            <w:hideMark/>
          </w:tcPr>
          <w:p w14:paraId="50064923"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69/0</w:t>
            </w:r>
          </w:p>
        </w:tc>
        <w:tc>
          <w:tcPr>
            <w:tcW w:w="1030" w:type="dxa"/>
            <w:tcBorders>
              <w:top w:val="nil"/>
              <w:left w:val="nil"/>
              <w:bottom w:val="single" w:sz="4" w:space="0" w:color="auto"/>
              <w:right w:val="single" w:sz="4" w:space="0" w:color="auto"/>
            </w:tcBorders>
            <w:shd w:val="clear" w:color="auto" w:fill="auto"/>
            <w:noWrap/>
            <w:vAlign w:val="bottom"/>
            <w:hideMark/>
          </w:tcPr>
          <w:p w14:paraId="1C30A69F"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77/0</w:t>
            </w:r>
          </w:p>
        </w:tc>
        <w:tc>
          <w:tcPr>
            <w:tcW w:w="919" w:type="dxa"/>
            <w:tcBorders>
              <w:top w:val="nil"/>
              <w:left w:val="nil"/>
              <w:bottom w:val="single" w:sz="4" w:space="0" w:color="auto"/>
              <w:right w:val="single" w:sz="4" w:space="0" w:color="auto"/>
            </w:tcBorders>
            <w:shd w:val="clear" w:color="auto" w:fill="auto"/>
            <w:noWrap/>
            <w:vAlign w:val="bottom"/>
            <w:hideMark/>
          </w:tcPr>
          <w:p w14:paraId="1174F29D"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77/0</w:t>
            </w:r>
          </w:p>
        </w:tc>
        <w:tc>
          <w:tcPr>
            <w:tcW w:w="1030" w:type="dxa"/>
            <w:tcBorders>
              <w:top w:val="nil"/>
              <w:left w:val="nil"/>
              <w:bottom w:val="single" w:sz="4" w:space="0" w:color="auto"/>
              <w:right w:val="single" w:sz="4" w:space="0" w:color="auto"/>
            </w:tcBorders>
            <w:shd w:val="clear" w:color="auto" w:fill="auto"/>
            <w:noWrap/>
            <w:vAlign w:val="bottom"/>
            <w:hideMark/>
          </w:tcPr>
          <w:p w14:paraId="4E8C2423"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77/2/0</w:t>
            </w:r>
          </w:p>
        </w:tc>
        <w:tc>
          <w:tcPr>
            <w:tcW w:w="919" w:type="dxa"/>
            <w:tcBorders>
              <w:top w:val="nil"/>
              <w:left w:val="nil"/>
              <w:bottom w:val="single" w:sz="4" w:space="0" w:color="auto"/>
              <w:right w:val="single" w:sz="4" w:space="0" w:color="auto"/>
            </w:tcBorders>
            <w:shd w:val="clear" w:color="auto" w:fill="auto"/>
            <w:noWrap/>
            <w:vAlign w:val="bottom"/>
            <w:hideMark/>
          </w:tcPr>
          <w:p w14:paraId="715327E8"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75/0/0</w:t>
            </w:r>
          </w:p>
        </w:tc>
        <w:tc>
          <w:tcPr>
            <w:tcW w:w="1030" w:type="dxa"/>
            <w:tcBorders>
              <w:top w:val="nil"/>
              <w:left w:val="nil"/>
              <w:bottom w:val="single" w:sz="4" w:space="0" w:color="auto"/>
              <w:right w:val="single" w:sz="4" w:space="0" w:color="auto"/>
            </w:tcBorders>
            <w:shd w:val="clear" w:color="auto" w:fill="auto"/>
            <w:noWrap/>
            <w:vAlign w:val="bottom"/>
            <w:hideMark/>
          </w:tcPr>
          <w:p w14:paraId="1E2EDD47"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75/0/0</w:t>
            </w:r>
          </w:p>
        </w:tc>
        <w:tc>
          <w:tcPr>
            <w:tcW w:w="1030" w:type="dxa"/>
            <w:tcBorders>
              <w:top w:val="nil"/>
              <w:left w:val="nil"/>
              <w:bottom w:val="single" w:sz="4" w:space="0" w:color="auto"/>
              <w:right w:val="double" w:sz="6" w:space="0" w:color="auto"/>
            </w:tcBorders>
            <w:shd w:val="clear" w:color="auto" w:fill="auto"/>
            <w:noWrap/>
            <w:vAlign w:val="bottom"/>
            <w:hideMark/>
          </w:tcPr>
          <w:p w14:paraId="06EBB926"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75/2/0</w:t>
            </w:r>
          </w:p>
        </w:tc>
      </w:tr>
      <w:tr w:rsidR="00CB2594" w:rsidRPr="007434DA" w14:paraId="1432858B" w14:textId="77777777" w:rsidTr="004A57B3">
        <w:trPr>
          <w:trHeight w:val="330"/>
        </w:trPr>
        <w:tc>
          <w:tcPr>
            <w:tcW w:w="1160" w:type="dxa"/>
            <w:tcBorders>
              <w:top w:val="nil"/>
              <w:left w:val="double" w:sz="6" w:space="0" w:color="auto"/>
              <w:bottom w:val="double" w:sz="6" w:space="0" w:color="auto"/>
              <w:right w:val="single" w:sz="8" w:space="0" w:color="auto"/>
            </w:tcBorders>
            <w:shd w:val="clear" w:color="auto" w:fill="auto"/>
            <w:noWrap/>
            <w:vAlign w:val="bottom"/>
            <w:hideMark/>
          </w:tcPr>
          <w:p w14:paraId="29F4A7C0" w14:textId="77777777" w:rsidR="00CB2594" w:rsidRPr="007434DA" w:rsidRDefault="00CB2594" w:rsidP="004A57B3">
            <w:pPr>
              <w:rPr>
                <w:rFonts w:eastAsia="Times New Roman" w:cs="Times New Roman"/>
                <w:b/>
                <w:bCs/>
                <w:color w:val="000000"/>
                <w:sz w:val="20"/>
                <w:szCs w:val="20"/>
                <w:lang w:val="cs-CZ" w:eastAsia="cs-CZ"/>
              </w:rPr>
            </w:pPr>
            <w:r w:rsidRPr="007434DA">
              <w:rPr>
                <w:rFonts w:eastAsia="Times New Roman" w:cs="Times New Roman"/>
                <w:b/>
                <w:bCs/>
                <w:color w:val="000000"/>
                <w:sz w:val="20"/>
                <w:szCs w:val="20"/>
                <w:lang w:val="cs-CZ" w:eastAsia="cs-CZ"/>
              </w:rPr>
              <w:t>Ostatní</w:t>
            </w:r>
          </w:p>
        </w:tc>
        <w:tc>
          <w:tcPr>
            <w:tcW w:w="919" w:type="dxa"/>
            <w:tcBorders>
              <w:top w:val="nil"/>
              <w:left w:val="nil"/>
              <w:bottom w:val="double" w:sz="6" w:space="0" w:color="auto"/>
              <w:right w:val="single" w:sz="4" w:space="0" w:color="auto"/>
            </w:tcBorders>
            <w:shd w:val="clear" w:color="auto" w:fill="auto"/>
            <w:noWrap/>
            <w:vAlign w:val="bottom"/>
            <w:hideMark/>
          </w:tcPr>
          <w:p w14:paraId="29D44845" w14:textId="77777777" w:rsidR="00CB2594" w:rsidRPr="007434DA" w:rsidRDefault="00CB2594" w:rsidP="00972770">
            <w:pPr>
              <w:jc w:val="center"/>
              <w:rPr>
                <w:rFonts w:eastAsia="Times New Roman" w:cs="Times New Roman"/>
                <w:b/>
                <w:bCs/>
                <w:color w:val="000000"/>
                <w:sz w:val="20"/>
                <w:szCs w:val="20"/>
                <w:lang w:val="cs-CZ" w:eastAsia="cs-CZ"/>
              </w:rPr>
            </w:pPr>
            <w:r w:rsidRPr="007434DA">
              <w:rPr>
                <w:rFonts w:eastAsia="Times New Roman" w:cs="Times New Roman"/>
                <w:b/>
                <w:bCs/>
                <w:color w:val="000000"/>
                <w:sz w:val="20"/>
                <w:szCs w:val="20"/>
                <w:lang w:val="cs-CZ" w:eastAsia="cs-CZ"/>
              </w:rPr>
              <w:t>.</w:t>
            </w:r>
          </w:p>
        </w:tc>
        <w:tc>
          <w:tcPr>
            <w:tcW w:w="1030" w:type="dxa"/>
            <w:tcBorders>
              <w:top w:val="nil"/>
              <w:left w:val="nil"/>
              <w:bottom w:val="double" w:sz="6" w:space="0" w:color="auto"/>
              <w:right w:val="single" w:sz="4" w:space="0" w:color="auto"/>
            </w:tcBorders>
            <w:shd w:val="clear" w:color="auto" w:fill="auto"/>
            <w:noWrap/>
            <w:vAlign w:val="bottom"/>
            <w:hideMark/>
          </w:tcPr>
          <w:p w14:paraId="4FE53889" w14:textId="77777777" w:rsidR="00CB2594" w:rsidRPr="007434DA" w:rsidRDefault="00CB2594" w:rsidP="00972770">
            <w:pPr>
              <w:jc w:val="center"/>
              <w:rPr>
                <w:rFonts w:eastAsia="Times New Roman" w:cs="Times New Roman"/>
                <w:b/>
                <w:bCs/>
                <w:color w:val="000000"/>
                <w:sz w:val="20"/>
                <w:szCs w:val="20"/>
                <w:lang w:val="cs-CZ" w:eastAsia="cs-CZ"/>
              </w:rPr>
            </w:pPr>
            <w:r w:rsidRPr="007434DA">
              <w:rPr>
                <w:rFonts w:eastAsia="Times New Roman" w:cs="Times New Roman"/>
                <w:b/>
                <w:bCs/>
                <w:color w:val="000000"/>
                <w:sz w:val="20"/>
                <w:szCs w:val="20"/>
                <w:lang w:val="cs-CZ" w:eastAsia="cs-CZ"/>
              </w:rPr>
              <w:t>.</w:t>
            </w:r>
          </w:p>
        </w:tc>
        <w:tc>
          <w:tcPr>
            <w:tcW w:w="919" w:type="dxa"/>
            <w:tcBorders>
              <w:top w:val="nil"/>
              <w:left w:val="nil"/>
              <w:bottom w:val="double" w:sz="6" w:space="0" w:color="auto"/>
              <w:right w:val="single" w:sz="4" w:space="0" w:color="auto"/>
            </w:tcBorders>
            <w:shd w:val="clear" w:color="auto" w:fill="auto"/>
            <w:noWrap/>
            <w:vAlign w:val="bottom"/>
            <w:hideMark/>
          </w:tcPr>
          <w:p w14:paraId="27B6C5D3" w14:textId="77777777" w:rsidR="00CB2594" w:rsidRPr="007434DA" w:rsidRDefault="00CB2594" w:rsidP="00972770">
            <w:pPr>
              <w:jc w:val="center"/>
              <w:rPr>
                <w:rFonts w:eastAsia="Times New Roman" w:cs="Times New Roman"/>
                <w:b/>
                <w:bCs/>
                <w:color w:val="000000"/>
                <w:sz w:val="20"/>
                <w:szCs w:val="20"/>
                <w:lang w:val="cs-CZ" w:eastAsia="cs-CZ"/>
              </w:rPr>
            </w:pPr>
            <w:r w:rsidRPr="007434DA">
              <w:rPr>
                <w:rFonts w:eastAsia="Times New Roman" w:cs="Times New Roman"/>
                <w:b/>
                <w:bCs/>
                <w:color w:val="000000"/>
                <w:sz w:val="20"/>
                <w:szCs w:val="20"/>
                <w:lang w:val="cs-CZ" w:eastAsia="cs-CZ"/>
              </w:rPr>
              <w:t>.</w:t>
            </w:r>
          </w:p>
        </w:tc>
        <w:tc>
          <w:tcPr>
            <w:tcW w:w="1030" w:type="dxa"/>
            <w:tcBorders>
              <w:top w:val="nil"/>
              <w:left w:val="nil"/>
              <w:bottom w:val="double" w:sz="6" w:space="0" w:color="auto"/>
              <w:right w:val="single" w:sz="4" w:space="0" w:color="auto"/>
            </w:tcBorders>
            <w:shd w:val="clear" w:color="auto" w:fill="auto"/>
            <w:noWrap/>
            <w:vAlign w:val="bottom"/>
            <w:hideMark/>
          </w:tcPr>
          <w:p w14:paraId="29CFF244" w14:textId="77777777" w:rsidR="00CB2594" w:rsidRPr="007434DA" w:rsidRDefault="00CB2594" w:rsidP="00972770">
            <w:pPr>
              <w:jc w:val="center"/>
              <w:rPr>
                <w:rFonts w:eastAsia="Times New Roman" w:cs="Times New Roman"/>
                <w:b/>
                <w:bCs/>
                <w:color w:val="000000"/>
                <w:sz w:val="20"/>
                <w:szCs w:val="20"/>
                <w:lang w:val="cs-CZ" w:eastAsia="cs-CZ"/>
              </w:rPr>
            </w:pPr>
            <w:r w:rsidRPr="007434DA">
              <w:rPr>
                <w:rFonts w:eastAsia="Times New Roman" w:cs="Times New Roman"/>
                <w:b/>
                <w:bCs/>
                <w:color w:val="000000"/>
                <w:sz w:val="20"/>
                <w:szCs w:val="20"/>
                <w:lang w:val="cs-CZ" w:eastAsia="cs-CZ"/>
              </w:rPr>
              <w:t>.</w:t>
            </w:r>
          </w:p>
        </w:tc>
        <w:tc>
          <w:tcPr>
            <w:tcW w:w="919" w:type="dxa"/>
            <w:tcBorders>
              <w:top w:val="nil"/>
              <w:left w:val="nil"/>
              <w:bottom w:val="double" w:sz="6" w:space="0" w:color="auto"/>
              <w:right w:val="single" w:sz="4" w:space="0" w:color="auto"/>
            </w:tcBorders>
            <w:shd w:val="clear" w:color="auto" w:fill="auto"/>
            <w:noWrap/>
            <w:vAlign w:val="bottom"/>
            <w:hideMark/>
          </w:tcPr>
          <w:p w14:paraId="298DE08A" w14:textId="77777777" w:rsidR="00CB2594" w:rsidRPr="007434DA" w:rsidRDefault="00CB2594" w:rsidP="00972770">
            <w:pPr>
              <w:jc w:val="center"/>
              <w:rPr>
                <w:rFonts w:eastAsia="Times New Roman" w:cs="Times New Roman"/>
                <w:b/>
                <w:bCs/>
                <w:color w:val="000000"/>
                <w:sz w:val="20"/>
                <w:szCs w:val="20"/>
                <w:lang w:val="cs-CZ" w:eastAsia="cs-CZ"/>
              </w:rPr>
            </w:pPr>
            <w:r w:rsidRPr="007434DA">
              <w:rPr>
                <w:rFonts w:eastAsia="Times New Roman" w:cs="Times New Roman"/>
                <w:b/>
                <w:bCs/>
                <w:color w:val="000000"/>
                <w:sz w:val="20"/>
                <w:szCs w:val="20"/>
                <w:lang w:val="cs-CZ" w:eastAsia="cs-CZ"/>
              </w:rPr>
              <w:t>.</w:t>
            </w:r>
          </w:p>
        </w:tc>
        <w:tc>
          <w:tcPr>
            <w:tcW w:w="1030" w:type="dxa"/>
            <w:tcBorders>
              <w:top w:val="nil"/>
              <w:left w:val="nil"/>
              <w:bottom w:val="double" w:sz="6" w:space="0" w:color="auto"/>
              <w:right w:val="single" w:sz="4" w:space="0" w:color="auto"/>
            </w:tcBorders>
            <w:shd w:val="clear" w:color="auto" w:fill="auto"/>
            <w:noWrap/>
            <w:vAlign w:val="bottom"/>
            <w:hideMark/>
          </w:tcPr>
          <w:p w14:paraId="42EBCCB3"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134/32/0</w:t>
            </w:r>
          </w:p>
        </w:tc>
        <w:tc>
          <w:tcPr>
            <w:tcW w:w="919" w:type="dxa"/>
            <w:tcBorders>
              <w:top w:val="nil"/>
              <w:left w:val="nil"/>
              <w:bottom w:val="double" w:sz="6" w:space="0" w:color="auto"/>
              <w:right w:val="single" w:sz="4" w:space="0" w:color="auto"/>
            </w:tcBorders>
            <w:shd w:val="clear" w:color="auto" w:fill="auto"/>
            <w:noWrap/>
            <w:vAlign w:val="bottom"/>
            <w:hideMark/>
          </w:tcPr>
          <w:p w14:paraId="6B18BC34"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236/41/0</w:t>
            </w:r>
          </w:p>
        </w:tc>
        <w:tc>
          <w:tcPr>
            <w:tcW w:w="1030" w:type="dxa"/>
            <w:tcBorders>
              <w:top w:val="nil"/>
              <w:left w:val="nil"/>
              <w:bottom w:val="double" w:sz="6" w:space="0" w:color="auto"/>
              <w:right w:val="single" w:sz="4" w:space="0" w:color="auto"/>
            </w:tcBorders>
            <w:shd w:val="clear" w:color="auto" w:fill="auto"/>
            <w:noWrap/>
            <w:vAlign w:val="bottom"/>
            <w:hideMark/>
          </w:tcPr>
          <w:p w14:paraId="2EF8F42D"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233/209/0</w:t>
            </w:r>
          </w:p>
        </w:tc>
        <w:tc>
          <w:tcPr>
            <w:tcW w:w="1030" w:type="dxa"/>
            <w:tcBorders>
              <w:top w:val="nil"/>
              <w:left w:val="nil"/>
              <w:bottom w:val="double" w:sz="6" w:space="0" w:color="auto"/>
              <w:right w:val="double" w:sz="6" w:space="0" w:color="auto"/>
            </w:tcBorders>
            <w:shd w:val="clear" w:color="auto" w:fill="auto"/>
            <w:noWrap/>
            <w:vAlign w:val="bottom"/>
            <w:hideMark/>
          </w:tcPr>
          <w:p w14:paraId="1FBC41BC" w14:textId="77777777" w:rsidR="00CB2594" w:rsidRPr="007434DA" w:rsidRDefault="00CB2594" w:rsidP="00972770">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200/200/0</w:t>
            </w:r>
          </w:p>
        </w:tc>
      </w:tr>
    </w:tbl>
    <w:p w14:paraId="01080444" w14:textId="6E2B69AC" w:rsidR="00CB2594" w:rsidRPr="007434DA" w:rsidRDefault="00CB2594" w:rsidP="00972770">
      <w:pPr>
        <w:pStyle w:val="UZEIZdroj"/>
        <w:rPr>
          <w:b/>
          <w:szCs w:val="20"/>
          <w:lang w:eastAsia="cs-CZ"/>
        </w:rPr>
      </w:pPr>
      <w:r w:rsidRPr="007434DA">
        <w:rPr>
          <w:lang w:eastAsia="cs-CZ"/>
        </w:rPr>
        <w:t>Pramen: Výsledky pravidelného sledování reziduí a kontaminantů prováděného v souladu se směrnicí Rady 96/23/ES (Státní veterinární správa)</w:t>
      </w:r>
    </w:p>
    <w:p w14:paraId="2B984825" w14:textId="77777777" w:rsidR="00CB2594" w:rsidRPr="002622E7" w:rsidRDefault="00CB2594" w:rsidP="002622E7">
      <w:pPr>
        <w:pStyle w:val="UZEINormaln"/>
        <w:rPr>
          <w:b/>
          <w:bCs/>
        </w:rPr>
      </w:pPr>
      <w:bookmarkStart w:id="122" w:name="_Toc80877858"/>
      <w:r w:rsidRPr="002622E7">
        <w:rPr>
          <w:b/>
          <w:bCs/>
        </w:rPr>
        <w:t>Pesticidy ve vodě</w:t>
      </w:r>
      <w:bookmarkEnd w:id="122"/>
    </w:p>
    <w:p w14:paraId="0C148A10" w14:textId="77777777" w:rsidR="00CB2594" w:rsidRPr="007434DA" w:rsidRDefault="00CB2594" w:rsidP="00972770">
      <w:pPr>
        <w:pStyle w:val="UZEINormaln"/>
      </w:pPr>
      <w:r w:rsidRPr="007434DA">
        <w:t xml:space="preserve">Vysokou frekvenci výskytu reziduí pesticidů v podzemní vodě i v pitné vodě (příloha A1 tab. A3) lze považovat za velmi závažný problém, který vyžaduje komplexní řešení, ačkoli se výskyt reziduí pesticidů ve zdrojích podzemní vody překračující legislativně stanovený limit v posledních 5 letech nemění (Příloha A1 tab. A2). </w:t>
      </w:r>
    </w:p>
    <w:p w14:paraId="0B0145E5" w14:textId="77777777" w:rsidR="00CB2594" w:rsidRPr="007434DA" w:rsidRDefault="00CB2594" w:rsidP="00972770">
      <w:pPr>
        <w:pStyle w:val="UZEINormaln"/>
      </w:pPr>
      <w:r w:rsidRPr="007434DA">
        <w:t>Závažnost problému je dokladována monitoringem reziduí pesticidů uvedených v Příloze A1 a dále řadou výzkumně a technicky doložitelných faktů. Například velkoplošná kontaminace povrchových vod cizorodými látkami včetně vodárenských nádrží (Švihov, Vrchlice), velkoplošná kontaminace podzemních vod včetně vodárensky využívaných zdrojů. Nasycení půdního prostředí metabolity a jejich postupné uvolňování do vod i několik let po ukončení používání dané pesticidní látky, tudíž velmi opožděná reakce vodního prostředí na případná opatření. Pro odstranění těchto látek z vody jsou nutné masivní investice do úpravárenských technologií, včetně finančně náročného provozu těchto technologií. Závažnost problému je umocněna riziky, jako jsou dosud neznámé zdravotní dopady dlouhodobé konzumace směsí různých cizorodých látek v pitné vodě.</w:t>
      </w:r>
    </w:p>
    <w:p w14:paraId="04B34382" w14:textId="306AA0FD" w:rsidR="00CB2594" w:rsidRPr="007434DA" w:rsidRDefault="00CB2594" w:rsidP="001004A0">
      <w:pPr>
        <w:pStyle w:val="UZEINormaln"/>
      </w:pPr>
      <w:r w:rsidRPr="007434DA">
        <w:t>Rovněž je závažnost problému umocněna riziky budoucí zátěže, která bude výsledkem používání přípravků v současnosti, obdobně jak došlo k zátěži triaziny, které kontaminují pitnou vodu v současnosti řadu let po zákazu jejich používání. Neřešení problému nebo nedostatečné a opožděné řešení problému by způsobilo narůstající potřebu zvyšování nákladů poskytovatelů pitné vody na technologie odstraňující tento typ zátěže, který by se v konečném důsledku promítl do významného navýšení ceny pitné vody až u třetiny spotřebitelů.</w:t>
      </w:r>
    </w:p>
    <w:p w14:paraId="6C3188C6" w14:textId="77777777" w:rsidR="00CB2594" w:rsidRPr="002622E7" w:rsidRDefault="00CB2594" w:rsidP="002622E7">
      <w:pPr>
        <w:pStyle w:val="UZEINormaln"/>
        <w:rPr>
          <w:b/>
          <w:bCs/>
        </w:rPr>
      </w:pPr>
      <w:r w:rsidRPr="002622E7">
        <w:rPr>
          <w:b/>
          <w:bCs/>
        </w:rPr>
        <w:t>Výskyt pesticidů v podzemích vodách</w:t>
      </w:r>
    </w:p>
    <w:p w14:paraId="4358F6C3" w14:textId="77777777" w:rsidR="00CB2594" w:rsidRPr="007434DA" w:rsidRDefault="00CB2594" w:rsidP="001004A0">
      <w:pPr>
        <w:pStyle w:val="UZEINormaln"/>
      </w:pPr>
      <w:r w:rsidRPr="007434DA">
        <w:t>Z monitoringu výskytu reziduí pesticidů a jejich metabolitů ve vodě (Příloha A1) je zřejmé, že frekvence s nadlimitními výskyty nejvýznamnějších 3 účinných látek</w:t>
      </w:r>
      <w:r w:rsidRPr="007434DA">
        <w:rPr>
          <w:rStyle w:val="Znakapoznpodarou"/>
          <w:rFonts w:ascii="Arial" w:hAnsi="Arial" w:cs="Arial"/>
          <w:color w:val="000000"/>
          <w:sz w:val="20"/>
          <w:szCs w:val="20"/>
        </w:rPr>
        <w:footnoteReference w:id="20"/>
      </w:r>
      <w:r w:rsidRPr="007434DA">
        <w:t xml:space="preserve"> vykazuje okolo 30 % zdrojů podzemních vod. Za posledních 5 let se frekvence výskytů nejvýznamnějších 4 účinných látek a jejich metabolitů a plochy území s kontaminovanou pitnou nebo podzemní vodou nemění. </w:t>
      </w:r>
      <w:bookmarkStart w:id="123" w:name="_Hlk12550302"/>
      <w:r w:rsidRPr="007434DA">
        <w:t>To znamená, že po dobu více než 5 let dochází k možné kumulaci výskytu těchto látek v prostředí, které lze označit při kumulativním výskytu za rizika pro vytváření budoucích starých zátěží v případech, že konkrétní účinná látka bude zakázána. Pokud však nebudou zavedena účinná opatření, pak lze očekávat pokračování toho trendu do budoucna. V případě přijetí opatření lze očekávat postupné zlepšení situace, s předpokládaným trendem snižování kontaminace pitné vody v horizontu do 5 let po zavedení opatření</w:t>
      </w:r>
      <w:bookmarkEnd w:id="123"/>
      <w:r w:rsidRPr="007434DA">
        <w:t xml:space="preserve">.  </w:t>
      </w:r>
    </w:p>
    <w:p w14:paraId="46FF60CB" w14:textId="77777777" w:rsidR="00CB2594" w:rsidRPr="007434DA" w:rsidRDefault="00CB2594" w:rsidP="001004A0">
      <w:pPr>
        <w:pStyle w:val="UZEINormaln"/>
      </w:pPr>
      <w:r w:rsidRPr="007434DA">
        <w:t>Problematický výskyt účinných látek přípravků na ochranu rostlin a jejich metabolitů ve vodě je podmíněn celou řadou příčin. Významnou příčinou jsou nevhodné způsoby hospodaření (např. nevhodné osevní postupy, struktura pěstovaných plodin, používané technologie pěstování, omezené spektrum účinných látek přípravků pro některé plodiny a nevhodné chemické a fyzikální vlastnosti a formulace těchto přípravků) a jejich vliv na kvalitu půdy. Pro kontaminaci vod pesticidy jsou nevhodné pre-emergentní aplikace (na holou půdu), které se v současné praxi preferují před postemergetními aplikacemi. Významnou příčinou jsou nevhodné způsoby hospodaření a jeho vliv na kvalitu půdy. Půda s vysokým obsahem organické hmoty přírodního původu spojeným s dobře vyvinutou strukturou půdy pozitivně ovlivňující retenční a adsorpční vlastnosti půdy. Půda by měla fungovat jako přirozená bariéra bránící vstupu pesticidů do vodního prostředí. Pro komplexní řešení problému by měla nastat změna trendu vývoje těchto příčin nebo odstranění těch nejvýznamnějších příčin ve zranitelných oblastech pro kvalitu vody.</w:t>
      </w:r>
    </w:p>
    <w:p w14:paraId="4E31304D" w14:textId="1091CAC4" w:rsidR="00CB2594" w:rsidRPr="007434DA" w:rsidRDefault="00CB2594" w:rsidP="001004A0">
      <w:pPr>
        <w:pStyle w:val="UZEINormaln"/>
      </w:pPr>
      <w:r w:rsidRPr="007434DA">
        <w:t>V důsledku nadlimitních koncentrací pesticidů a jejich metabolitů v pitných vodách byla v předchozích letech na řadě míst ze strany orgánů ochrany zdraví udělena výjimka pro provozovatele vodovodů, tyto výjimky se v letech 2016 až 2017 týkaly více jak 250 tis. obyvatel (v roce 2017 se PL dokonce dostaly na první místo jako příčina „výjimek“ z kvality pitné vody když v předchozím desetiletí patřilo toto „prvenství“ dusičnanům), Pro porovnání se výjimky z titulu nadlimitních koncentrací dusičnanů dotýkaly</w:t>
      </w:r>
      <w:r w:rsidRPr="007434DA">
        <w:rPr>
          <w:color w:val="C45911" w:themeColor="accent2" w:themeShade="BF"/>
        </w:rPr>
        <w:t xml:space="preserve"> </w:t>
      </w:r>
      <w:r w:rsidRPr="007434DA">
        <w:t xml:space="preserve">“pouze“ 11 tis. obyvatel, </w:t>
      </w:r>
      <w:r w:rsidR="00093D52">
        <w:br/>
      </w:r>
      <w:r w:rsidRPr="007434DA">
        <w:t xml:space="preserve">tj. 25 x méně než v případě pesticidů. V oblasti přírodních vod byly v povrchových vodách pesticidy a jejich metabolity nalezeny v období 2016-2017 v 95 % z 614 sledovaných lokalit a obdobně v 60 % ze 710 lokalit byla v období 2015-2017 nalezena rezidua pesticidů v podzemních vodách, ve 40 % lokalit byla překročena limitní hodnota pro podzemní vody. </w:t>
      </w:r>
    </w:p>
    <w:p w14:paraId="5016CAAB" w14:textId="77777777" w:rsidR="00CB2594" w:rsidRPr="007434DA" w:rsidRDefault="00CB2594" w:rsidP="001004A0">
      <w:pPr>
        <w:pStyle w:val="UZEINormaln"/>
      </w:pPr>
      <w:r w:rsidRPr="007434DA">
        <w:t xml:space="preserve">Vzrůstající počet nálezů PL nad mez stanovitelnosti i limitní hodnoty (0,1 µg/l u mateřských látek a relevantních metabolitů, resp. limitní hodnotu určenou orgánem ochrany veřejného zdraví u nerelevantních metabolitů) se přirozeně odráží také na rostoucím počtu „výjimek“. Výjimku obdrželo kvůli PL celkem 64 vodovodů – zásobovaných oblastí) a jejich rostoucí trend je předpokladem že tomu tak bude i v příštích letech. </w:t>
      </w:r>
      <w:r w:rsidRPr="007434DA">
        <w:rPr>
          <w:vertAlign w:val="superscript"/>
        </w:rPr>
        <w:footnoteReference w:id="21"/>
      </w:r>
    </w:p>
    <w:p w14:paraId="57FD9E9C" w14:textId="78F419E1" w:rsidR="00CB2594" w:rsidRPr="007434DA" w:rsidRDefault="00CB2594" w:rsidP="001004A0">
      <w:pPr>
        <w:pStyle w:val="UZEINormaln"/>
      </w:pPr>
      <w:r w:rsidRPr="007434DA">
        <w:t>Pesticidní látky a jejich metabolity se při aplikaci POR prosakují do podzemních vod. Závažné jsou z hlediska kontaminace vody především PL, které jsou obsaženy přípravcích na ochranu rostlin u třech zemědělských plodin (kukuřice, řepka a cukrová řepa). V tabulkách 9 a 10 v příloze A v tab. A1 jsou uvedeny data za sumy účinných látek a jejich metabolitů (sumy jsou prostý součet naměřených koncentrací ve vzorku, Pro výpočet sumárních koncentrací byl aplikován §11 odst. 3 vyhlášky č. 98/2011 Sb.</w:t>
      </w:r>
      <w:r w:rsidR="00093D52">
        <w:t>,</w:t>
      </w:r>
      <w:r w:rsidRPr="007434DA">
        <w:t xml:space="preserve"> tj. do výpočtu vstupovaly hodnoty pod mezí stanovitelnosti jako hodnota nula). K výsledné sumě koncentrací nejvíce přispívají metabolity, zatímco koncentrace samotných účinných látek v podzemních vodách jsou obvykle nízké.</w:t>
      </w:r>
    </w:p>
    <w:p w14:paraId="37BAB0FF" w14:textId="252DC594" w:rsidR="00CB2594" w:rsidRPr="007434DA" w:rsidRDefault="00CB2594" w:rsidP="002622E7">
      <w:pPr>
        <w:pStyle w:val="UZEITaB"/>
        <w:ind w:left="993" w:hanging="993"/>
        <w:rPr>
          <w:bCs/>
        </w:rPr>
      </w:pPr>
      <w:bookmarkStart w:id="124" w:name="_Toc94095281"/>
      <w:r w:rsidRPr="007434DA">
        <w:rPr>
          <w:bCs/>
        </w:rPr>
        <w:t>Přehled nejčastěji se vyskytujících účinných látek a jejich metabolitů (problematické jsou</w:t>
      </w:r>
      <w:r w:rsidRPr="007434DA">
        <w:t xml:space="preserve"> </w:t>
      </w:r>
      <w:r w:rsidRPr="007434DA">
        <w:rPr>
          <w:bCs/>
        </w:rPr>
        <w:t>pouze herbicidy) v podzemních vodách ČR v  letech 2016 a 2017</w:t>
      </w:r>
      <w:bookmarkEnd w:id="124"/>
    </w:p>
    <w:tbl>
      <w:tblPr>
        <w:tblStyle w:val="Mkatabulky"/>
        <w:tblW w:w="0" w:type="auto"/>
        <w:tblLook w:val="04A0" w:firstRow="1" w:lastRow="0" w:firstColumn="1" w:lastColumn="0" w:noHBand="0" w:noVBand="1"/>
      </w:tblPr>
      <w:tblGrid>
        <w:gridCol w:w="1749"/>
        <w:gridCol w:w="2872"/>
        <w:gridCol w:w="1254"/>
        <w:gridCol w:w="1194"/>
        <w:gridCol w:w="842"/>
        <w:gridCol w:w="1150"/>
      </w:tblGrid>
      <w:tr w:rsidR="00F90F35" w:rsidRPr="00FA3A37" w14:paraId="692468C1" w14:textId="77777777" w:rsidTr="00F90F35">
        <w:trPr>
          <w:trHeight w:val="1108"/>
        </w:trPr>
        <w:tc>
          <w:tcPr>
            <w:tcW w:w="1749" w:type="dxa"/>
            <w:hideMark/>
          </w:tcPr>
          <w:p w14:paraId="5B237EEA" w14:textId="77777777" w:rsidR="00F90F35" w:rsidRPr="007434DA" w:rsidRDefault="00F90F35" w:rsidP="00F90F35">
            <w:pPr>
              <w:rPr>
                <w:b/>
                <w:bCs/>
                <w:sz w:val="20"/>
              </w:rPr>
            </w:pPr>
          </w:p>
          <w:p w14:paraId="3006E121" w14:textId="7BC8D02A" w:rsidR="00F90F35" w:rsidRPr="007434DA" w:rsidRDefault="00F90F35" w:rsidP="00F90F35">
            <w:pPr>
              <w:rPr>
                <w:b/>
                <w:bCs/>
                <w:sz w:val="20"/>
              </w:rPr>
            </w:pPr>
            <w:r w:rsidRPr="007434DA">
              <w:rPr>
                <w:b/>
                <w:bCs/>
                <w:sz w:val="20"/>
              </w:rPr>
              <w:t>Pořadí/plodina</w:t>
            </w:r>
          </w:p>
        </w:tc>
        <w:tc>
          <w:tcPr>
            <w:tcW w:w="2872" w:type="dxa"/>
            <w:hideMark/>
          </w:tcPr>
          <w:p w14:paraId="61E6D072" w14:textId="77777777" w:rsidR="00F90F35" w:rsidRPr="007434DA" w:rsidRDefault="00F90F35" w:rsidP="00F90F35">
            <w:pPr>
              <w:rPr>
                <w:b/>
                <w:bCs/>
                <w:sz w:val="20"/>
              </w:rPr>
            </w:pPr>
          </w:p>
          <w:p w14:paraId="12F782D6" w14:textId="6ED7828C" w:rsidR="00F90F35" w:rsidRPr="007434DA" w:rsidRDefault="00F90F35" w:rsidP="00F90F35">
            <w:pPr>
              <w:rPr>
                <w:b/>
                <w:bCs/>
                <w:sz w:val="20"/>
              </w:rPr>
            </w:pPr>
            <w:r w:rsidRPr="007434DA">
              <w:rPr>
                <w:b/>
                <w:bCs/>
                <w:sz w:val="20"/>
              </w:rPr>
              <w:t>Pesticidy</w:t>
            </w:r>
          </w:p>
        </w:tc>
        <w:tc>
          <w:tcPr>
            <w:tcW w:w="1254" w:type="dxa"/>
            <w:hideMark/>
          </w:tcPr>
          <w:p w14:paraId="3C630909" w14:textId="77777777" w:rsidR="00F90F35" w:rsidRPr="007434DA" w:rsidRDefault="00F90F35" w:rsidP="00F90F35">
            <w:pPr>
              <w:jc w:val="center"/>
              <w:rPr>
                <w:b/>
                <w:bCs/>
                <w:sz w:val="20"/>
              </w:rPr>
            </w:pPr>
            <w:r w:rsidRPr="007434DA">
              <w:rPr>
                <w:b/>
                <w:bCs/>
                <w:sz w:val="20"/>
              </w:rPr>
              <w:t>Počet odebraných vzorků</w:t>
            </w:r>
          </w:p>
        </w:tc>
        <w:tc>
          <w:tcPr>
            <w:tcW w:w="1194" w:type="dxa"/>
            <w:hideMark/>
          </w:tcPr>
          <w:p w14:paraId="3E5E6813" w14:textId="77777777" w:rsidR="00F90F35" w:rsidRPr="007434DA" w:rsidRDefault="00F90F35" w:rsidP="00F90F35">
            <w:pPr>
              <w:jc w:val="center"/>
              <w:rPr>
                <w:b/>
                <w:bCs/>
                <w:sz w:val="20"/>
              </w:rPr>
            </w:pPr>
            <w:r w:rsidRPr="007434DA">
              <w:rPr>
                <w:b/>
                <w:bCs/>
                <w:sz w:val="20"/>
              </w:rPr>
              <w:t>Nadlimitní výskyt - nad 0,1 µg/l (%)</w:t>
            </w:r>
          </w:p>
        </w:tc>
        <w:tc>
          <w:tcPr>
            <w:tcW w:w="842" w:type="dxa"/>
            <w:hideMark/>
          </w:tcPr>
          <w:p w14:paraId="46CB7785" w14:textId="77777777" w:rsidR="00F90F35" w:rsidRPr="007434DA" w:rsidRDefault="00F90F35" w:rsidP="00F90F35">
            <w:pPr>
              <w:jc w:val="center"/>
              <w:rPr>
                <w:b/>
                <w:bCs/>
                <w:sz w:val="20"/>
              </w:rPr>
            </w:pPr>
            <w:r w:rsidRPr="007434DA">
              <w:rPr>
                <w:b/>
                <w:bCs/>
                <w:sz w:val="20"/>
              </w:rPr>
              <w:t>Výskyt - nad 1 µg/l (%)</w:t>
            </w:r>
          </w:p>
        </w:tc>
        <w:tc>
          <w:tcPr>
            <w:tcW w:w="1150" w:type="dxa"/>
            <w:hideMark/>
          </w:tcPr>
          <w:p w14:paraId="06B50243" w14:textId="77777777" w:rsidR="00F90F35" w:rsidRPr="007434DA" w:rsidRDefault="00F90F35" w:rsidP="00F90F35">
            <w:pPr>
              <w:jc w:val="center"/>
              <w:rPr>
                <w:b/>
                <w:bCs/>
                <w:sz w:val="20"/>
              </w:rPr>
            </w:pPr>
            <w:r w:rsidRPr="007434DA">
              <w:rPr>
                <w:b/>
                <w:bCs/>
                <w:sz w:val="20"/>
              </w:rPr>
              <w:t>Maximální zjištěná hodnota (µg/l)</w:t>
            </w:r>
          </w:p>
        </w:tc>
      </w:tr>
      <w:tr w:rsidR="00CB2594" w:rsidRPr="007434DA" w14:paraId="69A61E28" w14:textId="77777777" w:rsidTr="00F90F35">
        <w:trPr>
          <w:trHeight w:val="255"/>
        </w:trPr>
        <w:tc>
          <w:tcPr>
            <w:tcW w:w="1749" w:type="dxa"/>
            <w:shd w:val="clear" w:color="auto" w:fill="D0CECE" w:themeFill="background2" w:themeFillShade="E6"/>
            <w:noWrap/>
          </w:tcPr>
          <w:p w14:paraId="34D39898" w14:textId="77777777" w:rsidR="00CB2594" w:rsidRPr="007434DA" w:rsidRDefault="00CB2594" w:rsidP="004A57B3">
            <w:pPr>
              <w:rPr>
                <w:b/>
                <w:bCs/>
                <w:sz w:val="20"/>
              </w:rPr>
            </w:pPr>
          </w:p>
        </w:tc>
        <w:tc>
          <w:tcPr>
            <w:tcW w:w="2872" w:type="dxa"/>
            <w:shd w:val="clear" w:color="auto" w:fill="D0CECE" w:themeFill="background2" w:themeFillShade="E6"/>
          </w:tcPr>
          <w:p w14:paraId="3491C8F3" w14:textId="77777777" w:rsidR="00CB2594" w:rsidRPr="007434DA" w:rsidRDefault="00CB2594" w:rsidP="004A57B3">
            <w:pPr>
              <w:rPr>
                <w:b/>
                <w:bCs/>
                <w:sz w:val="20"/>
              </w:rPr>
            </w:pPr>
          </w:p>
        </w:tc>
        <w:tc>
          <w:tcPr>
            <w:tcW w:w="4440" w:type="dxa"/>
            <w:gridSpan w:val="4"/>
            <w:shd w:val="clear" w:color="auto" w:fill="D0CECE" w:themeFill="background2" w:themeFillShade="E6"/>
            <w:noWrap/>
          </w:tcPr>
          <w:p w14:paraId="57D6E1ED" w14:textId="77777777" w:rsidR="00CB2594" w:rsidRPr="007434DA" w:rsidRDefault="00CB2594" w:rsidP="004A57B3">
            <w:pPr>
              <w:jc w:val="center"/>
              <w:rPr>
                <w:b/>
                <w:bCs/>
                <w:sz w:val="20"/>
              </w:rPr>
            </w:pPr>
            <w:r w:rsidRPr="007434DA">
              <w:rPr>
                <w:b/>
                <w:bCs/>
                <w:sz w:val="20"/>
              </w:rPr>
              <w:t>2016</w:t>
            </w:r>
          </w:p>
        </w:tc>
      </w:tr>
      <w:tr w:rsidR="00CB2594" w:rsidRPr="007434DA" w14:paraId="4A827EC9" w14:textId="77777777" w:rsidTr="00F90F35">
        <w:trPr>
          <w:trHeight w:val="255"/>
        </w:trPr>
        <w:tc>
          <w:tcPr>
            <w:tcW w:w="1749" w:type="dxa"/>
            <w:noWrap/>
            <w:hideMark/>
          </w:tcPr>
          <w:p w14:paraId="24DFD54D" w14:textId="77777777" w:rsidR="00CB2594" w:rsidRPr="007434DA" w:rsidRDefault="00CB2594" w:rsidP="004A57B3">
            <w:pPr>
              <w:rPr>
                <w:b/>
                <w:bCs/>
                <w:sz w:val="20"/>
              </w:rPr>
            </w:pPr>
            <w:r w:rsidRPr="007434DA">
              <w:rPr>
                <w:b/>
                <w:bCs/>
                <w:sz w:val="20"/>
              </w:rPr>
              <w:t>1/cukrovka</w:t>
            </w:r>
          </w:p>
        </w:tc>
        <w:tc>
          <w:tcPr>
            <w:tcW w:w="2872" w:type="dxa"/>
            <w:hideMark/>
          </w:tcPr>
          <w:p w14:paraId="3A06AC9C" w14:textId="77777777" w:rsidR="00CB2594" w:rsidRPr="007434DA" w:rsidRDefault="00CB2594" w:rsidP="004A57B3">
            <w:pPr>
              <w:rPr>
                <w:b/>
                <w:bCs/>
                <w:sz w:val="20"/>
              </w:rPr>
            </w:pPr>
            <w:r w:rsidRPr="007434DA">
              <w:rPr>
                <w:b/>
                <w:bCs/>
                <w:sz w:val="20"/>
              </w:rPr>
              <w:t>chloridazon a jeho metabolity</w:t>
            </w:r>
          </w:p>
        </w:tc>
        <w:tc>
          <w:tcPr>
            <w:tcW w:w="1254" w:type="dxa"/>
            <w:noWrap/>
            <w:hideMark/>
          </w:tcPr>
          <w:p w14:paraId="2D18BB02" w14:textId="77777777" w:rsidR="00CB2594" w:rsidRPr="007434DA" w:rsidRDefault="00CB2594" w:rsidP="004A57B3">
            <w:pPr>
              <w:jc w:val="center"/>
              <w:rPr>
                <w:sz w:val="20"/>
              </w:rPr>
            </w:pPr>
            <w:r w:rsidRPr="007434DA">
              <w:rPr>
                <w:sz w:val="20"/>
              </w:rPr>
              <w:t>1 348</w:t>
            </w:r>
          </w:p>
        </w:tc>
        <w:tc>
          <w:tcPr>
            <w:tcW w:w="1194" w:type="dxa"/>
            <w:noWrap/>
            <w:hideMark/>
          </w:tcPr>
          <w:p w14:paraId="28CB0981" w14:textId="77777777" w:rsidR="00CB2594" w:rsidRPr="007434DA" w:rsidRDefault="00CB2594" w:rsidP="004A57B3">
            <w:pPr>
              <w:jc w:val="center"/>
              <w:rPr>
                <w:sz w:val="20"/>
              </w:rPr>
            </w:pPr>
            <w:r w:rsidRPr="007434DA">
              <w:rPr>
                <w:sz w:val="20"/>
              </w:rPr>
              <w:t>29.15</w:t>
            </w:r>
          </w:p>
        </w:tc>
        <w:tc>
          <w:tcPr>
            <w:tcW w:w="842" w:type="dxa"/>
            <w:noWrap/>
            <w:hideMark/>
          </w:tcPr>
          <w:p w14:paraId="1038622C" w14:textId="77777777" w:rsidR="00CB2594" w:rsidRPr="007434DA" w:rsidRDefault="00CB2594" w:rsidP="004A57B3">
            <w:pPr>
              <w:jc w:val="center"/>
              <w:rPr>
                <w:sz w:val="20"/>
              </w:rPr>
            </w:pPr>
            <w:r w:rsidRPr="007434DA">
              <w:rPr>
                <w:sz w:val="20"/>
              </w:rPr>
              <w:t>11.05</w:t>
            </w:r>
          </w:p>
        </w:tc>
        <w:tc>
          <w:tcPr>
            <w:tcW w:w="1150" w:type="dxa"/>
            <w:noWrap/>
            <w:hideMark/>
          </w:tcPr>
          <w:p w14:paraId="5E1AF053" w14:textId="77777777" w:rsidR="00CB2594" w:rsidRPr="007434DA" w:rsidRDefault="00CB2594" w:rsidP="004A57B3">
            <w:pPr>
              <w:jc w:val="center"/>
              <w:rPr>
                <w:sz w:val="20"/>
              </w:rPr>
            </w:pPr>
            <w:r w:rsidRPr="007434DA">
              <w:rPr>
                <w:sz w:val="20"/>
              </w:rPr>
              <w:t>27.792</w:t>
            </w:r>
          </w:p>
        </w:tc>
      </w:tr>
      <w:tr w:rsidR="00CB2594" w:rsidRPr="007434DA" w14:paraId="2CEE0878" w14:textId="77777777" w:rsidTr="00F90F35">
        <w:trPr>
          <w:trHeight w:val="255"/>
        </w:trPr>
        <w:tc>
          <w:tcPr>
            <w:tcW w:w="1749" w:type="dxa"/>
            <w:noWrap/>
            <w:hideMark/>
          </w:tcPr>
          <w:p w14:paraId="0B46CEAC" w14:textId="77777777" w:rsidR="00CB2594" w:rsidRPr="007434DA" w:rsidRDefault="00CB2594" w:rsidP="004A57B3">
            <w:pPr>
              <w:rPr>
                <w:b/>
                <w:bCs/>
                <w:sz w:val="20"/>
              </w:rPr>
            </w:pPr>
            <w:r w:rsidRPr="007434DA">
              <w:rPr>
                <w:b/>
                <w:bCs/>
                <w:sz w:val="20"/>
              </w:rPr>
              <w:t>2/řepka</w:t>
            </w:r>
          </w:p>
        </w:tc>
        <w:tc>
          <w:tcPr>
            <w:tcW w:w="2872" w:type="dxa"/>
            <w:hideMark/>
          </w:tcPr>
          <w:p w14:paraId="3673544F" w14:textId="77777777" w:rsidR="00CB2594" w:rsidRPr="007434DA" w:rsidRDefault="00CB2594" w:rsidP="004A57B3">
            <w:pPr>
              <w:rPr>
                <w:b/>
                <w:bCs/>
                <w:sz w:val="20"/>
              </w:rPr>
            </w:pPr>
            <w:r w:rsidRPr="007434DA">
              <w:rPr>
                <w:b/>
                <w:bCs/>
                <w:sz w:val="20"/>
              </w:rPr>
              <w:t xml:space="preserve">metazachlor a jeho metabolity </w:t>
            </w:r>
          </w:p>
        </w:tc>
        <w:tc>
          <w:tcPr>
            <w:tcW w:w="1254" w:type="dxa"/>
            <w:noWrap/>
            <w:hideMark/>
          </w:tcPr>
          <w:p w14:paraId="01761A8B" w14:textId="77777777" w:rsidR="00CB2594" w:rsidRPr="007434DA" w:rsidRDefault="00CB2594" w:rsidP="004A57B3">
            <w:pPr>
              <w:jc w:val="center"/>
              <w:rPr>
                <w:sz w:val="20"/>
              </w:rPr>
            </w:pPr>
            <w:r w:rsidRPr="007434DA">
              <w:rPr>
                <w:sz w:val="20"/>
              </w:rPr>
              <w:t>1 348</w:t>
            </w:r>
          </w:p>
        </w:tc>
        <w:tc>
          <w:tcPr>
            <w:tcW w:w="1194" w:type="dxa"/>
            <w:noWrap/>
            <w:hideMark/>
          </w:tcPr>
          <w:p w14:paraId="2AE4F0AF" w14:textId="77777777" w:rsidR="00CB2594" w:rsidRPr="007434DA" w:rsidRDefault="00CB2594" w:rsidP="004A57B3">
            <w:pPr>
              <w:jc w:val="center"/>
              <w:rPr>
                <w:sz w:val="20"/>
              </w:rPr>
            </w:pPr>
            <w:r w:rsidRPr="007434DA">
              <w:rPr>
                <w:sz w:val="20"/>
              </w:rPr>
              <w:t>12.46</w:t>
            </w:r>
          </w:p>
        </w:tc>
        <w:tc>
          <w:tcPr>
            <w:tcW w:w="842" w:type="dxa"/>
            <w:noWrap/>
            <w:hideMark/>
          </w:tcPr>
          <w:p w14:paraId="2BF2272B" w14:textId="77777777" w:rsidR="00CB2594" w:rsidRPr="007434DA" w:rsidRDefault="00CB2594" w:rsidP="004A57B3">
            <w:pPr>
              <w:jc w:val="center"/>
              <w:rPr>
                <w:sz w:val="20"/>
              </w:rPr>
            </w:pPr>
            <w:r w:rsidRPr="007434DA">
              <w:rPr>
                <w:sz w:val="20"/>
              </w:rPr>
              <w:t>2.23</w:t>
            </w:r>
          </w:p>
        </w:tc>
        <w:tc>
          <w:tcPr>
            <w:tcW w:w="1150" w:type="dxa"/>
            <w:noWrap/>
            <w:hideMark/>
          </w:tcPr>
          <w:p w14:paraId="03D56771" w14:textId="77777777" w:rsidR="00CB2594" w:rsidRPr="007434DA" w:rsidRDefault="00CB2594" w:rsidP="004A57B3">
            <w:pPr>
              <w:jc w:val="center"/>
              <w:rPr>
                <w:sz w:val="20"/>
              </w:rPr>
            </w:pPr>
            <w:r w:rsidRPr="007434DA">
              <w:rPr>
                <w:sz w:val="20"/>
              </w:rPr>
              <w:t>6.88</w:t>
            </w:r>
          </w:p>
        </w:tc>
      </w:tr>
      <w:tr w:rsidR="00CB2594" w:rsidRPr="007434DA" w14:paraId="54316E8F" w14:textId="77777777" w:rsidTr="00F90F35">
        <w:trPr>
          <w:trHeight w:val="255"/>
        </w:trPr>
        <w:tc>
          <w:tcPr>
            <w:tcW w:w="1749" w:type="dxa"/>
            <w:noWrap/>
            <w:hideMark/>
          </w:tcPr>
          <w:p w14:paraId="42C7BE72" w14:textId="77777777" w:rsidR="00CB2594" w:rsidRPr="007434DA" w:rsidRDefault="00CB2594" w:rsidP="004A57B3">
            <w:pPr>
              <w:rPr>
                <w:b/>
                <w:bCs/>
                <w:sz w:val="20"/>
              </w:rPr>
            </w:pPr>
            <w:r w:rsidRPr="007434DA">
              <w:rPr>
                <w:b/>
                <w:bCs/>
                <w:sz w:val="20"/>
              </w:rPr>
              <w:t>3/kukuřice</w:t>
            </w:r>
          </w:p>
        </w:tc>
        <w:tc>
          <w:tcPr>
            <w:tcW w:w="2872" w:type="dxa"/>
            <w:hideMark/>
          </w:tcPr>
          <w:p w14:paraId="03E1EB41" w14:textId="77777777" w:rsidR="00CB2594" w:rsidRPr="007434DA" w:rsidRDefault="00CB2594" w:rsidP="004A57B3">
            <w:pPr>
              <w:rPr>
                <w:b/>
                <w:bCs/>
                <w:sz w:val="20"/>
              </w:rPr>
            </w:pPr>
            <w:r w:rsidRPr="007434DA">
              <w:rPr>
                <w:b/>
                <w:bCs/>
                <w:sz w:val="20"/>
              </w:rPr>
              <w:t>metolachlor a jeho metabolity</w:t>
            </w:r>
          </w:p>
        </w:tc>
        <w:tc>
          <w:tcPr>
            <w:tcW w:w="1254" w:type="dxa"/>
            <w:noWrap/>
            <w:hideMark/>
          </w:tcPr>
          <w:p w14:paraId="0D0AD184" w14:textId="77777777" w:rsidR="00CB2594" w:rsidRPr="007434DA" w:rsidRDefault="00CB2594" w:rsidP="004A57B3">
            <w:pPr>
              <w:jc w:val="center"/>
              <w:rPr>
                <w:sz w:val="20"/>
              </w:rPr>
            </w:pPr>
            <w:r w:rsidRPr="007434DA">
              <w:rPr>
                <w:sz w:val="20"/>
              </w:rPr>
              <w:t>1 348</w:t>
            </w:r>
          </w:p>
        </w:tc>
        <w:tc>
          <w:tcPr>
            <w:tcW w:w="1194" w:type="dxa"/>
            <w:noWrap/>
            <w:hideMark/>
          </w:tcPr>
          <w:p w14:paraId="73147191" w14:textId="77777777" w:rsidR="00CB2594" w:rsidRPr="007434DA" w:rsidRDefault="00CB2594" w:rsidP="004A57B3">
            <w:pPr>
              <w:jc w:val="center"/>
              <w:rPr>
                <w:sz w:val="20"/>
              </w:rPr>
            </w:pPr>
            <w:r w:rsidRPr="007434DA">
              <w:rPr>
                <w:sz w:val="20"/>
              </w:rPr>
              <w:t>10.76</w:t>
            </w:r>
          </w:p>
        </w:tc>
        <w:tc>
          <w:tcPr>
            <w:tcW w:w="842" w:type="dxa"/>
            <w:noWrap/>
            <w:hideMark/>
          </w:tcPr>
          <w:p w14:paraId="7255C5DA" w14:textId="77777777" w:rsidR="00CB2594" w:rsidRPr="007434DA" w:rsidRDefault="00CB2594" w:rsidP="004A57B3">
            <w:pPr>
              <w:jc w:val="center"/>
              <w:rPr>
                <w:sz w:val="20"/>
              </w:rPr>
            </w:pPr>
            <w:r w:rsidRPr="007434DA">
              <w:rPr>
                <w:sz w:val="20"/>
              </w:rPr>
              <w:t>1.04</w:t>
            </w:r>
          </w:p>
        </w:tc>
        <w:tc>
          <w:tcPr>
            <w:tcW w:w="1150" w:type="dxa"/>
            <w:noWrap/>
            <w:hideMark/>
          </w:tcPr>
          <w:p w14:paraId="5F9437E6" w14:textId="77777777" w:rsidR="00CB2594" w:rsidRPr="007434DA" w:rsidRDefault="00CB2594" w:rsidP="004A57B3">
            <w:pPr>
              <w:jc w:val="center"/>
              <w:rPr>
                <w:sz w:val="20"/>
              </w:rPr>
            </w:pPr>
            <w:r w:rsidRPr="007434DA">
              <w:rPr>
                <w:sz w:val="20"/>
              </w:rPr>
              <w:t>7.817</w:t>
            </w:r>
          </w:p>
        </w:tc>
      </w:tr>
      <w:tr w:rsidR="00CB2594" w:rsidRPr="007434DA" w14:paraId="0BFAA1A1" w14:textId="77777777" w:rsidTr="00F90F35">
        <w:trPr>
          <w:trHeight w:val="255"/>
        </w:trPr>
        <w:tc>
          <w:tcPr>
            <w:tcW w:w="1749" w:type="dxa"/>
            <w:noWrap/>
            <w:hideMark/>
          </w:tcPr>
          <w:p w14:paraId="076B5565" w14:textId="77777777" w:rsidR="00CB2594" w:rsidRPr="007434DA" w:rsidRDefault="00CB2594" w:rsidP="004A57B3">
            <w:pPr>
              <w:rPr>
                <w:b/>
                <w:bCs/>
                <w:sz w:val="20"/>
              </w:rPr>
            </w:pPr>
            <w:r w:rsidRPr="007434DA">
              <w:rPr>
                <w:b/>
                <w:bCs/>
                <w:sz w:val="20"/>
              </w:rPr>
              <w:t>4/řepka</w:t>
            </w:r>
          </w:p>
        </w:tc>
        <w:tc>
          <w:tcPr>
            <w:tcW w:w="2872" w:type="dxa"/>
            <w:hideMark/>
          </w:tcPr>
          <w:p w14:paraId="3BB7B751" w14:textId="77777777" w:rsidR="00CB2594" w:rsidRPr="007434DA" w:rsidRDefault="00CB2594" w:rsidP="004A57B3">
            <w:pPr>
              <w:rPr>
                <w:b/>
                <w:bCs/>
                <w:sz w:val="20"/>
              </w:rPr>
            </w:pPr>
            <w:r w:rsidRPr="007434DA">
              <w:rPr>
                <w:b/>
                <w:bCs/>
                <w:sz w:val="20"/>
              </w:rPr>
              <w:t>dimethachlor a jeho metabolity</w:t>
            </w:r>
          </w:p>
        </w:tc>
        <w:tc>
          <w:tcPr>
            <w:tcW w:w="1254" w:type="dxa"/>
            <w:noWrap/>
            <w:hideMark/>
          </w:tcPr>
          <w:p w14:paraId="12007E0A" w14:textId="77777777" w:rsidR="00CB2594" w:rsidRPr="007434DA" w:rsidRDefault="00CB2594" w:rsidP="004A57B3">
            <w:pPr>
              <w:jc w:val="center"/>
              <w:rPr>
                <w:sz w:val="20"/>
              </w:rPr>
            </w:pPr>
            <w:r w:rsidRPr="007434DA">
              <w:rPr>
                <w:sz w:val="20"/>
              </w:rPr>
              <w:t>1 348</w:t>
            </w:r>
          </w:p>
        </w:tc>
        <w:tc>
          <w:tcPr>
            <w:tcW w:w="1194" w:type="dxa"/>
            <w:noWrap/>
            <w:hideMark/>
          </w:tcPr>
          <w:p w14:paraId="37EFF06B" w14:textId="77777777" w:rsidR="00CB2594" w:rsidRPr="007434DA" w:rsidRDefault="00CB2594" w:rsidP="004A57B3">
            <w:pPr>
              <w:jc w:val="center"/>
              <w:rPr>
                <w:sz w:val="20"/>
              </w:rPr>
            </w:pPr>
            <w:r w:rsidRPr="007434DA">
              <w:rPr>
                <w:sz w:val="20"/>
              </w:rPr>
              <w:t>0</w:t>
            </w:r>
          </w:p>
        </w:tc>
        <w:tc>
          <w:tcPr>
            <w:tcW w:w="842" w:type="dxa"/>
            <w:noWrap/>
            <w:hideMark/>
          </w:tcPr>
          <w:p w14:paraId="0AE707D9" w14:textId="77777777" w:rsidR="00CB2594" w:rsidRPr="007434DA" w:rsidRDefault="00CB2594" w:rsidP="004A57B3">
            <w:pPr>
              <w:jc w:val="center"/>
              <w:rPr>
                <w:sz w:val="20"/>
              </w:rPr>
            </w:pPr>
            <w:r w:rsidRPr="007434DA">
              <w:rPr>
                <w:sz w:val="20"/>
              </w:rPr>
              <w:t>0</w:t>
            </w:r>
          </w:p>
        </w:tc>
        <w:tc>
          <w:tcPr>
            <w:tcW w:w="1150" w:type="dxa"/>
            <w:noWrap/>
            <w:hideMark/>
          </w:tcPr>
          <w:p w14:paraId="5C24D48A" w14:textId="77777777" w:rsidR="00CB2594" w:rsidRPr="007434DA" w:rsidRDefault="00CB2594" w:rsidP="004A57B3">
            <w:pPr>
              <w:jc w:val="center"/>
              <w:rPr>
                <w:sz w:val="20"/>
              </w:rPr>
            </w:pPr>
            <w:r w:rsidRPr="007434DA">
              <w:rPr>
                <w:sz w:val="20"/>
              </w:rPr>
              <w:t>0</w:t>
            </w:r>
          </w:p>
        </w:tc>
      </w:tr>
      <w:tr w:rsidR="00CB2594" w:rsidRPr="007434DA" w14:paraId="5A1F8724" w14:textId="77777777" w:rsidTr="00F90F35">
        <w:trPr>
          <w:trHeight w:val="255"/>
        </w:trPr>
        <w:tc>
          <w:tcPr>
            <w:tcW w:w="1749" w:type="dxa"/>
            <w:noWrap/>
            <w:hideMark/>
          </w:tcPr>
          <w:p w14:paraId="29175BC1" w14:textId="77777777" w:rsidR="00CB2594" w:rsidRPr="007434DA" w:rsidRDefault="00CB2594" w:rsidP="004A57B3">
            <w:pPr>
              <w:rPr>
                <w:b/>
                <w:bCs/>
                <w:sz w:val="20"/>
              </w:rPr>
            </w:pPr>
            <w:r w:rsidRPr="007434DA">
              <w:rPr>
                <w:b/>
                <w:bCs/>
                <w:sz w:val="20"/>
              </w:rPr>
              <w:t>5/řepka/cukrovka</w:t>
            </w:r>
          </w:p>
        </w:tc>
        <w:tc>
          <w:tcPr>
            <w:tcW w:w="2872" w:type="dxa"/>
            <w:hideMark/>
          </w:tcPr>
          <w:p w14:paraId="0027D2C9" w14:textId="77777777" w:rsidR="00CB2594" w:rsidRPr="007434DA" w:rsidRDefault="00CB2594" w:rsidP="004A57B3">
            <w:pPr>
              <w:rPr>
                <w:b/>
                <w:bCs/>
                <w:sz w:val="20"/>
              </w:rPr>
            </w:pPr>
            <w:r w:rsidRPr="007434DA">
              <w:rPr>
                <w:b/>
                <w:bCs/>
                <w:sz w:val="20"/>
              </w:rPr>
              <w:t>clopyralid</w:t>
            </w:r>
          </w:p>
        </w:tc>
        <w:tc>
          <w:tcPr>
            <w:tcW w:w="1254" w:type="dxa"/>
            <w:noWrap/>
            <w:hideMark/>
          </w:tcPr>
          <w:p w14:paraId="12CE0A11" w14:textId="77777777" w:rsidR="00CB2594" w:rsidRPr="007434DA" w:rsidRDefault="00CB2594" w:rsidP="004A57B3">
            <w:pPr>
              <w:jc w:val="center"/>
              <w:rPr>
                <w:sz w:val="20"/>
              </w:rPr>
            </w:pPr>
            <w:r w:rsidRPr="007434DA">
              <w:rPr>
                <w:sz w:val="20"/>
              </w:rPr>
              <w:t>1 348</w:t>
            </w:r>
          </w:p>
        </w:tc>
        <w:tc>
          <w:tcPr>
            <w:tcW w:w="1194" w:type="dxa"/>
            <w:noWrap/>
            <w:hideMark/>
          </w:tcPr>
          <w:p w14:paraId="0564E5A1" w14:textId="77777777" w:rsidR="00CB2594" w:rsidRPr="007434DA" w:rsidRDefault="00CB2594" w:rsidP="004A57B3">
            <w:pPr>
              <w:jc w:val="center"/>
              <w:rPr>
                <w:sz w:val="20"/>
              </w:rPr>
            </w:pPr>
            <w:r w:rsidRPr="007434DA">
              <w:rPr>
                <w:sz w:val="20"/>
              </w:rPr>
              <w:t>0.52</w:t>
            </w:r>
          </w:p>
        </w:tc>
        <w:tc>
          <w:tcPr>
            <w:tcW w:w="842" w:type="dxa"/>
            <w:noWrap/>
            <w:hideMark/>
          </w:tcPr>
          <w:p w14:paraId="0AC9FCDB" w14:textId="77777777" w:rsidR="00CB2594" w:rsidRPr="007434DA" w:rsidRDefault="00CB2594" w:rsidP="004A57B3">
            <w:pPr>
              <w:jc w:val="center"/>
              <w:rPr>
                <w:sz w:val="20"/>
              </w:rPr>
            </w:pPr>
            <w:r w:rsidRPr="007434DA">
              <w:rPr>
                <w:sz w:val="20"/>
              </w:rPr>
              <w:t>0.07</w:t>
            </w:r>
          </w:p>
        </w:tc>
        <w:tc>
          <w:tcPr>
            <w:tcW w:w="1150" w:type="dxa"/>
            <w:noWrap/>
            <w:hideMark/>
          </w:tcPr>
          <w:p w14:paraId="01F61F68" w14:textId="77777777" w:rsidR="00CB2594" w:rsidRPr="007434DA" w:rsidRDefault="00CB2594" w:rsidP="004A57B3">
            <w:pPr>
              <w:jc w:val="center"/>
              <w:rPr>
                <w:sz w:val="20"/>
              </w:rPr>
            </w:pPr>
            <w:r w:rsidRPr="007434DA">
              <w:rPr>
                <w:sz w:val="20"/>
              </w:rPr>
              <w:t>8.18</w:t>
            </w:r>
          </w:p>
        </w:tc>
      </w:tr>
      <w:tr w:rsidR="00CB2594" w:rsidRPr="007434DA" w14:paraId="612FB9EA" w14:textId="77777777" w:rsidTr="00F90F35">
        <w:trPr>
          <w:trHeight w:val="255"/>
        </w:trPr>
        <w:tc>
          <w:tcPr>
            <w:tcW w:w="1749" w:type="dxa"/>
            <w:noWrap/>
            <w:hideMark/>
          </w:tcPr>
          <w:p w14:paraId="0690627B" w14:textId="77777777" w:rsidR="00CB2594" w:rsidRPr="007434DA" w:rsidRDefault="00CB2594" w:rsidP="004A57B3">
            <w:pPr>
              <w:rPr>
                <w:b/>
                <w:bCs/>
                <w:sz w:val="20"/>
              </w:rPr>
            </w:pPr>
            <w:r w:rsidRPr="007434DA">
              <w:rPr>
                <w:b/>
                <w:bCs/>
                <w:sz w:val="20"/>
              </w:rPr>
              <w:t>6/kukuřice</w:t>
            </w:r>
          </w:p>
        </w:tc>
        <w:tc>
          <w:tcPr>
            <w:tcW w:w="2872" w:type="dxa"/>
            <w:hideMark/>
          </w:tcPr>
          <w:p w14:paraId="6C1EC2AD" w14:textId="77777777" w:rsidR="00CB2594" w:rsidRPr="007434DA" w:rsidRDefault="00CB2594" w:rsidP="004A57B3">
            <w:pPr>
              <w:rPr>
                <w:b/>
                <w:bCs/>
                <w:sz w:val="20"/>
              </w:rPr>
            </w:pPr>
            <w:r w:rsidRPr="007434DA">
              <w:rPr>
                <w:b/>
                <w:bCs/>
                <w:sz w:val="20"/>
              </w:rPr>
              <w:t>terbuthylazin a jeho metabolity</w:t>
            </w:r>
          </w:p>
        </w:tc>
        <w:tc>
          <w:tcPr>
            <w:tcW w:w="1254" w:type="dxa"/>
            <w:noWrap/>
            <w:hideMark/>
          </w:tcPr>
          <w:p w14:paraId="731F5750" w14:textId="77777777" w:rsidR="00CB2594" w:rsidRPr="007434DA" w:rsidRDefault="00CB2594" w:rsidP="004A57B3">
            <w:pPr>
              <w:jc w:val="center"/>
              <w:rPr>
                <w:sz w:val="20"/>
              </w:rPr>
            </w:pPr>
            <w:r w:rsidRPr="007434DA">
              <w:rPr>
                <w:sz w:val="20"/>
              </w:rPr>
              <w:t>1 348</w:t>
            </w:r>
          </w:p>
        </w:tc>
        <w:tc>
          <w:tcPr>
            <w:tcW w:w="1194" w:type="dxa"/>
            <w:noWrap/>
            <w:hideMark/>
          </w:tcPr>
          <w:p w14:paraId="14658AA1" w14:textId="77777777" w:rsidR="00CB2594" w:rsidRPr="007434DA" w:rsidRDefault="00CB2594" w:rsidP="004A57B3">
            <w:pPr>
              <w:jc w:val="center"/>
              <w:rPr>
                <w:sz w:val="20"/>
              </w:rPr>
            </w:pPr>
            <w:r w:rsidRPr="007434DA">
              <w:rPr>
                <w:sz w:val="20"/>
              </w:rPr>
              <w:t>0.15</w:t>
            </w:r>
          </w:p>
        </w:tc>
        <w:tc>
          <w:tcPr>
            <w:tcW w:w="842" w:type="dxa"/>
            <w:noWrap/>
            <w:hideMark/>
          </w:tcPr>
          <w:p w14:paraId="168411FD" w14:textId="77777777" w:rsidR="00CB2594" w:rsidRPr="007434DA" w:rsidRDefault="00CB2594" w:rsidP="004A57B3">
            <w:pPr>
              <w:jc w:val="center"/>
              <w:rPr>
                <w:sz w:val="20"/>
              </w:rPr>
            </w:pPr>
            <w:r w:rsidRPr="007434DA">
              <w:rPr>
                <w:sz w:val="20"/>
              </w:rPr>
              <w:t>0</w:t>
            </w:r>
          </w:p>
        </w:tc>
        <w:tc>
          <w:tcPr>
            <w:tcW w:w="1150" w:type="dxa"/>
            <w:noWrap/>
            <w:hideMark/>
          </w:tcPr>
          <w:p w14:paraId="63B2E608" w14:textId="77777777" w:rsidR="00CB2594" w:rsidRPr="007434DA" w:rsidRDefault="00CB2594" w:rsidP="004A57B3">
            <w:pPr>
              <w:jc w:val="center"/>
              <w:rPr>
                <w:sz w:val="20"/>
              </w:rPr>
            </w:pPr>
            <w:r w:rsidRPr="007434DA">
              <w:rPr>
                <w:sz w:val="20"/>
              </w:rPr>
              <w:t>0.388</w:t>
            </w:r>
          </w:p>
        </w:tc>
      </w:tr>
      <w:tr w:rsidR="00CB2594" w:rsidRPr="007434DA" w14:paraId="04355702" w14:textId="77777777" w:rsidTr="00F90F35">
        <w:trPr>
          <w:trHeight w:val="255"/>
        </w:trPr>
        <w:tc>
          <w:tcPr>
            <w:tcW w:w="1749" w:type="dxa"/>
            <w:shd w:val="clear" w:color="auto" w:fill="D0CECE" w:themeFill="background2" w:themeFillShade="E6"/>
            <w:noWrap/>
          </w:tcPr>
          <w:p w14:paraId="7EFC2D41" w14:textId="77777777" w:rsidR="00CB2594" w:rsidRPr="007434DA" w:rsidRDefault="00CB2594" w:rsidP="004A57B3">
            <w:pPr>
              <w:rPr>
                <w:b/>
                <w:bCs/>
                <w:sz w:val="20"/>
              </w:rPr>
            </w:pPr>
          </w:p>
        </w:tc>
        <w:tc>
          <w:tcPr>
            <w:tcW w:w="2872" w:type="dxa"/>
            <w:shd w:val="clear" w:color="auto" w:fill="D0CECE" w:themeFill="background2" w:themeFillShade="E6"/>
          </w:tcPr>
          <w:p w14:paraId="2B61225B" w14:textId="77777777" w:rsidR="00CB2594" w:rsidRPr="007434DA" w:rsidRDefault="00CB2594" w:rsidP="004A57B3">
            <w:pPr>
              <w:rPr>
                <w:b/>
                <w:bCs/>
                <w:sz w:val="20"/>
              </w:rPr>
            </w:pPr>
          </w:p>
        </w:tc>
        <w:tc>
          <w:tcPr>
            <w:tcW w:w="4440" w:type="dxa"/>
            <w:gridSpan w:val="4"/>
            <w:shd w:val="clear" w:color="auto" w:fill="D0CECE" w:themeFill="background2" w:themeFillShade="E6"/>
            <w:noWrap/>
          </w:tcPr>
          <w:p w14:paraId="486FCDC2" w14:textId="77777777" w:rsidR="00CB2594" w:rsidRPr="007434DA" w:rsidRDefault="00CB2594" w:rsidP="004A57B3">
            <w:pPr>
              <w:jc w:val="center"/>
              <w:rPr>
                <w:b/>
                <w:bCs/>
                <w:sz w:val="20"/>
              </w:rPr>
            </w:pPr>
            <w:r w:rsidRPr="007434DA">
              <w:rPr>
                <w:b/>
                <w:bCs/>
                <w:sz w:val="20"/>
              </w:rPr>
              <w:t>2017</w:t>
            </w:r>
          </w:p>
        </w:tc>
      </w:tr>
      <w:tr w:rsidR="00CB2594" w:rsidRPr="007434DA" w14:paraId="3EF631D5" w14:textId="77777777" w:rsidTr="00F90F35">
        <w:trPr>
          <w:trHeight w:val="255"/>
        </w:trPr>
        <w:tc>
          <w:tcPr>
            <w:tcW w:w="1749" w:type="dxa"/>
            <w:noWrap/>
            <w:hideMark/>
          </w:tcPr>
          <w:p w14:paraId="0D579ECD" w14:textId="77777777" w:rsidR="00CB2594" w:rsidRPr="007434DA" w:rsidRDefault="00CB2594" w:rsidP="004A57B3">
            <w:pPr>
              <w:rPr>
                <w:b/>
                <w:bCs/>
                <w:sz w:val="20"/>
              </w:rPr>
            </w:pPr>
            <w:r w:rsidRPr="007434DA">
              <w:rPr>
                <w:b/>
                <w:bCs/>
                <w:sz w:val="20"/>
              </w:rPr>
              <w:t>1/cukrovka</w:t>
            </w:r>
          </w:p>
        </w:tc>
        <w:tc>
          <w:tcPr>
            <w:tcW w:w="2872" w:type="dxa"/>
            <w:hideMark/>
          </w:tcPr>
          <w:p w14:paraId="7573E55A" w14:textId="77777777" w:rsidR="00CB2594" w:rsidRPr="007434DA" w:rsidRDefault="00CB2594" w:rsidP="004A57B3">
            <w:pPr>
              <w:rPr>
                <w:b/>
                <w:bCs/>
                <w:sz w:val="20"/>
              </w:rPr>
            </w:pPr>
            <w:r w:rsidRPr="007434DA">
              <w:rPr>
                <w:b/>
                <w:bCs/>
                <w:sz w:val="20"/>
              </w:rPr>
              <w:t>chloridazon a jeho metabolity</w:t>
            </w:r>
          </w:p>
        </w:tc>
        <w:tc>
          <w:tcPr>
            <w:tcW w:w="1254" w:type="dxa"/>
            <w:noWrap/>
            <w:hideMark/>
          </w:tcPr>
          <w:p w14:paraId="7A32A773" w14:textId="77777777" w:rsidR="00CB2594" w:rsidRPr="007434DA" w:rsidRDefault="00CB2594" w:rsidP="004A57B3">
            <w:pPr>
              <w:jc w:val="center"/>
              <w:rPr>
                <w:sz w:val="20"/>
              </w:rPr>
            </w:pPr>
            <w:r w:rsidRPr="007434DA">
              <w:rPr>
                <w:sz w:val="20"/>
              </w:rPr>
              <w:t>1 367</w:t>
            </w:r>
          </w:p>
        </w:tc>
        <w:tc>
          <w:tcPr>
            <w:tcW w:w="1194" w:type="dxa"/>
            <w:noWrap/>
            <w:hideMark/>
          </w:tcPr>
          <w:p w14:paraId="044EED6D" w14:textId="77777777" w:rsidR="00CB2594" w:rsidRPr="007434DA" w:rsidRDefault="00CB2594" w:rsidP="004A57B3">
            <w:pPr>
              <w:jc w:val="center"/>
              <w:rPr>
                <w:sz w:val="20"/>
              </w:rPr>
            </w:pPr>
            <w:r w:rsidRPr="007434DA">
              <w:rPr>
                <w:sz w:val="20"/>
              </w:rPr>
              <w:t>25.38</w:t>
            </w:r>
          </w:p>
        </w:tc>
        <w:tc>
          <w:tcPr>
            <w:tcW w:w="842" w:type="dxa"/>
            <w:noWrap/>
            <w:hideMark/>
          </w:tcPr>
          <w:p w14:paraId="62F731CE" w14:textId="77777777" w:rsidR="00CB2594" w:rsidRPr="007434DA" w:rsidRDefault="00CB2594" w:rsidP="004A57B3">
            <w:pPr>
              <w:jc w:val="center"/>
              <w:rPr>
                <w:sz w:val="20"/>
              </w:rPr>
            </w:pPr>
            <w:r w:rsidRPr="007434DA">
              <w:rPr>
                <w:sz w:val="20"/>
              </w:rPr>
              <w:t>8.85</w:t>
            </w:r>
          </w:p>
        </w:tc>
        <w:tc>
          <w:tcPr>
            <w:tcW w:w="1150" w:type="dxa"/>
            <w:noWrap/>
            <w:hideMark/>
          </w:tcPr>
          <w:p w14:paraId="403EA96B" w14:textId="77777777" w:rsidR="00CB2594" w:rsidRPr="007434DA" w:rsidRDefault="00CB2594" w:rsidP="004A57B3">
            <w:pPr>
              <w:jc w:val="center"/>
              <w:rPr>
                <w:sz w:val="20"/>
              </w:rPr>
            </w:pPr>
            <w:r w:rsidRPr="007434DA">
              <w:rPr>
                <w:sz w:val="20"/>
              </w:rPr>
              <w:t>22.38</w:t>
            </w:r>
          </w:p>
        </w:tc>
      </w:tr>
      <w:tr w:rsidR="00CB2594" w:rsidRPr="007434DA" w14:paraId="6769BB87" w14:textId="77777777" w:rsidTr="00F90F35">
        <w:trPr>
          <w:trHeight w:val="255"/>
        </w:trPr>
        <w:tc>
          <w:tcPr>
            <w:tcW w:w="1749" w:type="dxa"/>
            <w:noWrap/>
            <w:hideMark/>
          </w:tcPr>
          <w:p w14:paraId="05E2888E" w14:textId="77777777" w:rsidR="00CB2594" w:rsidRPr="007434DA" w:rsidRDefault="00CB2594" w:rsidP="004A57B3">
            <w:pPr>
              <w:rPr>
                <w:b/>
                <w:bCs/>
                <w:sz w:val="20"/>
              </w:rPr>
            </w:pPr>
            <w:r w:rsidRPr="007434DA">
              <w:rPr>
                <w:b/>
                <w:bCs/>
                <w:sz w:val="20"/>
              </w:rPr>
              <w:t>2/řepka</w:t>
            </w:r>
          </w:p>
        </w:tc>
        <w:tc>
          <w:tcPr>
            <w:tcW w:w="2872" w:type="dxa"/>
            <w:hideMark/>
          </w:tcPr>
          <w:p w14:paraId="5E9D70B2" w14:textId="77777777" w:rsidR="00CB2594" w:rsidRPr="007434DA" w:rsidRDefault="00CB2594" w:rsidP="004A57B3">
            <w:pPr>
              <w:rPr>
                <w:b/>
                <w:bCs/>
                <w:sz w:val="20"/>
              </w:rPr>
            </w:pPr>
            <w:r w:rsidRPr="007434DA">
              <w:rPr>
                <w:b/>
                <w:bCs/>
                <w:sz w:val="20"/>
              </w:rPr>
              <w:t xml:space="preserve">metazachlor a jeho metabolity </w:t>
            </w:r>
          </w:p>
        </w:tc>
        <w:tc>
          <w:tcPr>
            <w:tcW w:w="1254" w:type="dxa"/>
            <w:noWrap/>
            <w:hideMark/>
          </w:tcPr>
          <w:p w14:paraId="58F956F2" w14:textId="77777777" w:rsidR="00CB2594" w:rsidRPr="007434DA" w:rsidRDefault="00CB2594" w:rsidP="004A57B3">
            <w:pPr>
              <w:jc w:val="center"/>
              <w:rPr>
                <w:sz w:val="20"/>
              </w:rPr>
            </w:pPr>
            <w:r w:rsidRPr="007434DA">
              <w:rPr>
                <w:sz w:val="20"/>
              </w:rPr>
              <w:t>1 367</w:t>
            </w:r>
          </w:p>
        </w:tc>
        <w:tc>
          <w:tcPr>
            <w:tcW w:w="1194" w:type="dxa"/>
            <w:noWrap/>
            <w:hideMark/>
          </w:tcPr>
          <w:p w14:paraId="70896C89" w14:textId="77777777" w:rsidR="00CB2594" w:rsidRPr="007434DA" w:rsidRDefault="00CB2594" w:rsidP="004A57B3">
            <w:pPr>
              <w:jc w:val="center"/>
              <w:rPr>
                <w:sz w:val="20"/>
              </w:rPr>
            </w:pPr>
            <w:r w:rsidRPr="007434DA">
              <w:rPr>
                <w:sz w:val="20"/>
              </w:rPr>
              <w:t>11.70</w:t>
            </w:r>
          </w:p>
        </w:tc>
        <w:tc>
          <w:tcPr>
            <w:tcW w:w="842" w:type="dxa"/>
            <w:noWrap/>
            <w:hideMark/>
          </w:tcPr>
          <w:p w14:paraId="6315AFD0" w14:textId="77777777" w:rsidR="00CB2594" w:rsidRPr="007434DA" w:rsidRDefault="00CB2594" w:rsidP="004A57B3">
            <w:pPr>
              <w:jc w:val="center"/>
              <w:rPr>
                <w:sz w:val="20"/>
              </w:rPr>
            </w:pPr>
            <w:r w:rsidRPr="007434DA">
              <w:rPr>
                <w:sz w:val="20"/>
              </w:rPr>
              <w:t>2.19</w:t>
            </w:r>
          </w:p>
        </w:tc>
        <w:tc>
          <w:tcPr>
            <w:tcW w:w="1150" w:type="dxa"/>
            <w:noWrap/>
            <w:hideMark/>
          </w:tcPr>
          <w:p w14:paraId="5206BC11" w14:textId="77777777" w:rsidR="00CB2594" w:rsidRPr="007434DA" w:rsidRDefault="00CB2594" w:rsidP="004A57B3">
            <w:pPr>
              <w:jc w:val="center"/>
              <w:rPr>
                <w:sz w:val="20"/>
              </w:rPr>
            </w:pPr>
            <w:r w:rsidRPr="007434DA">
              <w:rPr>
                <w:sz w:val="20"/>
              </w:rPr>
              <w:t>8.71</w:t>
            </w:r>
          </w:p>
        </w:tc>
      </w:tr>
      <w:tr w:rsidR="00CB2594" w:rsidRPr="007434DA" w14:paraId="32DEAC41" w14:textId="77777777" w:rsidTr="00F90F35">
        <w:trPr>
          <w:trHeight w:val="255"/>
        </w:trPr>
        <w:tc>
          <w:tcPr>
            <w:tcW w:w="1749" w:type="dxa"/>
            <w:noWrap/>
            <w:hideMark/>
          </w:tcPr>
          <w:p w14:paraId="5E4C24B3" w14:textId="77777777" w:rsidR="00CB2594" w:rsidRPr="007434DA" w:rsidRDefault="00CB2594" w:rsidP="004A57B3">
            <w:pPr>
              <w:rPr>
                <w:b/>
                <w:bCs/>
                <w:sz w:val="20"/>
              </w:rPr>
            </w:pPr>
            <w:r w:rsidRPr="007434DA">
              <w:rPr>
                <w:b/>
                <w:bCs/>
                <w:sz w:val="20"/>
              </w:rPr>
              <w:t>3/kukuřice</w:t>
            </w:r>
          </w:p>
        </w:tc>
        <w:tc>
          <w:tcPr>
            <w:tcW w:w="2872" w:type="dxa"/>
            <w:hideMark/>
          </w:tcPr>
          <w:p w14:paraId="2A28CE21" w14:textId="77777777" w:rsidR="00CB2594" w:rsidRPr="007434DA" w:rsidRDefault="00CB2594" w:rsidP="004A57B3">
            <w:pPr>
              <w:rPr>
                <w:b/>
                <w:bCs/>
                <w:sz w:val="20"/>
              </w:rPr>
            </w:pPr>
            <w:r w:rsidRPr="007434DA">
              <w:rPr>
                <w:b/>
                <w:bCs/>
                <w:sz w:val="20"/>
              </w:rPr>
              <w:t>metolachlor a jeho metabolity</w:t>
            </w:r>
          </w:p>
        </w:tc>
        <w:tc>
          <w:tcPr>
            <w:tcW w:w="1254" w:type="dxa"/>
            <w:noWrap/>
            <w:hideMark/>
          </w:tcPr>
          <w:p w14:paraId="7A789F6D" w14:textId="77777777" w:rsidR="00CB2594" w:rsidRPr="007434DA" w:rsidRDefault="00CB2594" w:rsidP="004A57B3">
            <w:pPr>
              <w:jc w:val="center"/>
              <w:rPr>
                <w:sz w:val="20"/>
              </w:rPr>
            </w:pPr>
            <w:r w:rsidRPr="007434DA">
              <w:rPr>
                <w:sz w:val="20"/>
              </w:rPr>
              <w:t>1 367</w:t>
            </w:r>
          </w:p>
        </w:tc>
        <w:tc>
          <w:tcPr>
            <w:tcW w:w="1194" w:type="dxa"/>
            <w:noWrap/>
            <w:hideMark/>
          </w:tcPr>
          <w:p w14:paraId="008917D5" w14:textId="77777777" w:rsidR="00CB2594" w:rsidRPr="007434DA" w:rsidRDefault="00CB2594" w:rsidP="004A57B3">
            <w:pPr>
              <w:jc w:val="center"/>
              <w:rPr>
                <w:sz w:val="20"/>
              </w:rPr>
            </w:pPr>
            <w:r w:rsidRPr="007434DA">
              <w:rPr>
                <w:sz w:val="20"/>
              </w:rPr>
              <w:t>10.39</w:t>
            </w:r>
          </w:p>
        </w:tc>
        <w:tc>
          <w:tcPr>
            <w:tcW w:w="842" w:type="dxa"/>
            <w:noWrap/>
            <w:hideMark/>
          </w:tcPr>
          <w:p w14:paraId="2663E3FA" w14:textId="77777777" w:rsidR="00CB2594" w:rsidRPr="007434DA" w:rsidRDefault="00CB2594" w:rsidP="004A57B3">
            <w:pPr>
              <w:jc w:val="center"/>
              <w:rPr>
                <w:sz w:val="20"/>
              </w:rPr>
            </w:pPr>
            <w:r w:rsidRPr="007434DA">
              <w:rPr>
                <w:sz w:val="20"/>
              </w:rPr>
              <w:t>1.02</w:t>
            </w:r>
          </w:p>
        </w:tc>
        <w:tc>
          <w:tcPr>
            <w:tcW w:w="1150" w:type="dxa"/>
            <w:noWrap/>
            <w:hideMark/>
          </w:tcPr>
          <w:p w14:paraId="612DBDFE" w14:textId="77777777" w:rsidR="00CB2594" w:rsidRPr="007434DA" w:rsidRDefault="00CB2594" w:rsidP="004A57B3">
            <w:pPr>
              <w:jc w:val="center"/>
              <w:rPr>
                <w:sz w:val="20"/>
              </w:rPr>
            </w:pPr>
            <w:r w:rsidRPr="007434DA">
              <w:rPr>
                <w:sz w:val="20"/>
              </w:rPr>
              <w:t>5.918</w:t>
            </w:r>
          </w:p>
        </w:tc>
      </w:tr>
      <w:tr w:rsidR="00CB2594" w:rsidRPr="007434DA" w14:paraId="4C4651F8" w14:textId="77777777" w:rsidTr="00F90F35">
        <w:trPr>
          <w:trHeight w:val="255"/>
        </w:trPr>
        <w:tc>
          <w:tcPr>
            <w:tcW w:w="1749" w:type="dxa"/>
            <w:noWrap/>
            <w:hideMark/>
          </w:tcPr>
          <w:p w14:paraId="2382F5DC" w14:textId="77777777" w:rsidR="00CB2594" w:rsidRPr="007434DA" w:rsidRDefault="00CB2594" w:rsidP="004A57B3">
            <w:pPr>
              <w:rPr>
                <w:b/>
                <w:bCs/>
                <w:sz w:val="20"/>
              </w:rPr>
            </w:pPr>
            <w:r w:rsidRPr="007434DA">
              <w:rPr>
                <w:b/>
                <w:bCs/>
                <w:sz w:val="20"/>
              </w:rPr>
              <w:t>4/řepka</w:t>
            </w:r>
          </w:p>
        </w:tc>
        <w:tc>
          <w:tcPr>
            <w:tcW w:w="2872" w:type="dxa"/>
            <w:hideMark/>
          </w:tcPr>
          <w:p w14:paraId="721EADE5" w14:textId="77777777" w:rsidR="00CB2594" w:rsidRPr="007434DA" w:rsidRDefault="00CB2594" w:rsidP="004A57B3">
            <w:pPr>
              <w:rPr>
                <w:b/>
                <w:bCs/>
                <w:sz w:val="20"/>
              </w:rPr>
            </w:pPr>
            <w:r w:rsidRPr="007434DA">
              <w:rPr>
                <w:b/>
                <w:bCs/>
                <w:sz w:val="20"/>
              </w:rPr>
              <w:t>dimethachlor a jeho metabolity</w:t>
            </w:r>
          </w:p>
        </w:tc>
        <w:tc>
          <w:tcPr>
            <w:tcW w:w="1254" w:type="dxa"/>
            <w:noWrap/>
            <w:hideMark/>
          </w:tcPr>
          <w:p w14:paraId="1E021424" w14:textId="77777777" w:rsidR="00CB2594" w:rsidRPr="007434DA" w:rsidRDefault="00CB2594" w:rsidP="004A57B3">
            <w:pPr>
              <w:jc w:val="center"/>
              <w:rPr>
                <w:sz w:val="20"/>
              </w:rPr>
            </w:pPr>
            <w:r w:rsidRPr="007434DA">
              <w:rPr>
                <w:sz w:val="20"/>
              </w:rPr>
              <w:t>1 367</w:t>
            </w:r>
          </w:p>
        </w:tc>
        <w:tc>
          <w:tcPr>
            <w:tcW w:w="1194" w:type="dxa"/>
            <w:noWrap/>
            <w:hideMark/>
          </w:tcPr>
          <w:p w14:paraId="50CB7CEC" w14:textId="77777777" w:rsidR="00CB2594" w:rsidRPr="007434DA" w:rsidRDefault="00CB2594" w:rsidP="004A57B3">
            <w:pPr>
              <w:jc w:val="center"/>
              <w:rPr>
                <w:sz w:val="20"/>
              </w:rPr>
            </w:pPr>
            <w:r w:rsidRPr="007434DA">
              <w:rPr>
                <w:sz w:val="20"/>
              </w:rPr>
              <w:t>2.34</w:t>
            </w:r>
          </w:p>
        </w:tc>
        <w:tc>
          <w:tcPr>
            <w:tcW w:w="842" w:type="dxa"/>
            <w:noWrap/>
            <w:hideMark/>
          </w:tcPr>
          <w:p w14:paraId="29844D64" w14:textId="77777777" w:rsidR="00CB2594" w:rsidRPr="007434DA" w:rsidRDefault="00CB2594" w:rsidP="004A57B3">
            <w:pPr>
              <w:jc w:val="center"/>
              <w:rPr>
                <w:sz w:val="20"/>
              </w:rPr>
            </w:pPr>
            <w:r w:rsidRPr="007434DA">
              <w:rPr>
                <w:sz w:val="20"/>
              </w:rPr>
              <w:t>0.15</w:t>
            </w:r>
          </w:p>
        </w:tc>
        <w:tc>
          <w:tcPr>
            <w:tcW w:w="1150" w:type="dxa"/>
            <w:noWrap/>
            <w:hideMark/>
          </w:tcPr>
          <w:p w14:paraId="5399BF22" w14:textId="77777777" w:rsidR="00CB2594" w:rsidRPr="007434DA" w:rsidRDefault="00CB2594" w:rsidP="004A57B3">
            <w:pPr>
              <w:jc w:val="center"/>
              <w:rPr>
                <w:sz w:val="20"/>
              </w:rPr>
            </w:pPr>
            <w:r w:rsidRPr="007434DA">
              <w:rPr>
                <w:sz w:val="20"/>
              </w:rPr>
              <w:t>1.55</w:t>
            </w:r>
          </w:p>
        </w:tc>
      </w:tr>
      <w:tr w:rsidR="00CB2594" w:rsidRPr="007434DA" w14:paraId="25E01D9B" w14:textId="77777777" w:rsidTr="00F90F35">
        <w:trPr>
          <w:trHeight w:val="255"/>
        </w:trPr>
        <w:tc>
          <w:tcPr>
            <w:tcW w:w="1749" w:type="dxa"/>
            <w:noWrap/>
            <w:hideMark/>
          </w:tcPr>
          <w:p w14:paraId="40C37009" w14:textId="77777777" w:rsidR="00CB2594" w:rsidRPr="007434DA" w:rsidRDefault="00CB2594" w:rsidP="004A57B3">
            <w:pPr>
              <w:rPr>
                <w:b/>
                <w:bCs/>
                <w:sz w:val="20"/>
              </w:rPr>
            </w:pPr>
            <w:r w:rsidRPr="007434DA">
              <w:rPr>
                <w:b/>
                <w:bCs/>
                <w:sz w:val="20"/>
              </w:rPr>
              <w:t>5/řepka/cukrovka</w:t>
            </w:r>
          </w:p>
        </w:tc>
        <w:tc>
          <w:tcPr>
            <w:tcW w:w="2872" w:type="dxa"/>
            <w:hideMark/>
          </w:tcPr>
          <w:p w14:paraId="24ADD40D" w14:textId="77777777" w:rsidR="00CB2594" w:rsidRPr="007434DA" w:rsidRDefault="00CB2594" w:rsidP="004A57B3">
            <w:pPr>
              <w:rPr>
                <w:b/>
                <w:bCs/>
                <w:sz w:val="20"/>
              </w:rPr>
            </w:pPr>
            <w:r w:rsidRPr="007434DA">
              <w:rPr>
                <w:b/>
                <w:bCs/>
                <w:sz w:val="20"/>
              </w:rPr>
              <w:t>clopyralid</w:t>
            </w:r>
          </w:p>
        </w:tc>
        <w:tc>
          <w:tcPr>
            <w:tcW w:w="1254" w:type="dxa"/>
            <w:noWrap/>
            <w:hideMark/>
          </w:tcPr>
          <w:p w14:paraId="3BACB4D7" w14:textId="77777777" w:rsidR="00CB2594" w:rsidRPr="007434DA" w:rsidRDefault="00CB2594" w:rsidP="004A57B3">
            <w:pPr>
              <w:jc w:val="center"/>
              <w:rPr>
                <w:sz w:val="20"/>
              </w:rPr>
            </w:pPr>
            <w:r w:rsidRPr="007434DA">
              <w:rPr>
                <w:sz w:val="20"/>
              </w:rPr>
              <w:t>1 367</w:t>
            </w:r>
          </w:p>
        </w:tc>
        <w:tc>
          <w:tcPr>
            <w:tcW w:w="1194" w:type="dxa"/>
            <w:noWrap/>
            <w:hideMark/>
          </w:tcPr>
          <w:p w14:paraId="6BA265D5" w14:textId="77777777" w:rsidR="00CB2594" w:rsidRPr="007434DA" w:rsidRDefault="00CB2594" w:rsidP="004A57B3">
            <w:pPr>
              <w:jc w:val="center"/>
              <w:rPr>
                <w:sz w:val="20"/>
              </w:rPr>
            </w:pPr>
            <w:r w:rsidRPr="007434DA">
              <w:rPr>
                <w:sz w:val="20"/>
              </w:rPr>
              <w:t>0.37</w:t>
            </w:r>
          </w:p>
        </w:tc>
        <w:tc>
          <w:tcPr>
            <w:tcW w:w="842" w:type="dxa"/>
            <w:noWrap/>
            <w:hideMark/>
          </w:tcPr>
          <w:p w14:paraId="50299264" w14:textId="77777777" w:rsidR="00CB2594" w:rsidRPr="007434DA" w:rsidRDefault="00CB2594" w:rsidP="004A57B3">
            <w:pPr>
              <w:jc w:val="center"/>
              <w:rPr>
                <w:sz w:val="20"/>
              </w:rPr>
            </w:pPr>
            <w:r w:rsidRPr="007434DA">
              <w:rPr>
                <w:sz w:val="20"/>
              </w:rPr>
              <w:t>0.07</w:t>
            </w:r>
          </w:p>
        </w:tc>
        <w:tc>
          <w:tcPr>
            <w:tcW w:w="1150" w:type="dxa"/>
            <w:noWrap/>
            <w:hideMark/>
          </w:tcPr>
          <w:p w14:paraId="65E1E376" w14:textId="77777777" w:rsidR="00CB2594" w:rsidRPr="007434DA" w:rsidRDefault="00CB2594" w:rsidP="004A57B3">
            <w:pPr>
              <w:jc w:val="center"/>
              <w:rPr>
                <w:sz w:val="20"/>
              </w:rPr>
            </w:pPr>
            <w:r w:rsidRPr="007434DA">
              <w:rPr>
                <w:sz w:val="20"/>
              </w:rPr>
              <w:t>1.69</w:t>
            </w:r>
          </w:p>
        </w:tc>
      </w:tr>
      <w:tr w:rsidR="00CB2594" w:rsidRPr="007434DA" w14:paraId="46B45A5A" w14:textId="77777777" w:rsidTr="00F90F35">
        <w:trPr>
          <w:trHeight w:val="255"/>
        </w:trPr>
        <w:tc>
          <w:tcPr>
            <w:tcW w:w="1749" w:type="dxa"/>
            <w:noWrap/>
            <w:hideMark/>
          </w:tcPr>
          <w:p w14:paraId="21DC80D4" w14:textId="77777777" w:rsidR="00CB2594" w:rsidRPr="007434DA" w:rsidRDefault="00CB2594" w:rsidP="004A57B3">
            <w:pPr>
              <w:rPr>
                <w:b/>
                <w:bCs/>
                <w:sz w:val="20"/>
              </w:rPr>
            </w:pPr>
            <w:r w:rsidRPr="007434DA">
              <w:rPr>
                <w:b/>
                <w:bCs/>
                <w:sz w:val="20"/>
              </w:rPr>
              <w:t>6/kukuřice</w:t>
            </w:r>
          </w:p>
        </w:tc>
        <w:tc>
          <w:tcPr>
            <w:tcW w:w="2872" w:type="dxa"/>
            <w:hideMark/>
          </w:tcPr>
          <w:p w14:paraId="2346FD5D" w14:textId="77777777" w:rsidR="00CB2594" w:rsidRPr="007434DA" w:rsidRDefault="00CB2594" w:rsidP="004A57B3">
            <w:pPr>
              <w:rPr>
                <w:b/>
                <w:bCs/>
                <w:sz w:val="20"/>
              </w:rPr>
            </w:pPr>
            <w:r w:rsidRPr="007434DA">
              <w:rPr>
                <w:b/>
                <w:bCs/>
                <w:sz w:val="20"/>
              </w:rPr>
              <w:t>terbuthylazin a jeho metabolity</w:t>
            </w:r>
          </w:p>
        </w:tc>
        <w:tc>
          <w:tcPr>
            <w:tcW w:w="1254" w:type="dxa"/>
            <w:noWrap/>
            <w:hideMark/>
          </w:tcPr>
          <w:p w14:paraId="7572A309" w14:textId="77777777" w:rsidR="00CB2594" w:rsidRPr="007434DA" w:rsidRDefault="00CB2594" w:rsidP="004A57B3">
            <w:pPr>
              <w:jc w:val="center"/>
              <w:rPr>
                <w:sz w:val="20"/>
              </w:rPr>
            </w:pPr>
            <w:r w:rsidRPr="007434DA">
              <w:rPr>
                <w:sz w:val="20"/>
              </w:rPr>
              <w:t>1 367</w:t>
            </w:r>
          </w:p>
        </w:tc>
        <w:tc>
          <w:tcPr>
            <w:tcW w:w="1194" w:type="dxa"/>
            <w:noWrap/>
            <w:hideMark/>
          </w:tcPr>
          <w:p w14:paraId="49E590B2" w14:textId="77777777" w:rsidR="00CB2594" w:rsidRPr="007434DA" w:rsidRDefault="00CB2594" w:rsidP="004A57B3">
            <w:pPr>
              <w:jc w:val="center"/>
              <w:rPr>
                <w:sz w:val="20"/>
              </w:rPr>
            </w:pPr>
            <w:r w:rsidRPr="007434DA">
              <w:rPr>
                <w:sz w:val="20"/>
              </w:rPr>
              <w:t>0.51</w:t>
            </w:r>
          </w:p>
        </w:tc>
        <w:tc>
          <w:tcPr>
            <w:tcW w:w="842" w:type="dxa"/>
            <w:noWrap/>
            <w:hideMark/>
          </w:tcPr>
          <w:p w14:paraId="06ECE365" w14:textId="77777777" w:rsidR="00CB2594" w:rsidRPr="007434DA" w:rsidRDefault="00CB2594" w:rsidP="004A57B3">
            <w:pPr>
              <w:jc w:val="center"/>
              <w:rPr>
                <w:sz w:val="20"/>
              </w:rPr>
            </w:pPr>
            <w:r w:rsidRPr="007434DA">
              <w:rPr>
                <w:sz w:val="20"/>
              </w:rPr>
              <w:t>0.15</w:t>
            </w:r>
          </w:p>
        </w:tc>
        <w:tc>
          <w:tcPr>
            <w:tcW w:w="1150" w:type="dxa"/>
            <w:noWrap/>
            <w:hideMark/>
          </w:tcPr>
          <w:p w14:paraId="48DC4E4A" w14:textId="77777777" w:rsidR="00CB2594" w:rsidRPr="007434DA" w:rsidRDefault="00CB2594" w:rsidP="004A57B3">
            <w:pPr>
              <w:jc w:val="center"/>
              <w:rPr>
                <w:sz w:val="20"/>
              </w:rPr>
            </w:pPr>
            <w:r w:rsidRPr="007434DA">
              <w:rPr>
                <w:sz w:val="20"/>
              </w:rPr>
              <w:t>6.272</w:t>
            </w:r>
          </w:p>
        </w:tc>
      </w:tr>
    </w:tbl>
    <w:p w14:paraId="0FFB1700" w14:textId="77777777" w:rsidR="00CB2594" w:rsidRPr="007434DA" w:rsidRDefault="00CB2594" w:rsidP="001004A0">
      <w:pPr>
        <w:pStyle w:val="UZEIZdroj"/>
        <w:rPr>
          <w:lang w:eastAsia="cs-CZ"/>
        </w:rPr>
      </w:pPr>
      <w:r w:rsidRPr="007434DA">
        <w:rPr>
          <w:lang w:eastAsia="cs-CZ"/>
        </w:rPr>
        <w:t>Pramen: ČHMÚ</w:t>
      </w:r>
    </w:p>
    <w:p w14:paraId="65883A56" w14:textId="11F73C9B" w:rsidR="00CB2594" w:rsidRPr="007434DA" w:rsidRDefault="00CB2594" w:rsidP="004C360A">
      <w:pPr>
        <w:pStyle w:val="UZEIZdroj"/>
        <w:rPr>
          <w:lang w:eastAsia="cs-CZ"/>
        </w:rPr>
      </w:pPr>
      <w:r w:rsidRPr="007434DA">
        <w:rPr>
          <w:lang w:eastAsia="cs-CZ"/>
        </w:rPr>
        <w:t>Pozn.: Roky 2014-2017 uvedeny v tab. v příloze A1, tab. A1</w:t>
      </w:r>
    </w:p>
    <w:p w14:paraId="3632E569" w14:textId="19EFA5D6" w:rsidR="00CB2594" w:rsidRPr="007434DA" w:rsidRDefault="00CB2594" w:rsidP="004C360A">
      <w:pPr>
        <w:pStyle w:val="UZEINormaln"/>
      </w:pPr>
      <w:r w:rsidRPr="007434DA">
        <w:t xml:space="preserve">V tabulce </w:t>
      </w:r>
      <w:r w:rsidR="004C360A" w:rsidRPr="007434DA">
        <w:t>9</w:t>
      </w:r>
      <w:r w:rsidRPr="007434DA">
        <w:t xml:space="preserve"> bylo provedeno zpracování následovně: Nadlimitní výskyt nad 0,1 µg/l (%) - uvedeno procento vzorků, kde alespoň jedna látka překročila koncentraci 0,1 µg/l. Výskyt nad 1 µg/l (%) </w:t>
      </w:r>
      <w:r w:rsidRPr="007434DA">
        <w:noBreakHyphen/>
        <w:t xml:space="preserve"> vedeno procento vzorků, kde alespoň jedna látka překročila koncentraci 1 µg/l. Výskyt v součtu nad 3 µg/l (%) -  uvedeno procento vzorků, kde suma všech posuzovaných látek překročila koncentraci 3 µg/l (pro výpočet sumárních koncentrací do výpočtu vstupovaly hodnoty pod mezí stanovitelnosti jako hodnota nula).</w:t>
      </w:r>
    </w:p>
    <w:p w14:paraId="5997C3C3" w14:textId="77777777" w:rsidR="00CB2594" w:rsidRPr="007434DA" w:rsidRDefault="00CB2594" w:rsidP="00CB2594">
      <w:pPr>
        <w:spacing w:line="360" w:lineRule="atLeast"/>
        <w:ind w:firstLine="567"/>
        <w:rPr>
          <w:rFonts w:ascii="Arial" w:eastAsia="Times New Roman" w:hAnsi="Arial" w:cs="Arial"/>
          <w:color w:val="000000"/>
          <w:sz w:val="20"/>
          <w:szCs w:val="20"/>
          <w:lang w:val="cs-CZ" w:eastAsia="cs-CZ"/>
        </w:rPr>
      </w:pPr>
    </w:p>
    <w:p w14:paraId="2E3DE8C8" w14:textId="77777777" w:rsidR="00CB2594" w:rsidRPr="007434DA" w:rsidRDefault="00CB2594" w:rsidP="00CB2594">
      <w:pPr>
        <w:spacing w:line="360" w:lineRule="atLeast"/>
        <w:ind w:firstLine="567"/>
        <w:rPr>
          <w:rFonts w:ascii="Arial" w:eastAsia="Times New Roman" w:hAnsi="Arial" w:cs="Arial"/>
          <w:color w:val="000000"/>
          <w:sz w:val="20"/>
          <w:szCs w:val="20"/>
          <w:lang w:val="cs-CZ" w:eastAsia="cs-CZ"/>
        </w:rPr>
      </w:pPr>
    </w:p>
    <w:p w14:paraId="18180B70" w14:textId="77777777" w:rsidR="00CB2594" w:rsidRPr="007434DA" w:rsidRDefault="00CB2594" w:rsidP="00CB2594">
      <w:pPr>
        <w:spacing w:line="360" w:lineRule="atLeast"/>
        <w:ind w:firstLine="567"/>
        <w:rPr>
          <w:rFonts w:ascii="Arial" w:eastAsia="Times New Roman" w:hAnsi="Arial" w:cs="Arial"/>
          <w:color w:val="000000"/>
          <w:sz w:val="20"/>
          <w:szCs w:val="20"/>
          <w:lang w:val="cs-CZ" w:eastAsia="cs-CZ"/>
        </w:rPr>
      </w:pPr>
    </w:p>
    <w:p w14:paraId="6D7B85CD" w14:textId="77777777" w:rsidR="00CB2594" w:rsidRPr="007434DA" w:rsidRDefault="00CB2594" w:rsidP="00CB2594">
      <w:pPr>
        <w:spacing w:line="360" w:lineRule="atLeast"/>
        <w:ind w:firstLine="567"/>
        <w:rPr>
          <w:rFonts w:ascii="Arial" w:eastAsia="Times New Roman" w:hAnsi="Arial" w:cs="Arial"/>
          <w:color w:val="000000"/>
          <w:sz w:val="20"/>
          <w:szCs w:val="20"/>
          <w:lang w:val="cs-CZ" w:eastAsia="cs-CZ"/>
        </w:rPr>
      </w:pPr>
    </w:p>
    <w:p w14:paraId="36C8F991" w14:textId="77777777" w:rsidR="00CB2594" w:rsidRPr="007434DA" w:rsidRDefault="00CB2594" w:rsidP="00CB2594">
      <w:pPr>
        <w:spacing w:line="360" w:lineRule="atLeast"/>
        <w:ind w:firstLine="567"/>
        <w:rPr>
          <w:rFonts w:ascii="Arial" w:eastAsia="Times New Roman" w:hAnsi="Arial" w:cs="Arial"/>
          <w:color w:val="000000"/>
          <w:sz w:val="20"/>
          <w:szCs w:val="20"/>
          <w:lang w:val="cs-CZ" w:eastAsia="cs-CZ"/>
        </w:rPr>
      </w:pPr>
    </w:p>
    <w:p w14:paraId="512FC607" w14:textId="37B5D2D6" w:rsidR="00CB2594" w:rsidRPr="007434DA" w:rsidRDefault="00CB2594" w:rsidP="002622E7">
      <w:pPr>
        <w:pStyle w:val="UZEITaB"/>
        <w:ind w:left="993" w:hanging="993"/>
      </w:pPr>
      <w:bookmarkStart w:id="125" w:name="_Toc94095282"/>
      <w:r w:rsidRPr="007434DA">
        <w:t>Přehled výskytu posuzovaných látek*v podzemních vodách ČR v letech 2014-2018</w:t>
      </w:r>
      <w:bookmarkEnd w:id="125"/>
    </w:p>
    <w:tbl>
      <w:tblPr>
        <w:tblStyle w:val="Mkatabulky"/>
        <w:tblW w:w="9322" w:type="dxa"/>
        <w:tblLayout w:type="fixed"/>
        <w:tblLook w:val="04A0" w:firstRow="1" w:lastRow="0" w:firstColumn="1" w:lastColumn="0" w:noHBand="0" w:noVBand="1"/>
      </w:tblPr>
      <w:tblGrid>
        <w:gridCol w:w="675"/>
        <w:gridCol w:w="1447"/>
        <w:gridCol w:w="1672"/>
        <w:gridCol w:w="1276"/>
        <w:gridCol w:w="1275"/>
        <w:gridCol w:w="1418"/>
        <w:gridCol w:w="1559"/>
      </w:tblGrid>
      <w:tr w:rsidR="00CB2594" w:rsidRPr="007434DA" w14:paraId="00A0FF9A" w14:textId="77777777" w:rsidTr="004A57B3">
        <w:trPr>
          <w:trHeight w:val="1290"/>
        </w:trPr>
        <w:tc>
          <w:tcPr>
            <w:tcW w:w="675" w:type="dxa"/>
            <w:hideMark/>
          </w:tcPr>
          <w:p w14:paraId="30CCE10C" w14:textId="77777777" w:rsidR="00CB2594" w:rsidRPr="007434DA" w:rsidRDefault="00CB2594" w:rsidP="004A57B3">
            <w:pPr>
              <w:rPr>
                <w:b/>
                <w:bCs/>
                <w:sz w:val="20"/>
              </w:rPr>
            </w:pPr>
            <w:r w:rsidRPr="007434DA">
              <w:rPr>
                <w:b/>
                <w:bCs/>
                <w:sz w:val="20"/>
              </w:rPr>
              <w:t>Rok</w:t>
            </w:r>
          </w:p>
        </w:tc>
        <w:tc>
          <w:tcPr>
            <w:tcW w:w="1447" w:type="dxa"/>
            <w:hideMark/>
          </w:tcPr>
          <w:p w14:paraId="3EE24F6B" w14:textId="77777777" w:rsidR="00CB2594" w:rsidRPr="007434DA" w:rsidRDefault="00CB2594" w:rsidP="004A57B3">
            <w:pPr>
              <w:jc w:val="center"/>
              <w:rPr>
                <w:b/>
                <w:bCs/>
                <w:sz w:val="20"/>
              </w:rPr>
            </w:pPr>
            <w:r w:rsidRPr="007434DA">
              <w:rPr>
                <w:b/>
                <w:bCs/>
                <w:sz w:val="20"/>
              </w:rPr>
              <w:t>Počet odebraných vzorků</w:t>
            </w:r>
          </w:p>
        </w:tc>
        <w:tc>
          <w:tcPr>
            <w:tcW w:w="1672" w:type="dxa"/>
            <w:hideMark/>
          </w:tcPr>
          <w:p w14:paraId="0B0D8F58" w14:textId="77777777" w:rsidR="00CB2594" w:rsidRPr="007434DA" w:rsidRDefault="00CB2594" w:rsidP="004A57B3">
            <w:pPr>
              <w:jc w:val="center"/>
              <w:rPr>
                <w:b/>
                <w:bCs/>
                <w:sz w:val="20"/>
              </w:rPr>
            </w:pPr>
            <w:r w:rsidRPr="007434DA">
              <w:rPr>
                <w:b/>
                <w:bCs/>
                <w:sz w:val="20"/>
              </w:rPr>
              <w:t>Bez výskytu reziduí - pod mezí stanovitelnosti (%)</w:t>
            </w:r>
          </w:p>
        </w:tc>
        <w:tc>
          <w:tcPr>
            <w:tcW w:w="1276" w:type="dxa"/>
            <w:hideMark/>
          </w:tcPr>
          <w:p w14:paraId="2240E3C9" w14:textId="77777777" w:rsidR="00CB2594" w:rsidRPr="007434DA" w:rsidRDefault="00CB2594" w:rsidP="004A57B3">
            <w:pPr>
              <w:jc w:val="center"/>
              <w:rPr>
                <w:b/>
                <w:bCs/>
                <w:sz w:val="20"/>
              </w:rPr>
            </w:pPr>
            <w:r w:rsidRPr="007434DA">
              <w:rPr>
                <w:b/>
                <w:bCs/>
                <w:sz w:val="20"/>
              </w:rPr>
              <w:t>Nadlimitní výskyt nad 0,1 µg/l (%)</w:t>
            </w:r>
          </w:p>
        </w:tc>
        <w:tc>
          <w:tcPr>
            <w:tcW w:w="1275" w:type="dxa"/>
            <w:hideMark/>
          </w:tcPr>
          <w:p w14:paraId="2E6F4E11" w14:textId="77777777" w:rsidR="00CB2594" w:rsidRPr="007434DA" w:rsidRDefault="00CB2594" w:rsidP="004A57B3">
            <w:pPr>
              <w:jc w:val="center"/>
              <w:rPr>
                <w:b/>
                <w:bCs/>
                <w:sz w:val="20"/>
              </w:rPr>
            </w:pPr>
            <w:r w:rsidRPr="007434DA">
              <w:rPr>
                <w:b/>
                <w:bCs/>
                <w:sz w:val="20"/>
              </w:rPr>
              <w:t>Výskyt nad 1 µg/l (%)</w:t>
            </w:r>
          </w:p>
        </w:tc>
        <w:tc>
          <w:tcPr>
            <w:tcW w:w="1418" w:type="dxa"/>
            <w:hideMark/>
          </w:tcPr>
          <w:p w14:paraId="7F12B6EB" w14:textId="77777777" w:rsidR="00CB2594" w:rsidRPr="007434DA" w:rsidRDefault="00CB2594" w:rsidP="004A57B3">
            <w:pPr>
              <w:jc w:val="center"/>
              <w:rPr>
                <w:b/>
                <w:bCs/>
                <w:sz w:val="20"/>
              </w:rPr>
            </w:pPr>
            <w:r w:rsidRPr="007434DA">
              <w:rPr>
                <w:b/>
                <w:bCs/>
                <w:sz w:val="20"/>
              </w:rPr>
              <w:t>Výskyt v součtu nad 3 µg/l (%)</w:t>
            </w:r>
          </w:p>
        </w:tc>
        <w:tc>
          <w:tcPr>
            <w:tcW w:w="1559" w:type="dxa"/>
            <w:hideMark/>
          </w:tcPr>
          <w:p w14:paraId="0C003FEC" w14:textId="77777777" w:rsidR="00CB2594" w:rsidRPr="007434DA" w:rsidRDefault="00CB2594" w:rsidP="004A57B3">
            <w:pPr>
              <w:jc w:val="center"/>
              <w:rPr>
                <w:b/>
                <w:bCs/>
                <w:sz w:val="20"/>
              </w:rPr>
            </w:pPr>
            <w:r w:rsidRPr="007434DA">
              <w:rPr>
                <w:b/>
                <w:bCs/>
                <w:sz w:val="20"/>
              </w:rPr>
              <w:t>Maximální počet látek nad limitem 0,1 µg/l (počet)</w:t>
            </w:r>
          </w:p>
        </w:tc>
      </w:tr>
      <w:tr w:rsidR="00CB2594" w:rsidRPr="007434DA" w14:paraId="4E5E586A" w14:textId="77777777" w:rsidTr="004A57B3">
        <w:trPr>
          <w:trHeight w:val="255"/>
        </w:trPr>
        <w:tc>
          <w:tcPr>
            <w:tcW w:w="675" w:type="dxa"/>
            <w:noWrap/>
            <w:hideMark/>
          </w:tcPr>
          <w:p w14:paraId="3B7A79A2" w14:textId="77777777" w:rsidR="00CB2594" w:rsidRPr="007434DA" w:rsidRDefault="00CB2594" w:rsidP="004A57B3">
            <w:pPr>
              <w:rPr>
                <w:b/>
                <w:bCs/>
                <w:sz w:val="20"/>
              </w:rPr>
            </w:pPr>
            <w:r w:rsidRPr="007434DA">
              <w:rPr>
                <w:b/>
                <w:bCs/>
                <w:sz w:val="20"/>
              </w:rPr>
              <w:t>2014</w:t>
            </w:r>
          </w:p>
        </w:tc>
        <w:tc>
          <w:tcPr>
            <w:tcW w:w="1447" w:type="dxa"/>
            <w:noWrap/>
            <w:hideMark/>
          </w:tcPr>
          <w:p w14:paraId="649908A7" w14:textId="77777777" w:rsidR="00CB2594" w:rsidRPr="007434DA" w:rsidRDefault="00CB2594" w:rsidP="004A57B3">
            <w:pPr>
              <w:jc w:val="center"/>
              <w:rPr>
                <w:sz w:val="20"/>
              </w:rPr>
            </w:pPr>
            <w:r w:rsidRPr="007434DA">
              <w:rPr>
                <w:sz w:val="20"/>
              </w:rPr>
              <w:t>1 323</w:t>
            </w:r>
          </w:p>
        </w:tc>
        <w:tc>
          <w:tcPr>
            <w:tcW w:w="1672" w:type="dxa"/>
            <w:noWrap/>
            <w:hideMark/>
          </w:tcPr>
          <w:p w14:paraId="5DEDDAF0" w14:textId="77777777" w:rsidR="00CB2594" w:rsidRPr="007434DA" w:rsidRDefault="00CB2594" w:rsidP="004A57B3">
            <w:pPr>
              <w:jc w:val="center"/>
              <w:rPr>
                <w:sz w:val="20"/>
              </w:rPr>
            </w:pPr>
            <w:r w:rsidRPr="007434DA">
              <w:rPr>
                <w:sz w:val="20"/>
              </w:rPr>
              <w:t>58,13</w:t>
            </w:r>
          </w:p>
        </w:tc>
        <w:tc>
          <w:tcPr>
            <w:tcW w:w="1276" w:type="dxa"/>
            <w:noWrap/>
            <w:hideMark/>
          </w:tcPr>
          <w:p w14:paraId="08F51517" w14:textId="77777777" w:rsidR="00CB2594" w:rsidRPr="007434DA" w:rsidRDefault="00CB2594" w:rsidP="004A57B3">
            <w:pPr>
              <w:jc w:val="center"/>
              <w:rPr>
                <w:sz w:val="20"/>
              </w:rPr>
            </w:pPr>
            <w:r w:rsidRPr="007434DA">
              <w:rPr>
                <w:sz w:val="20"/>
              </w:rPr>
              <w:t>31,75</w:t>
            </w:r>
          </w:p>
        </w:tc>
        <w:tc>
          <w:tcPr>
            <w:tcW w:w="1275" w:type="dxa"/>
            <w:noWrap/>
            <w:hideMark/>
          </w:tcPr>
          <w:p w14:paraId="3D36B60C" w14:textId="77777777" w:rsidR="00CB2594" w:rsidRPr="007434DA" w:rsidRDefault="00CB2594" w:rsidP="004A57B3">
            <w:pPr>
              <w:ind w:right="246"/>
              <w:jc w:val="right"/>
              <w:rPr>
                <w:sz w:val="20"/>
              </w:rPr>
            </w:pPr>
            <w:r w:rsidRPr="007434DA">
              <w:rPr>
                <w:sz w:val="20"/>
              </w:rPr>
              <w:t>10,43</w:t>
            </w:r>
          </w:p>
        </w:tc>
        <w:tc>
          <w:tcPr>
            <w:tcW w:w="1418" w:type="dxa"/>
            <w:noWrap/>
            <w:hideMark/>
          </w:tcPr>
          <w:p w14:paraId="76F2C804" w14:textId="77777777" w:rsidR="00CB2594" w:rsidRPr="007434DA" w:rsidRDefault="00CB2594" w:rsidP="004A57B3">
            <w:pPr>
              <w:jc w:val="center"/>
              <w:rPr>
                <w:sz w:val="20"/>
              </w:rPr>
            </w:pPr>
            <w:r w:rsidRPr="007434DA">
              <w:rPr>
                <w:sz w:val="20"/>
              </w:rPr>
              <w:t>4,84</w:t>
            </w:r>
          </w:p>
        </w:tc>
        <w:tc>
          <w:tcPr>
            <w:tcW w:w="1559" w:type="dxa"/>
            <w:noWrap/>
            <w:hideMark/>
          </w:tcPr>
          <w:p w14:paraId="5AF0439A" w14:textId="77777777" w:rsidR="00CB2594" w:rsidRPr="007434DA" w:rsidRDefault="00CB2594" w:rsidP="004A57B3">
            <w:pPr>
              <w:jc w:val="center"/>
              <w:rPr>
                <w:sz w:val="20"/>
              </w:rPr>
            </w:pPr>
            <w:r w:rsidRPr="007434DA">
              <w:rPr>
                <w:sz w:val="20"/>
              </w:rPr>
              <w:t>7</w:t>
            </w:r>
          </w:p>
        </w:tc>
      </w:tr>
      <w:tr w:rsidR="00CB2594" w:rsidRPr="007434DA" w14:paraId="108A4C0C" w14:textId="77777777" w:rsidTr="004A57B3">
        <w:trPr>
          <w:trHeight w:val="255"/>
        </w:trPr>
        <w:tc>
          <w:tcPr>
            <w:tcW w:w="675" w:type="dxa"/>
            <w:noWrap/>
            <w:hideMark/>
          </w:tcPr>
          <w:p w14:paraId="1472C2D0" w14:textId="77777777" w:rsidR="00CB2594" w:rsidRPr="007434DA" w:rsidRDefault="00CB2594" w:rsidP="004A57B3">
            <w:pPr>
              <w:rPr>
                <w:b/>
                <w:bCs/>
                <w:sz w:val="20"/>
              </w:rPr>
            </w:pPr>
            <w:r w:rsidRPr="007434DA">
              <w:rPr>
                <w:b/>
                <w:bCs/>
                <w:sz w:val="20"/>
              </w:rPr>
              <w:t>2015</w:t>
            </w:r>
          </w:p>
        </w:tc>
        <w:tc>
          <w:tcPr>
            <w:tcW w:w="1447" w:type="dxa"/>
            <w:noWrap/>
            <w:hideMark/>
          </w:tcPr>
          <w:p w14:paraId="11A8530C" w14:textId="77777777" w:rsidR="00CB2594" w:rsidRPr="007434DA" w:rsidRDefault="00CB2594" w:rsidP="004A57B3">
            <w:pPr>
              <w:jc w:val="center"/>
              <w:rPr>
                <w:sz w:val="20"/>
              </w:rPr>
            </w:pPr>
            <w:r w:rsidRPr="007434DA">
              <w:rPr>
                <w:sz w:val="20"/>
              </w:rPr>
              <w:t>1 317</w:t>
            </w:r>
          </w:p>
        </w:tc>
        <w:tc>
          <w:tcPr>
            <w:tcW w:w="1672" w:type="dxa"/>
            <w:noWrap/>
            <w:hideMark/>
          </w:tcPr>
          <w:p w14:paraId="0186B0A8" w14:textId="77777777" w:rsidR="00CB2594" w:rsidRPr="007434DA" w:rsidRDefault="00CB2594" w:rsidP="004A57B3">
            <w:pPr>
              <w:jc w:val="center"/>
              <w:rPr>
                <w:sz w:val="20"/>
              </w:rPr>
            </w:pPr>
            <w:r w:rsidRPr="007434DA">
              <w:rPr>
                <w:sz w:val="20"/>
              </w:rPr>
              <w:t>57,48</w:t>
            </w:r>
          </w:p>
        </w:tc>
        <w:tc>
          <w:tcPr>
            <w:tcW w:w="1276" w:type="dxa"/>
            <w:noWrap/>
            <w:hideMark/>
          </w:tcPr>
          <w:p w14:paraId="2733C079" w14:textId="77777777" w:rsidR="00CB2594" w:rsidRPr="007434DA" w:rsidRDefault="00CB2594" w:rsidP="004A57B3">
            <w:pPr>
              <w:jc w:val="center"/>
              <w:rPr>
                <w:sz w:val="20"/>
              </w:rPr>
            </w:pPr>
            <w:r w:rsidRPr="007434DA">
              <w:rPr>
                <w:sz w:val="20"/>
              </w:rPr>
              <w:t>32,80</w:t>
            </w:r>
          </w:p>
        </w:tc>
        <w:tc>
          <w:tcPr>
            <w:tcW w:w="1275" w:type="dxa"/>
            <w:noWrap/>
            <w:hideMark/>
          </w:tcPr>
          <w:p w14:paraId="076BB894" w14:textId="77777777" w:rsidR="00CB2594" w:rsidRPr="007434DA" w:rsidRDefault="00CB2594" w:rsidP="004A57B3">
            <w:pPr>
              <w:ind w:right="246"/>
              <w:jc w:val="right"/>
              <w:rPr>
                <w:sz w:val="20"/>
              </w:rPr>
            </w:pPr>
            <w:r w:rsidRPr="007434DA">
              <w:rPr>
                <w:sz w:val="20"/>
              </w:rPr>
              <w:t>11,01</w:t>
            </w:r>
          </w:p>
        </w:tc>
        <w:tc>
          <w:tcPr>
            <w:tcW w:w="1418" w:type="dxa"/>
            <w:noWrap/>
            <w:hideMark/>
          </w:tcPr>
          <w:p w14:paraId="4A94C3D8" w14:textId="77777777" w:rsidR="00CB2594" w:rsidRPr="007434DA" w:rsidRDefault="00CB2594" w:rsidP="004A57B3">
            <w:pPr>
              <w:jc w:val="center"/>
              <w:rPr>
                <w:sz w:val="20"/>
              </w:rPr>
            </w:pPr>
            <w:r w:rsidRPr="007434DA">
              <w:rPr>
                <w:sz w:val="20"/>
              </w:rPr>
              <w:t>5,32</w:t>
            </w:r>
          </w:p>
        </w:tc>
        <w:tc>
          <w:tcPr>
            <w:tcW w:w="1559" w:type="dxa"/>
            <w:noWrap/>
            <w:hideMark/>
          </w:tcPr>
          <w:p w14:paraId="482A0EE5" w14:textId="77777777" w:rsidR="00CB2594" w:rsidRPr="007434DA" w:rsidRDefault="00CB2594" w:rsidP="004A57B3">
            <w:pPr>
              <w:jc w:val="center"/>
              <w:rPr>
                <w:sz w:val="20"/>
              </w:rPr>
            </w:pPr>
            <w:r w:rsidRPr="007434DA">
              <w:rPr>
                <w:sz w:val="20"/>
              </w:rPr>
              <w:t>7</w:t>
            </w:r>
          </w:p>
        </w:tc>
      </w:tr>
      <w:tr w:rsidR="00CB2594" w:rsidRPr="007434DA" w14:paraId="7B42DFB4" w14:textId="77777777" w:rsidTr="004A57B3">
        <w:trPr>
          <w:trHeight w:val="255"/>
        </w:trPr>
        <w:tc>
          <w:tcPr>
            <w:tcW w:w="675" w:type="dxa"/>
            <w:noWrap/>
            <w:hideMark/>
          </w:tcPr>
          <w:p w14:paraId="24942E92" w14:textId="77777777" w:rsidR="00CB2594" w:rsidRPr="007434DA" w:rsidRDefault="00CB2594" w:rsidP="004A57B3">
            <w:pPr>
              <w:rPr>
                <w:b/>
                <w:bCs/>
                <w:sz w:val="20"/>
              </w:rPr>
            </w:pPr>
            <w:r w:rsidRPr="007434DA">
              <w:rPr>
                <w:b/>
                <w:bCs/>
                <w:sz w:val="20"/>
              </w:rPr>
              <w:t>2016</w:t>
            </w:r>
          </w:p>
        </w:tc>
        <w:tc>
          <w:tcPr>
            <w:tcW w:w="1447" w:type="dxa"/>
            <w:noWrap/>
            <w:hideMark/>
          </w:tcPr>
          <w:p w14:paraId="63CB5215" w14:textId="77777777" w:rsidR="00CB2594" w:rsidRPr="007434DA" w:rsidRDefault="00CB2594" w:rsidP="004A57B3">
            <w:pPr>
              <w:jc w:val="center"/>
              <w:rPr>
                <w:sz w:val="20"/>
              </w:rPr>
            </w:pPr>
            <w:r w:rsidRPr="007434DA">
              <w:rPr>
                <w:sz w:val="20"/>
              </w:rPr>
              <w:t>1 348</w:t>
            </w:r>
          </w:p>
        </w:tc>
        <w:tc>
          <w:tcPr>
            <w:tcW w:w="1672" w:type="dxa"/>
            <w:noWrap/>
            <w:hideMark/>
          </w:tcPr>
          <w:p w14:paraId="0A18CE91" w14:textId="77777777" w:rsidR="00CB2594" w:rsidRPr="007434DA" w:rsidRDefault="00CB2594" w:rsidP="004A57B3">
            <w:pPr>
              <w:jc w:val="center"/>
              <w:rPr>
                <w:sz w:val="20"/>
              </w:rPr>
            </w:pPr>
            <w:r w:rsidRPr="007434DA">
              <w:rPr>
                <w:sz w:val="20"/>
              </w:rPr>
              <w:t>57,86</w:t>
            </w:r>
          </w:p>
        </w:tc>
        <w:tc>
          <w:tcPr>
            <w:tcW w:w="1276" w:type="dxa"/>
            <w:noWrap/>
            <w:hideMark/>
          </w:tcPr>
          <w:p w14:paraId="74B94978" w14:textId="77777777" w:rsidR="00CB2594" w:rsidRPr="007434DA" w:rsidRDefault="00CB2594" w:rsidP="004A57B3">
            <w:pPr>
              <w:jc w:val="center"/>
              <w:rPr>
                <w:sz w:val="20"/>
              </w:rPr>
            </w:pPr>
            <w:r w:rsidRPr="007434DA">
              <w:rPr>
                <w:sz w:val="20"/>
              </w:rPr>
              <w:t>34,72</w:t>
            </w:r>
          </w:p>
        </w:tc>
        <w:tc>
          <w:tcPr>
            <w:tcW w:w="1275" w:type="dxa"/>
            <w:noWrap/>
            <w:hideMark/>
          </w:tcPr>
          <w:p w14:paraId="034474A9" w14:textId="77777777" w:rsidR="00CB2594" w:rsidRPr="007434DA" w:rsidRDefault="00CB2594" w:rsidP="004A57B3">
            <w:pPr>
              <w:ind w:right="246"/>
              <w:jc w:val="right"/>
              <w:rPr>
                <w:sz w:val="20"/>
              </w:rPr>
            </w:pPr>
            <w:r w:rsidRPr="007434DA">
              <w:rPr>
                <w:sz w:val="20"/>
              </w:rPr>
              <w:t>11,42</w:t>
            </w:r>
          </w:p>
        </w:tc>
        <w:tc>
          <w:tcPr>
            <w:tcW w:w="1418" w:type="dxa"/>
            <w:noWrap/>
            <w:hideMark/>
          </w:tcPr>
          <w:p w14:paraId="743C38CE" w14:textId="77777777" w:rsidR="00CB2594" w:rsidRPr="007434DA" w:rsidRDefault="00CB2594" w:rsidP="004A57B3">
            <w:pPr>
              <w:jc w:val="center"/>
              <w:rPr>
                <w:sz w:val="20"/>
              </w:rPr>
            </w:pPr>
            <w:r w:rsidRPr="007434DA">
              <w:rPr>
                <w:sz w:val="20"/>
              </w:rPr>
              <w:t>6,75</w:t>
            </w:r>
          </w:p>
        </w:tc>
        <w:tc>
          <w:tcPr>
            <w:tcW w:w="1559" w:type="dxa"/>
            <w:noWrap/>
            <w:hideMark/>
          </w:tcPr>
          <w:p w14:paraId="455C26A2" w14:textId="77777777" w:rsidR="00CB2594" w:rsidRPr="007434DA" w:rsidRDefault="00CB2594" w:rsidP="004A57B3">
            <w:pPr>
              <w:jc w:val="center"/>
              <w:rPr>
                <w:sz w:val="20"/>
              </w:rPr>
            </w:pPr>
            <w:r w:rsidRPr="007434DA">
              <w:rPr>
                <w:sz w:val="20"/>
              </w:rPr>
              <w:t>7</w:t>
            </w:r>
          </w:p>
        </w:tc>
      </w:tr>
      <w:tr w:rsidR="00CB2594" w:rsidRPr="007434DA" w14:paraId="5535316C" w14:textId="77777777" w:rsidTr="004A57B3">
        <w:trPr>
          <w:trHeight w:val="255"/>
        </w:trPr>
        <w:tc>
          <w:tcPr>
            <w:tcW w:w="675" w:type="dxa"/>
            <w:noWrap/>
            <w:hideMark/>
          </w:tcPr>
          <w:p w14:paraId="4F8CE7D6" w14:textId="77777777" w:rsidR="00CB2594" w:rsidRPr="007434DA" w:rsidRDefault="00CB2594" w:rsidP="004A57B3">
            <w:pPr>
              <w:rPr>
                <w:b/>
                <w:bCs/>
                <w:sz w:val="20"/>
              </w:rPr>
            </w:pPr>
            <w:r w:rsidRPr="007434DA">
              <w:rPr>
                <w:b/>
                <w:bCs/>
                <w:sz w:val="20"/>
              </w:rPr>
              <w:t>2017</w:t>
            </w:r>
          </w:p>
        </w:tc>
        <w:tc>
          <w:tcPr>
            <w:tcW w:w="1447" w:type="dxa"/>
            <w:noWrap/>
            <w:hideMark/>
          </w:tcPr>
          <w:p w14:paraId="6BA6E8DD" w14:textId="77777777" w:rsidR="00CB2594" w:rsidRPr="007434DA" w:rsidRDefault="00CB2594" w:rsidP="004A57B3">
            <w:pPr>
              <w:jc w:val="center"/>
              <w:rPr>
                <w:sz w:val="20"/>
              </w:rPr>
            </w:pPr>
            <w:r w:rsidRPr="007434DA">
              <w:rPr>
                <w:sz w:val="20"/>
              </w:rPr>
              <w:t>1 367</w:t>
            </w:r>
          </w:p>
        </w:tc>
        <w:tc>
          <w:tcPr>
            <w:tcW w:w="1672" w:type="dxa"/>
            <w:noWrap/>
            <w:hideMark/>
          </w:tcPr>
          <w:p w14:paraId="7D40443E" w14:textId="77777777" w:rsidR="00CB2594" w:rsidRPr="007434DA" w:rsidRDefault="00CB2594" w:rsidP="004A57B3">
            <w:pPr>
              <w:jc w:val="center"/>
              <w:rPr>
                <w:sz w:val="20"/>
              </w:rPr>
            </w:pPr>
            <w:r w:rsidRPr="007434DA">
              <w:rPr>
                <w:sz w:val="20"/>
              </w:rPr>
              <w:t>58,60</w:t>
            </w:r>
          </w:p>
        </w:tc>
        <w:tc>
          <w:tcPr>
            <w:tcW w:w="1276" w:type="dxa"/>
            <w:noWrap/>
            <w:hideMark/>
          </w:tcPr>
          <w:p w14:paraId="2586F656" w14:textId="77777777" w:rsidR="00CB2594" w:rsidRPr="007434DA" w:rsidRDefault="00CB2594" w:rsidP="004A57B3">
            <w:pPr>
              <w:jc w:val="center"/>
              <w:rPr>
                <w:sz w:val="20"/>
              </w:rPr>
            </w:pPr>
            <w:r w:rsidRPr="007434DA">
              <w:rPr>
                <w:sz w:val="20"/>
              </w:rPr>
              <w:t>31,16</w:t>
            </w:r>
          </w:p>
        </w:tc>
        <w:tc>
          <w:tcPr>
            <w:tcW w:w="1275" w:type="dxa"/>
            <w:noWrap/>
            <w:hideMark/>
          </w:tcPr>
          <w:p w14:paraId="45A505CD" w14:textId="77777777" w:rsidR="00CB2594" w:rsidRPr="007434DA" w:rsidRDefault="00CB2594" w:rsidP="004A57B3">
            <w:pPr>
              <w:ind w:right="246"/>
              <w:jc w:val="right"/>
              <w:rPr>
                <w:sz w:val="20"/>
              </w:rPr>
            </w:pPr>
            <w:r w:rsidRPr="007434DA">
              <w:rPr>
                <w:sz w:val="20"/>
              </w:rPr>
              <w:t>9,80</w:t>
            </w:r>
          </w:p>
        </w:tc>
        <w:tc>
          <w:tcPr>
            <w:tcW w:w="1418" w:type="dxa"/>
            <w:noWrap/>
            <w:hideMark/>
          </w:tcPr>
          <w:p w14:paraId="66DC6B07" w14:textId="77777777" w:rsidR="00CB2594" w:rsidRPr="007434DA" w:rsidRDefault="00CB2594" w:rsidP="004A57B3">
            <w:pPr>
              <w:jc w:val="center"/>
              <w:rPr>
                <w:sz w:val="20"/>
              </w:rPr>
            </w:pPr>
            <w:r w:rsidRPr="007434DA">
              <w:rPr>
                <w:sz w:val="20"/>
              </w:rPr>
              <w:t>4,90</w:t>
            </w:r>
          </w:p>
        </w:tc>
        <w:tc>
          <w:tcPr>
            <w:tcW w:w="1559" w:type="dxa"/>
            <w:noWrap/>
            <w:hideMark/>
          </w:tcPr>
          <w:p w14:paraId="3102D86A" w14:textId="77777777" w:rsidR="00CB2594" w:rsidRPr="007434DA" w:rsidRDefault="00CB2594" w:rsidP="004A57B3">
            <w:pPr>
              <w:jc w:val="center"/>
              <w:rPr>
                <w:sz w:val="20"/>
              </w:rPr>
            </w:pPr>
            <w:r w:rsidRPr="007434DA">
              <w:rPr>
                <w:sz w:val="20"/>
              </w:rPr>
              <w:t>9</w:t>
            </w:r>
          </w:p>
        </w:tc>
      </w:tr>
      <w:tr w:rsidR="00CB2594" w:rsidRPr="007434DA" w14:paraId="31C67A58" w14:textId="77777777" w:rsidTr="004A57B3">
        <w:trPr>
          <w:trHeight w:val="255"/>
        </w:trPr>
        <w:tc>
          <w:tcPr>
            <w:tcW w:w="675" w:type="dxa"/>
            <w:noWrap/>
            <w:hideMark/>
          </w:tcPr>
          <w:p w14:paraId="74B5F10B" w14:textId="77777777" w:rsidR="00CB2594" w:rsidRPr="007434DA" w:rsidRDefault="00CB2594" w:rsidP="004A57B3">
            <w:pPr>
              <w:rPr>
                <w:b/>
                <w:bCs/>
                <w:sz w:val="20"/>
              </w:rPr>
            </w:pPr>
            <w:r w:rsidRPr="007434DA">
              <w:rPr>
                <w:b/>
                <w:bCs/>
                <w:sz w:val="20"/>
              </w:rPr>
              <w:t>2018</w:t>
            </w:r>
          </w:p>
        </w:tc>
        <w:tc>
          <w:tcPr>
            <w:tcW w:w="1447" w:type="dxa"/>
            <w:noWrap/>
            <w:hideMark/>
          </w:tcPr>
          <w:p w14:paraId="02ED3A05" w14:textId="77777777" w:rsidR="00CB2594" w:rsidRPr="007434DA" w:rsidRDefault="00CB2594" w:rsidP="004A57B3">
            <w:pPr>
              <w:jc w:val="center"/>
              <w:rPr>
                <w:sz w:val="20"/>
              </w:rPr>
            </w:pPr>
            <w:r w:rsidRPr="007434DA">
              <w:rPr>
                <w:sz w:val="20"/>
              </w:rPr>
              <w:t>1 356</w:t>
            </w:r>
          </w:p>
        </w:tc>
        <w:tc>
          <w:tcPr>
            <w:tcW w:w="1672" w:type="dxa"/>
            <w:noWrap/>
            <w:hideMark/>
          </w:tcPr>
          <w:p w14:paraId="61D79194" w14:textId="77777777" w:rsidR="00CB2594" w:rsidRPr="007434DA" w:rsidRDefault="00CB2594" w:rsidP="004A57B3">
            <w:pPr>
              <w:jc w:val="center"/>
              <w:rPr>
                <w:sz w:val="20"/>
              </w:rPr>
            </w:pPr>
            <w:r w:rsidRPr="007434DA">
              <w:rPr>
                <w:sz w:val="20"/>
              </w:rPr>
              <w:t>57,23</w:t>
            </w:r>
          </w:p>
        </w:tc>
        <w:tc>
          <w:tcPr>
            <w:tcW w:w="1276" w:type="dxa"/>
            <w:noWrap/>
            <w:hideMark/>
          </w:tcPr>
          <w:p w14:paraId="25F8CAB6" w14:textId="77777777" w:rsidR="00CB2594" w:rsidRPr="007434DA" w:rsidRDefault="00CB2594" w:rsidP="004A57B3">
            <w:pPr>
              <w:jc w:val="center"/>
              <w:rPr>
                <w:sz w:val="20"/>
              </w:rPr>
            </w:pPr>
            <w:r w:rsidRPr="007434DA">
              <w:rPr>
                <w:sz w:val="20"/>
              </w:rPr>
              <w:t>30,38</w:t>
            </w:r>
          </w:p>
        </w:tc>
        <w:tc>
          <w:tcPr>
            <w:tcW w:w="1275" w:type="dxa"/>
            <w:noWrap/>
            <w:hideMark/>
          </w:tcPr>
          <w:p w14:paraId="548580D5" w14:textId="77777777" w:rsidR="00CB2594" w:rsidRPr="007434DA" w:rsidRDefault="00CB2594" w:rsidP="004A57B3">
            <w:pPr>
              <w:ind w:right="246"/>
              <w:jc w:val="right"/>
              <w:rPr>
                <w:sz w:val="20"/>
              </w:rPr>
            </w:pPr>
            <w:r w:rsidRPr="007434DA">
              <w:rPr>
                <w:sz w:val="20"/>
              </w:rPr>
              <w:t>9,81</w:t>
            </w:r>
          </w:p>
        </w:tc>
        <w:tc>
          <w:tcPr>
            <w:tcW w:w="1418" w:type="dxa"/>
            <w:noWrap/>
            <w:hideMark/>
          </w:tcPr>
          <w:p w14:paraId="20AC479E" w14:textId="77777777" w:rsidR="00CB2594" w:rsidRPr="007434DA" w:rsidRDefault="00CB2594" w:rsidP="004A57B3">
            <w:pPr>
              <w:jc w:val="center"/>
              <w:rPr>
                <w:sz w:val="20"/>
              </w:rPr>
            </w:pPr>
            <w:r w:rsidRPr="007434DA">
              <w:rPr>
                <w:sz w:val="20"/>
              </w:rPr>
              <w:t>5,16</w:t>
            </w:r>
          </w:p>
        </w:tc>
        <w:tc>
          <w:tcPr>
            <w:tcW w:w="1559" w:type="dxa"/>
            <w:noWrap/>
            <w:hideMark/>
          </w:tcPr>
          <w:p w14:paraId="0C4442E1" w14:textId="77777777" w:rsidR="00CB2594" w:rsidRPr="007434DA" w:rsidRDefault="00CB2594" w:rsidP="004A57B3">
            <w:pPr>
              <w:jc w:val="center"/>
              <w:rPr>
                <w:sz w:val="20"/>
              </w:rPr>
            </w:pPr>
            <w:r w:rsidRPr="007434DA">
              <w:rPr>
                <w:sz w:val="20"/>
              </w:rPr>
              <w:t>7</w:t>
            </w:r>
          </w:p>
        </w:tc>
      </w:tr>
    </w:tbl>
    <w:p w14:paraId="26505C2F" w14:textId="77777777" w:rsidR="00CB2594" w:rsidRPr="007434DA" w:rsidRDefault="00CB2594" w:rsidP="00CB2594">
      <w:pPr>
        <w:ind w:left="426" w:hanging="426"/>
        <w:contextualSpacing/>
        <w:rPr>
          <w:i/>
          <w:sz w:val="20"/>
          <w:szCs w:val="20"/>
          <w:lang w:val="cs-CZ"/>
        </w:rPr>
      </w:pPr>
      <w:r w:rsidRPr="007434DA">
        <w:rPr>
          <w:i/>
          <w:sz w:val="20"/>
          <w:szCs w:val="20"/>
          <w:lang w:val="cs-CZ"/>
        </w:rPr>
        <w:t>Pozn.</w:t>
      </w:r>
      <w:r w:rsidRPr="007434DA">
        <w:rPr>
          <w:i/>
          <w:sz w:val="20"/>
          <w:szCs w:val="20"/>
          <w:vertAlign w:val="superscript"/>
          <w:lang w:val="cs-CZ"/>
        </w:rPr>
        <w:t xml:space="preserve">: </w:t>
      </w:r>
      <w:r w:rsidRPr="007434DA">
        <w:rPr>
          <w:i/>
          <w:sz w:val="20"/>
          <w:szCs w:val="20"/>
          <w:lang w:val="cs-CZ"/>
        </w:rPr>
        <w:t>Seznam posuzovaných látek (příslušné metabolity jsou uvedeny v závorkách):dimethachlor (dimethachlor ESA, dimethachlor OA), chloridazon (chloridazon desfenyl, chloridazon methyl desfenyl),clopyralid metazachlor (metazachlor ESA, metazachlor OA), metolachlor (metolachlor ESA, metolachlor OA), terbuthylazin  2-hydroxy, terbuthylazin desethyl, terbuthylazin desethyl 2-hydroxy)</w:t>
      </w:r>
    </w:p>
    <w:p w14:paraId="73ED4539" w14:textId="77777777" w:rsidR="00CB2594" w:rsidRPr="007434DA" w:rsidRDefault="00CB2594" w:rsidP="004C360A">
      <w:pPr>
        <w:pStyle w:val="UZEIZdroj"/>
      </w:pPr>
      <w:r w:rsidRPr="007434DA">
        <w:t>Pramen: ČHMÚ</w:t>
      </w:r>
    </w:p>
    <w:p w14:paraId="4D934FCE" w14:textId="1F77BF86" w:rsidR="00CB2594" w:rsidRPr="002622E7" w:rsidRDefault="00CB2594" w:rsidP="002622E7">
      <w:pPr>
        <w:pStyle w:val="UZEINormaln"/>
      </w:pPr>
      <w:r w:rsidRPr="007434DA">
        <w:t xml:space="preserve">ČHMÚ ve spolupráci s ÚZEI vyhotovil mapku zobrazující maximální výskyty PL a jejich metabolitů v podzemních vodách za období 2015-2017 na území ČR včetně zobrazení pěstebních ploch kukuřice, cukrovky a řepky, tedy plodin, pro které se používají POR obsahující zmíněné PL. Z mapky je patrné, že největší koncentrace PL (nadlimitní výskyt nad 0,1 µg/l) je detekována v oblastech s nejčastějším pěstováním všech třech zmíněných plodin, tj. především v oblasti nížin. </w:t>
      </w:r>
    </w:p>
    <w:p w14:paraId="2769805B" w14:textId="52AD3AEC" w:rsidR="00CB2594" w:rsidRPr="007434DA" w:rsidRDefault="00CB2594" w:rsidP="00406B41">
      <w:pPr>
        <w:pStyle w:val="UZEIObr"/>
        <w:ind w:left="993" w:hanging="993"/>
      </w:pPr>
      <w:r w:rsidRPr="007434DA">
        <w:t>Přehled výskytu maximální koncentrace PL a jejich metabolitů v podzemních vodách a přehled pěstebních ploch cukrovky, řepky nebo kukuřice v ČR za roky 2015</w:t>
      </w:r>
      <w:r w:rsidRPr="007434DA">
        <w:noBreakHyphen/>
        <w:t xml:space="preserve">2017 </w:t>
      </w:r>
    </w:p>
    <w:p w14:paraId="156DF9D4" w14:textId="77777777" w:rsidR="00CB2594" w:rsidRPr="007434DA" w:rsidRDefault="00CB2594" w:rsidP="00CB2594">
      <w:pPr>
        <w:spacing w:line="360" w:lineRule="atLeast"/>
        <w:rPr>
          <w:rFonts w:ascii="Arial" w:eastAsia="Times New Roman" w:hAnsi="Arial" w:cs="Arial"/>
          <w:color w:val="000000"/>
          <w:sz w:val="20"/>
          <w:szCs w:val="20"/>
          <w:lang w:val="cs-CZ" w:eastAsia="cs-CZ"/>
        </w:rPr>
      </w:pPr>
      <w:r w:rsidRPr="007434DA">
        <w:rPr>
          <w:noProof/>
          <w:lang w:val="cs-CZ" w:eastAsia="cs-CZ"/>
        </w:rPr>
        <w:drawing>
          <wp:inline distT="0" distB="0" distL="0" distR="0" wp14:anchorId="71565798" wp14:editId="186B51B7">
            <wp:extent cx="5760720" cy="3691890"/>
            <wp:effectExtent l="0" t="0" r="0" b="3810"/>
            <wp:docPr id="1642193122"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3"/>
                    <pic:cNvPicPr/>
                  </pic:nvPicPr>
                  <pic:blipFill>
                    <a:blip r:embed="rId21">
                      <a:extLst>
                        <a:ext uri="{28A0092B-C50C-407E-A947-70E740481C1C}">
                          <a14:useLocalDpi xmlns:a14="http://schemas.microsoft.com/office/drawing/2010/main" val="0"/>
                        </a:ext>
                      </a:extLst>
                    </a:blip>
                    <a:stretch>
                      <a:fillRect/>
                    </a:stretch>
                  </pic:blipFill>
                  <pic:spPr>
                    <a:xfrm>
                      <a:off x="0" y="0"/>
                      <a:ext cx="5760720" cy="3691890"/>
                    </a:xfrm>
                    <a:prstGeom prst="rect">
                      <a:avLst/>
                    </a:prstGeom>
                  </pic:spPr>
                </pic:pic>
              </a:graphicData>
            </a:graphic>
          </wp:inline>
        </w:drawing>
      </w:r>
    </w:p>
    <w:p w14:paraId="3715FA88" w14:textId="45236DE5" w:rsidR="00CB2594" w:rsidRPr="007434DA" w:rsidRDefault="00CB2594" w:rsidP="00CB2594">
      <w:pPr>
        <w:spacing w:line="360" w:lineRule="atLeast"/>
        <w:ind w:firstLine="567"/>
        <w:rPr>
          <w:rFonts w:ascii="Arial" w:eastAsia="Times New Roman" w:hAnsi="Arial" w:cs="Arial"/>
          <w:color w:val="000000"/>
          <w:sz w:val="20"/>
          <w:szCs w:val="20"/>
          <w:lang w:val="cs-CZ" w:eastAsia="cs-CZ"/>
        </w:rPr>
      </w:pPr>
    </w:p>
    <w:p w14:paraId="7B3BBE68" w14:textId="3E04A247" w:rsidR="009015EC" w:rsidRPr="007434DA" w:rsidRDefault="009015EC" w:rsidP="00CB2594">
      <w:pPr>
        <w:spacing w:line="360" w:lineRule="atLeast"/>
        <w:ind w:firstLine="567"/>
        <w:rPr>
          <w:rFonts w:ascii="Arial" w:eastAsia="Times New Roman" w:hAnsi="Arial" w:cs="Arial"/>
          <w:color w:val="000000"/>
          <w:sz w:val="20"/>
          <w:szCs w:val="20"/>
          <w:lang w:val="cs-CZ" w:eastAsia="cs-CZ"/>
        </w:rPr>
      </w:pPr>
    </w:p>
    <w:p w14:paraId="52D2596E" w14:textId="4FFB47C7" w:rsidR="009015EC" w:rsidRDefault="009015EC" w:rsidP="00CB2594">
      <w:pPr>
        <w:spacing w:line="360" w:lineRule="atLeast"/>
        <w:ind w:firstLine="567"/>
        <w:rPr>
          <w:rFonts w:ascii="Arial" w:eastAsia="Times New Roman" w:hAnsi="Arial" w:cs="Arial"/>
          <w:color w:val="000000"/>
          <w:sz w:val="20"/>
          <w:szCs w:val="20"/>
          <w:lang w:val="cs-CZ" w:eastAsia="cs-CZ"/>
        </w:rPr>
      </w:pPr>
    </w:p>
    <w:p w14:paraId="75FD7DCC" w14:textId="77777777" w:rsidR="002622E7" w:rsidRPr="007434DA" w:rsidRDefault="002622E7" w:rsidP="00CB2594">
      <w:pPr>
        <w:spacing w:line="360" w:lineRule="atLeast"/>
        <w:ind w:firstLine="567"/>
        <w:rPr>
          <w:rFonts w:ascii="Arial" w:eastAsia="Times New Roman" w:hAnsi="Arial" w:cs="Arial"/>
          <w:color w:val="000000"/>
          <w:sz w:val="20"/>
          <w:szCs w:val="20"/>
          <w:lang w:val="cs-CZ" w:eastAsia="cs-CZ"/>
        </w:rPr>
      </w:pPr>
    </w:p>
    <w:p w14:paraId="6138F5F1" w14:textId="77777777" w:rsidR="00CB2594" w:rsidRPr="002622E7" w:rsidRDefault="00CB2594" w:rsidP="002622E7">
      <w:pPr>
        <w:pStyle w:val="UZEINormaln"/>
        <w:rPr>
          <w:b/>
          <w:bCs/>
        </w:rPr>
      </w:pPr>
      <w:r w:rsidRPr="002622E7">
        <w:rPr>
          <w:b/>
          <w:bCs/>
        </w:rPr>
        <w:t>Výskyt pesticidů v kohoutkové vodě</w:t>
      </w:r>
    </w:p>
    <w:p w14:paraId="614003C7" w14:textId="77777777" w:rsidR="00CB2594" w:rsidRPr="007434DA" w:rsidRDefault="00CB2594" w:rsidP="00802E13">
      <w:pPr>
        <w:pStyle w:val="UZEINormaln"/>
      </w:pPr>
      <w:r w:rsidRPr="007434DA">
        <w:t>V roce 2017 provedl Státní zdravotní ústav cílené šetření pitných vod na vybraný okruh 21 pesticidních látek a jejich metabolitů (PL) v reprezentativním vzorku více než 170 vodovodů ve všech krajích ČR. Jen čtvrtina zdrojů (42 vodovodů) nevykázala ani při jednom odběru pozitivní nález PL, z čehož vyplývá, že ¾ vodovodů je více či méně kontaminováno pesticidními látkami – v jednom vzorku vody bylo v těchto případech nalezeno 1 až 11 PL. Četnost překročení hodnoty 0,1 µg/l se pohybovala od cca 3 % v podzimních odběrech po cca 5 % v jarních odběrech. Limitní hodnoty byly překročeny v 18 případech u jarních odběrů a v 13 případech u podzimních odběrů. V roce 2017 byly PL hlavní příčinou výjimek z kvality vody, když se týkaly celkem 64 vodovodů zásobujících více než 250 tisíc osob.</w:t>
      </w:r>
    </w:p>
    <w:p w14:paraId="2BDB46C6" w14:textId="6AA22129" w:rsidR="00CB2594" w:rsidRPr="007434DA" w:rsidRDefault="00CB2594" w:rsidP="00406B41">
      <w:pPr>
        <w:pStyle w:val="UZEINormaln"/>
      </w:pPr>
      <w:r w:rsidRPr="007434DA">
        <w:t xml:space="preserve">SZÚ rovněž zpracoval přehled výsledků kontroly pitné vody z pohledu výskytu vybraných PL a jejich metabolitů, které jsou analyzovány v kohoutkové vodě na základě použití POR při pěstování kukuřice, cukrové řepy a řepky. </w:t>
      </w:r>
    </w:p>
    <w:p w14:paraId="1636D474" w14:textId="4ECB2A4B" w:rsidR="00CB2594" w:rsidRPr="007434DA" w:rsidRDefault="00CB2594" w:rsidP="002622E7">
      <w:pPr>
        <w:pStyle w:val="UZEITaB"/>
        <w:ind w:left="1134" w:hanging="1134"/>
      </w:pPr>
      <w:bookmarkStart w:id="126" w:name="_Toc94095283"/>
      <w:r w:rsidRPr="007434DA">
        <w:t>Výsledky rozborů kohoutkové vody na PL a jejich metabolity podle druhu plodiny za rok 2017</w:t>
      </w:r>
      <w:bookmarkEnd w:id="126"/>
    </w:p>
    <w:tbl>
      <w:tblPr>
        <w:tblW w:w="0" w:type="auto"/>
        <w:tblInd w:w="-45" w:type="dxa"/>
        <w:tblLayout w:type="fixed"/>
        <w:tblCellMar>
          <w:left w:w="70" w:type="dxa"/>
          <w:right w:w="70" w:type="dxa"/>
        </w:tblCellMar>
        <w:tblLook w:val="0000" w:firstRow="0" w:lastRow="0" w:firstColumn="0" w:lastColumn="0" w:noHBand="0" w:noVBand="0"/>
      </w:tblPr>
      <w:tblGrid>
        <w:gridCol w:w="1731"/>
        <w:gridCol w:w="1843"/>
        <w:gridCol w:w="1519"/>
        <w:gridCol w:w="1322"/>
        <w:gridCol w:w="1323"/>
        <w:gridCol w:w="1322"/>
      </w:tblGrid>
      <w:tr w:rsidR="00CB2594" w:rsidRPr="007434DA" w14:paraId="0B9A4214" w14:textId="77777777" w:rsidTr="004A57B3">
        <w:trPr>
          <w:trHeight w:val="857"/>
        </w:trPr>
        <w:tc>
          <w:tcPr>
            <w:tcW w:w="1731" w:type="dxa"/>
            <w:tcBorders>
              <w:top w:val="single" w:sz="12" w:space="0" w:color="969696"/>
              <w:left w:val="single" w:sz="12" w:space="0" w:color="969696"/>
              <w:bottom w:val="nil"/>
              <w:right w:val="single" w:sz="12" w:space="0" w:color="969696"/>
            </w:tcBorders>
          </w:tcPr>
          <w:p w14:paraId="5081144C" w14:textId="77777777" w:rsidR="00CB2594" w:rsidRPr="007434DA" w:rsidRDefault="00CB2594" w:rsidP="004A57B3">
            <w:pPr>
              <w:autoSpaceDE w:val="0"/>
              <w:autoSpaceDN w:val="0"/>
              <w:adjustRightInd w:val="0"/>
              <w:jc w:val="center"/>
              <w:rPr>
                <w:rFonts w:cs="Times New Roman"/>
                <w:b/>
                <w:bCs/>
                <w:color w:val="000000"/>
                <w:sz w:val="20"/>
                <w:szCs w:val="20"/>
                <w:lang w:val="cs-CZ" w:eastAsia="cs-CZ"/>
              </w:rPr>
            </w:pPr>
            <w:r w:rsidRPr="007434DA">
              <w:rPr>
                <w:rFonts w:cs="Times New Roman"/>
                <w:b/>
                <w:bCs/>
                <w:color w:val="000000"/>
                <w:sz w:val="20"/>
                <w:szCs w:val="20"/>
                <w:lang w:val="cs-CZ" w:eastAsia="cs-CZ"/>
              </w:rPr>
              <w:t>Pořadí/plodina</w:t>
            </w:r>
          </w:p>
        </w:tc>
        <w:tc>
          <w:tcPr>
            <w:tcW w:w="1843" w:type="dxa"/>
            <w:tcBorders>
              <w:top w:val="single" w:sz="12" w:space="0" w:color="969696"/>
              <w:left w:val="nil"/>
              <w:bottom w:val="nil"/>
              <w:right w:val="single" w:sz="12" w:space="0" w:color="969696"/>
            </w:tcBorders>
          </w:tcPr>
          <w:p w14:paraId="02F47D42" w14:textId="77777777" w:rsidR="00CB2594" w:rsidRPr="007434DA" w:rsidRDefault="00CB2594" w:rsidP="004A57B3">
            <w:pPr>
              <w:autoSpaceDE w:val="0"/>
              <w:autoSpaceDN w:val="0"/>
              <w:adjustRightInd w:val="0"/>
              <w:jc w:val="center"/>
              <w:rPr>
                <w:rFonts w:cs="Times New Roman"/>
                <w:b/>
                <w:bCs/>
                <w:color w:val="000000"/>
                <w:sz w:val="20"/>
                <w:szCs w:val="20"/>
                <w:lang w:val="cs-CZ" w:eastAsia="cs-CZ"/>
              </w:rPr>
            </w:pPr>
            <w:r w:rsidRPr="007434DA">
              <w:rPr>
                <w:rFonts w:cs="Times New Roman"/>
                <w:b/>
                <w:bCs/>
                <w:color w:val="000000"/>
                <w:sz w:val="20"/>
                <w:szCs w:val="20"/>
                <w:lang w:val="cs-CZ" w:eastAsia="cs-CZ"/>
              </w:rPr>
              <w:t>Název účinné</w:t>
            </w:r>
          </w:p>
          <w:p w14:paraId="7875F1B0" w14:textId="77777777" w:rsidR="00CB2594" w:rsidRPr="007434DA" w:rsidRDefault="00CB2594" w:rsidP="004A57B3">
            <w:pPr>
              <w:autoSpaceDE w:val="0"/>
              <w:autoSpaceDN w:val="0"/>
              <w:adjustRightInd w:val="0"/>
              <w:jc w:val="center"/>
              <w:rPr>
                <w:rFonts w:cs="Times New Roman"/>
                <w:b/>
                <w:bCs/>
                <w:color w:val="000000"/>
                <w:sz w:val="20"/>
                <w:szCs w:val="20"/>
                <w:lang w:val="cs-CZ" w:eastAsia="cs-CZ"/>
              </w:rPr>
            </w:pPr>
            <w:r w:rsidRPr="007434DA">
              <w:rPr>
                <w:rFonts w:cs="Times New Roman"/>
                <w:b/>
                <w:bCs/>
                <w:color w:val="000000"/>
                <w:sz w:val="20"/>
                <w:szCs w:val="20"/>
                <w:lang w:val="cs-CZ" w:eastAsia="cs-CZ"/>
              </w:rPr>
              <w:t>látky</w:t>
            </w:r>
          </w:p>
        </w:tc>
        <w:tc>
          <w:tcPr>
            <w:tcW w:w="1519" w:type="dxa"/>
            <w:tcBorders>
              <w:top w:val="single" w:sz="12" w:space="0" w:color="969696"/>
              <w:left w:val="single" w:sz="12" w:space="0" w:color="969696"/>
              <w:bottom w:val="nil"/>
              <w:right w:val="single" w:sz="12" w:space="0" w:color="969696"/>
            </w:tcBorders>
          </w:tcPr>
          <w:p w14:paraId="5FC5ED4A" w14:textId="77777777" w:rsidR="00CB2594" w:rsidRPr="007434DA" w:rsidRDefault="00CB2594" w:rsidP="004A57B3">
            <w:pPr>
              <w:autoSpaceDE w:val="0"/>
              <w:autoSpaceDN w:val="0"/>
              <w:adjustRightInd w:val="0"/>
              <w:jc w:val="center"/>
              <w:rPr>
                <w:rFonts w:cs="Times New Roman"/>
                <w:b/>
                <w:bCs/>
                <w:color w:val="000000"/>
                <w:sz w:val="20"/>
                <w:szCs w:val="20"/>
                <w:lang w:val="cs-CZ" w:eastAsia="cs-CZ"/>
              </w:rPr>
            </w:pPr>
            <w:r w:rsidRPr="007434DA">
              <w:rPr>
                <w:rFonts w:cs="Times New Roman"/>
                <w:b/>
                <w:bCs/>
                <w:color w:val="000000"/>
                <w:sz w:val="20"/>
                <w:szCs w:val="20"/>
                <w:lang w:val="cs-CZ" w:eastAsia="cs-CZ"/>
              </w:rPr>
              <w:t>Počet odebraných vzorků</w:t>
            </w:r>
          </w:p>
        </w:tc>
        <w:tc>
          <w:tcPr>
            <w:tcW w:w="1322" w:type="dxa"/>
            <w:tcBorders>
              <w:top w:val="single" w:sz="12" w:space="0" w:color="969696"/>
              <w:left w:val="nil"/>
              <w:bottom w:val="nil"/>
              <w:right w:val="single" w:sz="12" w:space="0" w:color="969696"/>
            </w:tcBorders>
          </w:tcPr>
          <w:p w14:paraId="472D267F" w14:textId="77777777" w:rsidR="00CB2594" w:rsidRPr="007434DA" w:rsidRDefault="00CB2594" w:rsidP="004A57B3">
            <w:pPr>
              <w:autoSpaceDE w:val="0"/>
              <w:autoSpaceDN w:val="0"/>
              <w:adjustRightInd w:val="0"/>
              <w:jc w:val="center"/>
              <w:rPr>
                <w:rFonts w:cs="Times New Roman"/>
                <w:b/>
                <w:bCs/>
                <w:color w:val="000000"/>
                <w:sz w:val="20"/>
                <w:szCs w:val="20"/>
                <w:lang w:val="cs-CZ" w:eastAsia="cs-CZ"/>
              </w:rPr>
            </w:pPr>
            <w:r w:rsidRPr="007434DA">
              <w:rPr>
                <w:rFonts w:cs="Times New Roman"/>
                <w:b/>
                <w:bCs/>
                <w:color w:val="000000"/>
                <w:sz w:val="20"/>
                <w:szCs w:val="20"/>
                <w:lang w:val="cs-CZ" w:eastAsia="cs-CZ"/>
              </w:rPr>
              <w:t>Nadlimitní výskyt – nad 0,1 µ g/l</w:t>
            </w:r>
          </w:p>
        </w:tc>
        <w:tc>
          <w:tcPr>
            <w:tcW w:w="1323" w:type="dxa"/>
            <w:tcBorders>
              <w:top w:val="single" w:sz="12" w:space="0" w:color="969696"/>
              <w:left w:val="nil"/>
              <w:bottom w:val="nil"/>
              <w:right w:val="single" w:sz="12" w:space="0" w:color="969696"/>
            </w:tcBorders>
          </w:tcPr>
          <w:p w14:paraId="2A2A9E38" w14:textId="77777777" w:rsidR="00CB2594" w:rsidRPr="007434DA" w:rsidRDefault="00CB2594" w:rsidP="004A57B3">
            <w:pPr>
              <w:autoSpaceDE w:val="0"/>
              <w:autoSpaceDN w:val="0"/>
              <w:adjustRightInd w:val="0"/>
              <w:jc w:val="center"/>
              <w:rPr>
                <w:rFonts w:cs="Times New Roman"/>
                <w:b/>
                <w:bCs/>
                <w:color w:val="000000"/>
                <w:sz w:val="20"/>
                <w:szCs w:val="20"/>
                <w:lang w:val="cs-CZ" w:eastAsia="cs-CZ"/>
              </w:rPr>
            </w:pPr>
            <w:r w:rsidRPr="007434DA">
              <w:rPr>
                <w:rFonts w:cs="Times New Roman"/>
                <w:b/>
                <w:bCs/>
                <w:color w:val="000000"/>
                <w:sz w:val="20"/>
                <w:szCs w:val="20"/>
                <w:lang w:val="cs-CZ" w:eastAsia="cs-CZ"/>
              </w:rPr>
              <w:t>Výskyt nad 1µ g/l</w:t>
            </w:r>
          </w:p>
        </w:tc>
        <w:tc>
          <w:tcPr>
            <w:tcW w:w="1322" w:type="dxa"/>
            <w:tcBorders>
              <w:top w:val="single" w:sz="12" w:space="0" w:color="969696"/>
              <w:left w:val="nil"/>
              <w:bottom w:val="nil"/>
              <w:right w:val="single" w:sz="12" w:space="0" w:color="969696"/>
            </w:tcBorders>
          </w:tcPr>
          <w:p w14:paraId="40049A25" w14:textId="77777777" w:rsidR="00CB2594" w:rsidRPr="007434DA" w:rsidRDefault="00CB2594" w:rsidP="004A57B3">
            <w:pPr>
              <w:autoSpaceDE w:val="0"/>
              <w:autoSpaceDN w:val="0"/>
              <w:adjustRightInd w:val="0"/>
              <w:jc w:val="center"/>
              <w:rPr>
                <w:rFonts w:cs="Times New Roman"/>
                <w:b/>
                <w:bCs/>
                <w:color w:val="000000"/>
                <w:sz w:val="20"/>
                <w:szCs w:val="20"/>
                <w:lang w:val="cs-CZ" w:eastAsia="cs-CZ"/>
              </w:rPr>
            </w:pPr>
            <w:r w:rsidRPr="007434DA">
              <w:rPr>
                <w:rFonts w:cs="Times New Roman"/>
                <w:b/>
                <w:bCs/>
                <w:color w:val="000000"/>
                <w:sz w:val="20"/>
                <w:szCs w:val="20"/>
                <w:lang w:val="cs-CZ" w:eastAsia="cs-CZ"/>
              </w:rPr>
              <w:t>Maximální zjištěná hodnota</w:t>
            </w:r>
          </w:p>
        </w:tc>
      </w:tr>
      <w:tr w:rsidR="00CB2594" w:rsidRPr="007434DA" w14:paraId="5EA56182" w14:textId="77777777" w:rsidTr="004A57B3">
        <w:trPr>
          <w:trHeight w:val="305"/>
        </w:trPr>
        <w:tc>
          <w:tcPr>
            <w:tcW w:w="1731" w:type="dxa"/>
            <w:tcBorders>
              <w:top w:val="nil"/>
              <w:left w:val="single" w:sz="12" w:space="0" w:color="969696"/>
              <w:bottom w:val="single" w:sz="18" w:space="0" w:color="808080"/>
              <w:right w:val="single" w:sz="12" w:space="0" w:color="969696"/>
            </w:tcBorders>
          </w:tcPr>
          <w:p w14:paraId="37E5BB6E" w14:textId="77777777" w:rsidR="00CB2594" w:rsidRPr="007434DA" w:rsidRDefault="00CB2594" w:rsidP="004A57B3">
            <w:pPr>
              <w:autoSpaceDE w:val="0"/>
              <w:autoSpaceDN w:val="0"/>
              <w:adjustRightInd w:val="0"/>
              <w:jc w:val="center"/>
              <w:rPr>
                <w:rFonts w:cs="Times New Roman"/>
                <w:b/>
                <w:bCs/>
                <w:color w:val="000000"/>
                <w:sz w:val="20"/>
                <w:szCs w:val="20"/>
                <w:lang w:val="cs-CZ" w:eastAsia="cs-CZ"/>
              </w:rPr>
            </w:pPr>
          </w:p>
        </w:tc>
        <w:tc>
          <w:tcPr>
            <w:tcW w:w="1843" w:type="dxa"/>
            <w:tcBorders>
              <w:top w:val="nil"/>
              <w:left w:val="nil"/>
              <w:bottom w:val="single" w:sz="18" w:space="0" w:color="808080"/>
              <w:right w:val="single" w:sz="12" w:space="0" w:color="969696"/>
            </w:tcBorders>
          </w:tcPr>
          <w:p w14:paraId="03542D5A" w14:textId="77777777" w:rsidR="00CB2594" w:rsidRPr="007434DA" w:rsidRDefault="00CB2594" w:rsidP="004A57B3">
            <w:pPr>
              <w:autoSpaceDE w:val="0"/>
              <w:autoSpaceDN w:val="0"/>
              <w:adjustRightInd w:val="0"/>
              <w:jc w:val="center"/>
              <w:rPr>
                <w:rFonts w:cs="Times New Roman"/>
                <w:b/>
                <w:bCs/>
                <w:color w:val="000000"/>
                <w:sz w:val="20"/>
                <w:szCs w:val="20"/>
                <w:lang w:val="cs-CZ" w:eastAsia="cs-CZ"/>
              </w:rPr>
            </w:pPr>
          </w:p>
        </w:tc>
        <w:tc>
          <w:tcPr>
            <w:tcW w:w="1519" w:type="dxa"/>
            <w:tcBorders>
              <w:top w:val="nil"/>
              <w:left w:val="single" w:sz="12" w:space="0" w:color="969696"/>
              <w:bottom w:val="single" w:sz="18" w:space="0" w:color="808080"/>
              <w:right w:val="single" w:sz="12" w:space="0" w:color="969696"/>
            </w:tcBorders>
          </w:tcPr>
          <w:p w14:paraId="4F5C869F" w14:textId="77777777" w:rsidR="00CB2594" w:rsidRPr="007434DA" w:rsidRDefault="00CB2594" w:rsidP="004A57B3">
            <w:pPr>
              <w:autoSpaceDE w:val="0"/>
              <w:autoSpaceDN w:val="0"/>
              <w:adjustRightInd w:val="0"/>
              <w:jc w:val="center"/>
              <w:rPr>
                <w:rFonts w:cs="Times New Roman"/>
                <w:b/>
                <w:bCs/>
                <w:color w:val="000000"/>
                <w:sz w:val="20"/>
                <w:szCs w:val="20"/>
                <w:lang w:val="cs-CZ" w:eastAsia="cs-CZ"/>
              </w:rPr>
            </w:pPr>
          </w:p>
        </w:tc>
        <w:tc>
          <w:tcPr>
            <w:tcW w:w="1322" w:type="dxa"/>
            <w:tcBorders>
              <w:top w:val="nil"/>
              <w:left w:val="nil"/>
              <w:bottom w:val="single" w:sz="18" w:space="0" w:color="808080"/>
              <w:right w:val="single" w:sz="12" w:space="0" w:color="969696"/>
            </w:tcBorders>
          </w:tcPr>
          <w:p w14:paraId="2BA5730F" w14:textId="77777777" w:rsidR="00CB2594" w:rsidRPr="007434DA" w:rsidRDefault="00CB2594" w:rsidP="004A57B3">
            <w:pPr>
              <w:autoSpaceDE w:val="0"/>
              <w:autoSpaceDN w:val="0"/>
              <w:adjustRightInd w:val="0"/>
              <w:jc w:val="center"/>
              <w:rPr>
                <w:rFonts w:cs="Times New Roman"/>
                <w:b/>
                <w:bCs/>
                <w:color w:val="000000"/>
                <w:sz w:val="20"/>
                <w:szCs w:val="20"/>
                <w:lang w:val="cs-CZ" w:eastAsia="cs-CZ"/>
              </w:rPr>
            </w:pPr>
            <w:r w:rsidRPr="007434DA">
              <w:rPr>
                <w:rFonts w:cs="Times New Roman"/>
                <w:b/>
                <w:bCs/>
                <w:color w:val="000000"/>
                <w:sz w:val="20"/>
                <w:szCs w:val="20"/>
                <w:lang w:val="cs-CZ" w:eastAsia="cs-CZ"/>
              </w:rPr>
              <w:t>(%)</w:t>
            </w:r>
          </w:p>
        </w:tc>
        <w:tc>
          <w:tcPr>
            <w:tcW w:w="1323" w:type="dxa"/>
            <w:tcBorders>
              <w:top w:val="nil"/>
              <w:left w:val="nil"/>
              <w:bottom w:val="single" w:sz="18" w:space="0" w:color="808080"/>
              <w:right w:val="single" w:sz="12" w:space="0" w:color="969696"/>
            </w:tcBorders>
          </w:tcPr>
          <w:p w14:paraId="053BC325" w14:textId="77777777" w:rsidR="00CB2594" w:rsidRPr="007434DA" w:rsidRDefault="00CB2594" w:rsidP="004A57B3">
            <w:pPr>
              <w:autoSpaceDE w:val="0"/>
              <w:autoSpaceDN w:val="0"/>
              <w:adjustRightInd w:val="0"/>
              <w:jc w:val="center"/>
              <w:rPr>
                <w:rFonts w:cs="Times New Roman"/>
                <w:b/>
                <w:bCs/>
                <w:color w:val="000000"/>
                <w:sz w:val="20"/>
                <w:szCs w:val="20"/>
                <w:lang w:val="cs-CZ" w:eastAsia="cs-CZ"/>
              </w:rPr>
            </w:pPr>
            <w:r w:rsidRPr="007434DA">
              <w:rPr>
                <w:rFonts w:cs="Times New Roman"/>
                <w:b/>
                <w:bCs/>
                <w:color w:val="000000"/>
                <w:sz w:val="20"/>
                <w:szCs w:val="20"/>
                <w:lang w:val="cs-CZ" w:eastAsia="cs-CZ"/>
              </w:rPr>
              <w:t>(%)</w:t>
            </w:r>
          </w:p>
        </w:tc>
        <w:tc>
          <w:tcPr>
            <w:tcW w:w="1322" w:type="dxa"/>
            <w:tcBorders>
              <w:top w:val="nil"/>
              <w:left w:val="nil"/>
              <w:bottom w:val="single" w:sz="18" w:space="0" w:color="808080"/>
              <w:right w:val="single" w:sz="12" w:space="0" w:color="969696"/>
            </w:tcBorders>
          </w:tcPr>
          <w:p w14:paraId="60BA1ADC" w14:textId="77777777" w:rsidR="00CB2594" w:rsidRPr="007434DA" w:rsidRDefault="00CB2594" w:rsidP="004A57B3">
            <w:pPr>
              <w:autoSpaceDE w:val="0"/>
              <w:autoSpaceDN w:val="0"/>
              <w:adjustRightInd w:val="0"/>
              <w:jc w:val="center"/>
              <w:rPr>
                <w:rFonts w:cs="Times New Roman"/>
                <w:b/>
                <w:bCs/>
                <w:color w:val="000000"/>
                <w:sz w:val="20"/>
                <w:szCs w:val="20"/>
                <w:lang w:val="cs-CZ" w:eastAsia="cs-CZ"/>
              </w:rPr>
            </w:pPr>
            <w:r w:rsidRPr="007434DA">
              <w:rPr>
                <w:rFonts w:cs="Times New Roman"/>
                <w:b/>
                <w:bCs/>
                <w:color w:val="000000"/>
                <w:sz w:val="20"/>
                <w:szCs w:val="20"/>
                <w:lang w:val="cs-CZ" w:eastAsia="cs-CZ"/>
              </w:rPr>
              <w:t>(µ g/l)</w:t>
            </w:r>
          </w:p>
        </w:tc>
      </w:tr>
      <w:tr w:rsidR="00CB2594" w:rsidRPr="007434DA" w14:paraId="213713E0" w14:textId="77777777" w:rsidTr="004A57B3">
        <w:trPr>
          <w:trHeight w:val="478"/>
        </w:trPr>
        <w:tc>
          <w:tcPr>
            <w:tcW w:w="1731" w:type="dxa"/>
            <w:tcBorders>
              <w:top w:val="single" w:sz="18" w:space="0" w:color="808080"/>
              <w:left w:val="single" w:sz="12" w:space="0" w:color="969696"/>
              <w:bottom w:val="nil"/>
              <w:right w:val="single" w:sz="12" w:space="0" w:color="969696"/>
            </w:tcBorders>
          </w:tcPr>
          <w:p w14:paraId="099A8E2C" w14:textId="77777777" w:rsidR="00CB2594" w:rsidRPr="007434DA" w:rsidRDefault="00CB2594" w:rsidP="004A57B3">
            <w:pPr>
              <w:autoSpaceDE w:val="0"/>
              <w:autoSpaceDN w:val="0"/>
              <w:adjustRightInd w:val="0"/>
              <w:rPr>
                <w:rFonts w:cs="Times New Roman"/>
                <w:b/>
                <w:bCs/>
                <w:color w:val="000000"/>
                <w:sz w:val="20"/>
                <w:szCs w:val="20"/>
                <w:lang w:val="cs-CZ" w:eastAsia="cs-CZ"/>
              </w:rPr>
            </w:pPr>
            <w:r w:rsidRPr="007434DA">
              <w:rPr>
                <w:rFonts w:cs="Times New Roman"/>
                <w:b/>
                <w:bCs/>
                <w:color w:val="000000"/>
                <w:sz w:val="20"/>
                <w:szCs w:val="20"/>
                <w:lang w:val="cs-CZ" w:eastAsia="cs-CZ"/>
              </w:rPr>
              <w:t>1/cukrovka</w:t>
            </w:r>
          </w:p>
        </w:tc>
        <w:tc>
          <w:tcPr>
            <w:tcW w:w="1843" w:type="dxa"/>
            <w:tcBorders>
              <w:top w:val="nil"/>
              <w:left w:val="nil"/>
              <w:bottom w:val="single" w:sz="12" w:space="0" w:color="969696"/>
              <w:right w:val="single" w:sz="12" w:space="0" w:color="969696"/>
            </w:tcBorders>
          </w:tcPr>
          <w:p w14:paraId="094CEE94" w14:textId="77777777" w:rsidR="00CB2594" w:rsidRPr="007434DA" w:rsidRDefault="00CB2594" w:rsidP="004A57B3">
            <w:pPr>
              <w:autoSpaceDE w:val="0"/>
              <w:autoSpaceDN w:val="0"/>
              <w:adjustRightInd w:val="0"/>
              <w:rPr>
                <w:rFonts w:cs="Times New Roman"/>
                <w:color w:val="000000"/>
                <w:sz w:val="20"/>
                <w:szCs w:val="20"/>
                <w:lang w:val="cs-CZ" w:eastAsia="cs-CZ"/>
              </w:rPr>
            </w:pPr>
            <w:r w:rsidRPr="007434DA">
              <w:rPr>
                <w:rFonts w:cs="Times New Roman"/>
                <w:color w:val="000000"/>
                <w:sz w:val="20"/>
                <w:szCs w:val="20"/>
                <w:lang w:val="cs-CZ" w:eastAsia="cs-CZ"/>
              </w:rPr>
              <w:t>chloridazon</w:t>
            </w:r>
          </w:p>
        </w:tc>
        <w:tc>
          <w:tcPr>
            <w:tcW w:w="1519" w:type="dxa"/>
            <w:tcBorders>
              <w:top w:val="nil"/>
              <w:left w:val="nil"/>
              <w:bottom w:val="single" w:sz="12" w:space="0" w:color="969696"/>
              <w:right w:val="single" w:sz="12" w:space="0" w:color="969696"/>
            </w:tcBorders>
          </w:tcPr>
          <w:p w14:paraId="676946E8" w14:textId="77777777" w:rsidR="00CB2594" w:rsidRPr="007434DA" w:rsidRDefault="00CB2594" w:rsidP="004A57B3">
            <w:pPr>
              <w:autoSpaceDE w:val="0"/>
              <w:autoSpaceDN w:val="0"/>
              <w:adjustRightInd w:val="0"/>
              <w:ind w:right="317"/>
              <w:jc w:val="right"/>
              <w:rPr>
                <w:rFonts w:cs="Times New Roman"/>
                <w:color w:val="000000"/>
                <w:sz w:val="20"/>
                <w:szCs w:val="20"/>
                <w:lang w:val="cs-CZ" w:eastAsia="cs-CZ"/>
              </w:rPr>
            </w:pPr>
            <w:r w:rsidRPr="007434DA">
              <w:rPr>
                <w:rFonts w:cs="Times New Roman"/>
                <w:color w:val="000000"/>
                <w:sz w:val="20"/>
                <w:szCs w:val="20"/>
                <w:lang w:val="cs-CZ" w:eastAsia="cs-CZ"/>
              </w:rPr>
              <w:t>2 444</w:t>
            </w:r>
          </w:p>
        </w:tc>
        <w:tc>
          <w:tcPr>
            <w:tcW w:w="1322" w:type="dxa"/>
            <w:tcBorders>
              <w:top w:val="nil"/>
              <w:left w:val="nil"/>
              <w:bottom w:val="single" w:sz="12" w:space="0" w:color="969696"/>
              <w:right w:val="single" w:sz="12" w:space="0" w:color="969696"/>
            </w:tcBorders>
          </w:tcPr>
          <w:p w14:paraId="4CD21363" w14:textId="77777777" w:rsidR="00CB2594" w:rsidRPr="007434DA" w:rsidRDefault="00CB2594" w:rsidP="004A57B3">
            <w:pPr>
              <w:autoSpaceDE w:val="0"/>
              <w:autoSpaceDN w:val="0"/>
              <w:adjustRightInd w:val="0"/>
              <w:ind w:right="317"/>
              <w:jc w:val="right"/>
              <w:rPr>
                <w:rFonts w:cs="Times New Roman"/>
                <w:color w:val="000000"/>
                <w:sz w:val="20"/>
                <w:szCs w:val="20"/>
                <w:lang w:val="cs-CZ" w:eastAsia="cs-CZ"/>
              </w:rPr>
            </w:pPr>
            <w:r w:rsidRPr="007434DA">
              <w:rPr>
                <w:rFonts w:cs="Times New Roman"/>
                <w:color w:val="000000"/>
                <w:sz w:val="20"/>
                <w:szCs w:val="20"/>
                <w:lang w:val="cs-CZ" w:eastAsia="cs-CZ"/>
              </w:rPr>
              <w:t>1</w:t>
            </w:r>
          </w:p>
        </w:tc>
        <w:tc>
          <w:tcPr>
            <w:tcW w:w="1323" w:type="dxa"/>
            <w:tcBorders>
              <w:top w:val="nil"/>
              <w:left w:val="nil"/>
              <w:bottom w:val="single" w:sz="12" w:space="0" w:color="969696"/>
              <w:right w:val="single" w:sz="12" w:space="0" w:color="969696"/>
            </w:tcBorders>
          </w:tcPr>
          <w:p w14:paraId="323EA664" w14:textId="77777777" w:rsidR="00CB2594" w:rsidRPr="007434DA" w:rsidRDefault="00CB2594" w:rsidP="004A57B3">
            <w:pPr>
              <w:autoSpaceDE w:val="0"/>
              <w:autoSpaceDN w:val="0"/>
              <w:adjustRightInd w:val="0"/>
              <w:ind w:right="317"/>
              <w:jc w:val="right"/>
              <w:rPr>
                <w:rFonts w:cs="Times New Roman"/>
                <w:color w:val="000000"/>
                <w:sz w:val="20"/>
                <w:szCs w:val="20"/>
                <w:lang w:val="cs-CZ" w:eastAsia="cs-CZ"/>
              </w:rPr>
            </w:pPr>
            <w:r w:rsidRPr="007434DA">
              <w:rPr>
                <w:rFonts w:cs="Times New Roman"/>
                <w:color w:val="000000"/>
                <w:sz w:val="20"/>
                <w:szCs w:val="20"/>
                <w:lang w:val="cs-CZ" w:eastAsia="cs-CZ"/>
              </w:rPr>
              <w:t>0</w:t>
            </w:r>
          </w:p>
        </w:tc>
        <w:tc>
          <w:tcPr>
            <w:tcW w:w="1322" w:type="dxa"/>
            <w:tcBorders>
              <w:top w:val="nil"/>
              <w:left w:val="nil"/>
              <w:bottom w:val="single" w:sz="12" w:space="0" w:color="969696"/>
              <w:right w:val="single" w:sz="12" w:space="0" w:color="969696"/>
            </w:tcBorders>
          </w:tcPr>
          <w:p w14:paraId="2882139C" w14:textId="77777777" w:rsidR="00CB2594" w:rsidRPr="007434DA" w:rsidRDefault="00CB2594" w:rsidP="004A57B3">
            <w:pPr>
              <w:autoSpaceDE w:val="0"/>
              <w:autoSpaceDN w:val="0"/>
              <w:adjustRightInd w:val="0"/>
              <w:ind w:right="317"/>
              <w:jc w:val="right"/>
              <w:rPr>
                <w:rFonts w:cs="Times New Roman"/>
                <w:color w:val="000000"/>
                <w:sz w:val="20"/>
                <w:szCs w:val="20"/>
                <w:lang w:val="cs-CZ" w:eastAsia="cs-CZ"/>
              </w:rPr>
            </w:pPr>
            <w:r w:rsidRPr="007434DA">
              <w:rPr>
                <w:rFonts w:cs="Times New Roman"/>
                <w:color w:val="000000"/>
                <w:sz w:val="20"/>
                <w:szCs w:val="20"/>
                <w:lang w:val="cs-CZ" w:eastAsia="cs-CZ"/>
              </w:rPr>
              <w:t>0,13</w:t>
            </w:r>
          </w:p>
        </w:tc>
      </w:tr>
      <w:tr w:rsidR="00CB2594" w:rsidRPr="007434DA" w14:paraId="6471B3E8" w14:textId="77777777" w:rsidTr="004A57B3">
        <w:trPr>
          <w:trHeight w:val="581"/>
        </w:trPr>
        <w:tc>
          <w:tcPr>
            <w:tcW w:w="1731" w:type="dxa"/>
            <w:tcBorders>
              <w:top w:val="nil"/>
              <w:left w:val="single" w:sz="12" w:space="0" w:color="969696"/>
              <w:bottom w:val="nil"/>
              <w:right w:val="single" w:sz="12" w:space="0" w:color="969696"/>
            </w:tcBorders>
          </w:tcPr>
          <w:p w14:paraId="590247CC" w14:textId="77777777" w:rsidR="00CB2594" w:rsidRPr="007434DA" w:rsidRDefault="00CB2594" w:rsidP="004A57B3">
            <w:pPr>
              <w:autoSpaceDE w:val="0"/>
              <w:autoSpaceDN w:val="0"/>
              <w:adjustRightInd w:val="0"/>
              <w:jc w:val="right"/>
              <w:rPr>
                <w:rFonts w:cs="Times New Roman"/>
                <w:color w:val="000000"/>
                <w:sz w:val="20"/>
                <w:szCs w:val="20"/>
                <w:lang w:val="cs-CZ" w:eastAsia="cs-CZ"/>
              </w:rPr>
            </w:pPr>
          </w:p>
        </w:tc>
        <w:tc>
          <w:tcPr>
            <w:tcW w:w="1843" w:type="dxa"/>
            <w:tcBorders>
              <w:top w:val="nil"/>
              <w:left w:val="nil"/>
              <w:bottom w:val="single" w:sz="12" w:space="0" w:color="969696"/>
              <w:right w:val="single" w:sz="12" w:space="0" w:color="969696"/>
            </w:tcBorders>
          </w:tcPr>
          <w:p w14:paraId="47894BA1" w14:textId="77777777" w:rsidR="00CB2594" w:rsidRPr="007434DA" w:rsidRDefault="00CB2594" w:rsidP="004A57B3">
            <w:pPr>
              <w:autoSpaceDE w:val="0"/>
              <w:autoSpaceDN w:val="0"/>
              <w:adjustRightInd w:val="0"/>
              <w:rPr>
                <w:rFonts w:cs="Times New Roman"/>
                <w:color w:val="000000"/>
                <w:sz w:val="20"/>
                <w:szCs w:val="20"/>
                <w:lang w:val="cs-CZ" w:eastAsia="cs-CZ"/>
              </w:rPr>
            </w:pPr>
            <w:r w:rsidRPr="007434DA">
              <w:rPr>
                <w:rFonts w:cs="Times New Roman"/>
                <w:color w:val="000000"/>
                <w:sz w:val="20"/>
                <w:szCs w:val="20"/>
                <w:lang w:val="cs-CZ" w:eastAsia="cs-CZ"/>
              </w:rPr>
              <w:t>chloridazon-desphenyl</w:t>
            </w:r>
          </w:p>
        </w:tc>
        <w:tc>
          <w:tcPr>
            <w:tcW w:w="1519" w:type="dxa"/>
            <w:tcBorders>
              <w:top w:val="nil"/>
              <w:left w:val="nil"/>
              <w:bottom w:val="single" w:sz="12" w:space="0" w:color="969696"/>
              <w:right w:val="single" w:sz="12" w:space="0" w:color="969696"/>
            </w:tcBorders>
          </w:tcPr>
          <w:p w14:paraId="79273641" w14:textId="77777777" w:rsidR="00CB2594" w:rsidRPr="007434DA" w:rsidRDefault="00CB2594" w:rsidP="004A57B3">
            <w:pPr>
              <w:autoSpaceDE w:val="0"/>
              <w:autoSpaceDN w:val="0"/>
              <w:adjustRightInd w:val="0"/>
              <w:ind w:right="317"/>
              <w:jc w:val="right"/>
              <w:rPr>
                <w:rFonts w:cs="Times New Roman"/>
                <w:color w:val="000000"/>
                <w:sz w:val="20"/>
                <w:szCs w:val="20"/>
                <w:lang w:val="cs-CZ" w:eastAsia="cs-CZ"/>
              </w:rPr>
            </w:pPr>
            <w:r w:rsidRPr="007434DA">
              <w:rPr>
                <w:rFonts w:cs="Times New Roman"/>
                <w:color w:val="000000"/>
                <w:sz w:val="20"/>
                <w:szCs w:val="20"/>
                <w:lang w:val="cs-CZ" w:eastAsia="cs-CZ"/>
              </w:rPr>
              <w:t>1 683</w:t>
            </w:r>
          </w:p>
        </w:tc>
        <w:tc>
          <w:tcPr>
            <w:tcW w:w="1322" w:type="dxa"/>
            <w:tcBorders>
              <w:top w:val="nil"/>
              <w:left w:val="nil"/>
              <w:bottom w:val="single" w:sz="12" w:space="0" w:color="969696"/>
              <w:right w:val="single" w:sz="12" w:space="0" w:color="969696"/>
            </w:tcBorders>
          </w:tcPr>
          <w:p w14:paraId="7059427D" w14:textId="77777777" w:rsidR="00CB2594" w:rsidRPr="007434DA" w:rsidRDefault="00CB2594" w:rsidP="004A57B3">
            <w:pPr>
              <w:autoSpaceDE w:val="0"/>
              <w:autoSpaceDN w:val="0"/>
              <w:adjustRightInd w:val="0"/>
              <w:ind w:right="317"/>
              <w:jc w:val="right"/>
              <w:rPr>
                <w:rFonts w:cs="Times New Roman"/>
                <w:color w:val="000000"/>
                <w:sz w:val="20"/>
                <w:szCs w:val="20"/>
                <w:lang w:val="cs-CZ" w:eastAsia="cs-CZ"/>
              </w:rPr>
            </w:pPr>
            <w:r w:rsidRPr="007434DA">
              <w:rPr>
                <w:rFonts w:cs="Times New Roman"/>
                <w:color w:val="000000"/>
                <w:sz w:val="20"/>
                <w:szCs w:val="20"/>
                <w:lang w:val="cs-CZ" w:eastAsia="cs-CZ"/>
              </w:rPr>
              <w:t>344</w:t>
            </w:r>
          </w:p>
        </w:tc>
        <w:tc>
          <w:tcPr>
            <w:tcW w:w="1323" w:type="dxa"/>
            <w:tcBorders>
              <w:top w:val="nil"/>
              <w:left w:val="nil"/>
              <w:bottom w:val="single" w:sz="12" w:space="0" w:color="969696"/>
              <w:right w:val="single" w:sz="12" w:space="0" w:color="969696"/>
            </w:tcBorders>
          </w:tcPr>
          <w:p w14:paraId="2B589E63" w14:textId="77777777" w:rsidR="00CB2594" w:rsidRPr="007434DA" w:rsidRDefault="00CB2594" w:rsidP="004A57B3">
            <w:pPr>
              <w:autoSpaceDE w:val="0"/>
              <w:autoSpaceDN w:val="0"/>
              <w:adjustRightInd w:val="0"/>
              <w:ind w:right="317"/>
              <w:jc w:val="right"/>
              <w:rPr>
                <w:rFonts w:cs="Times New Roman"/>
                <w:color w:val="000000"/>
                <w:sz w:val="20"/>
                <w:szCs w:val="20"/>
                <w:lang w:val="cs-CZ" w:eastAsia="cs-CZ"/>
              </w:rPr>
            </w:pPr>
            <w:r w:rsidRPr="007434DA">
              <w:rPr>
                <w:rFonts w:cs="Times New Roman"/>
                <w:color w:val="000000"/>
                <w:sz w:val="20"/>
                <w:szCs w:val="20"/>
                <w:lang w:val="cs-CZ" w:eastAsia="cs-CZ"/>
              </w:rPr>
              <w:t>48</w:t>
            </w:r>
          </w:p>
        </w:tc>
        <w:tc>
          <w:tcPr>
            <w:tcW w:w="1322" w:type="dxa"/>
            <w:tcBorders>
              <w:top w:val="nil"/>
              <w:left w:val="nil"/>
              <w:bottom w:val="single" w:sz="12" w:space="0" w:color="969696"/>
              <w:right w:val="single" w:sz="12" w:space="0" w:color="969696"/>
            </w:tcBorders>
          </w:tcPr>
          <w:p w14:paraId="01C101E1" w14:textId="77777777" w:rsidR="00CB2594" w:rsidRPr="007434DA" w:rsidRDefault="00CB2594" w:rsidP="004A57B3">
            <w:pPr>
              <w:autoSpaceDE w:val="0"/>
              <w:autoSpaceDN w:val="0"/>
              <w:adjustRightInd w:val="0"/>
              <w:ind w:right="317"/>
              <w:jc w:val="right"/>
              <w:rPr>
                <w:rFonts w:cs="Times New Roman"/>
                <w:color w:val="000000"/>
                <w:sz w:val="20"/>
                <w:szCs w:val="20"/>
                <w:lang w:val="cs-CZ" w:eastAsia="cs-CZ"/>
              </w:rPr>
            </w:pPr>
            <w:r w:rsidRPr="007434DA">
              <w:rPr>
                <w:rFonts w:cs="Times New Roman"/>
                <w:color w:val="000000"/>
                <w:sz w:val="20"/>
                <w:szCs w:val="20"/>
                <w:lang w:val="cs-CZ" w:eastAsia="cs-CZ"/>
              </w:rPr>
              <w:t>6,85</w:t>
            </w:r>
          </w:p>
        </w:tc>
      </w:tr>
      <w:tr w:rsidR="00CB2594" w:rsidRPr="007434DA" w14:paraId="0585E89C" w14:textId="77777777" w:rsidTr="004A57B3">
        <w:trPr>
          <w:trHeight w:val="566"/>
        </w:trPr>
        <w:tc>
          <w:tcPr>
            <w:tcW w:w="1731" w:type="dxa"/>
            <w:tcBorders>
              <w:top w:val="nil"/>
              <w:left w:val="single" w:sz="12" w:space="0" w:color="969696"/>
              <w:bottom w:val="single" w:sz="12" w:space="0" w:color="969696"/>
              <w:right w:val="single" w:sz="12" w:space="0" w:color="969696"/>
            </w:tcBorders>
          </w:tcPr>
          <w:p w14:paraId="790FBAB3" w14:textId="77777777" w:rsidR="00CB2594" w:rsidRPr="007434DA" w:rsidRDefault="00CB2594" w:rsidP="004A57B3">
            <w:pPr>
              <w:autoSpaceDE w:val="0"/>
              <w:autoSpaceDN w:val="0"/>
              <w:adjustRightInd w:val="0"/>
              <w:jc w:val="right"/>
              <w:rPr>
                <w:rFonts w:cs="Times New Roman"/>
                <w:color w:val="000000"/>
                <w:sz w:val="20"/>
                <w:szCs w:val="20"/>
                <w:lang w:val="cs-CZ" w:eastAsia="cs-CZ"/>
              </w:rPr>
            </w:pPr>
          </w:p>
        </w:tc>
        <w:tc>
          <w:tcPr>
            <w:tcW w:w="1843" w:type="dxa"/>
            <w:tcBorders>
              <w:top w:val="nil"/>
              <w:left w:val="nil"/>
              <w:bottom w:val="single" w:sz="12" w:space="0" w:color="969696"/>
              <w:right w:val="single" w:sz="12" w:space="0" w:color="969696"/>
            </w:tcBorders>
          </w:tcPr>
          <w:p w14:paraId="6B7A59B0" w14:textId="77777777" w:rsidR="00CB2594" w:rsidRPr="007434DA" w:rsidRDefault="00CB2594" w:rsidP="004A57B3">
            <w:pPr>
              <w:autoSpaceDE w:val="0"/>
              <w:autoSpaceDN w:val="0"/>
              <w:adjustRightInd w:val="0"/>
              <w:rPr>
                <w:rFonts w:cs="Times New Roman"/>
                <w:color w:val="000000"/>
                <w:sz w:val="20"/>
                <w:szCs w:val="20"/>
                <w:lang w:val="cs-CZ" w:eastAsia="cs-CZ"/>
              </w:rPr>
            </w:pPr>
            <w:r w:rsidRPr="007434DA">
              <w:rPr>
                <w:rFonts w:cs="Times New Roman"/>
                <w:color w:val="000000"/>
                <w:sz w:val="20"/>
                <w:szCs w:val="20"/>
                <w:lang w:val="cs-CZ" w:eastAsia="cs-CZ"/>
              </w:rPr>
              <w:t>chloridazon-methyl-desphenyl</w:t>
            </w:r>
          </w:p>
        </w:tc>
        <w:tc>
          <w:tcPr>
            <w:tcW w:w="1519" w:type="dxa"/>
            <w:tcBorders>
              <w:top w:val="nil"/>
              <w:left w:val="nil"/>
              <w:bottom w:val="single" w:sz="12" w:space="0" w:color="969696"/>
              <w:right w:val="single" w:sz="12" w:space="0" w:color="969696"/>
            </w:tcBorders>
          </w:tcPr>
          <w:p w14:paraId="4FCFAE19" w14:textId="77777777" w:rsidR="00CB2594" w:rsidRPr="007434DA" w:rsidRDefault="00CB2594" w:rsidP="004A57B3">
            <w:pPr>
              <w:autoSpaceDE w:val="0"/>
              <w:autoSpaceDN w:val="0"/>
              <w:adjustRightInd w:val="0"/>
              <w:ind w:right="317"/>
              <w:jc w:val="right"/>
              <w:rPr>
                <w:rFonts w:cs="Times New Roman"/>
                <w:color w:val="000000"/>
                <w:sz w:val="20"/>
                <w:szCs w:val="20"/>
                <w:lang w:val="cs-CZ" w:eastAsia="cs-CZ"/>
              </w:rPr>
            </w:pPr>
            <w:r w:rsidRPr="007434DA">
              <w:rPr>
                <w:rFonts w:cs="Times New Roman"/>
                <w:color w:val="000000"/>
                <w:sz w:val="20"/>
                <w:szCs w:val="20"/>
                <w:lang w:val="cs-CZ" w:eastAsia="cs-CZ"/>
              </w:rPr>
              <w:t>1 640</w:t>
            </w:r>
          </w:p>
        </w:tc>
        <w:tc>
          <w:tcPr>
            <w:tcW w:w="1322" w:type="dxa"/>
            <w:tcBorders>
              <w:top w:val="nil"/>
              <w:left w:val="nil"/>
              <w:bottom w:val="single" w:sz="12" w:space="0" w:color="969696"/>
              <w:right w:val="single" w:sz="12" w:space="0" w:color="969696"/>
            </w:tcBorders>
          </w:tcPr>
          <w:p w14:paraId="6D56C3FB" w14:textId="77777777" w:rsidR="00CB2594" w:rsidRPr="007434DA" w:rsidRDefault="00CB2594" w:rsidP="004A57B3">
            <w:pPr>
              <w:autoSpaceDE w:val="0"/>
              <w:autoSpaceDN w:val="0"/>
              <w:adjustRightInd w:val="0"/>
              <w:ind w:right="317"/>
              <w:jc w:val="right"/>
              <w:rPr>
                <w:rFonts w:cs="Times New Roman"/>
                <w:color w:val="000000"/>
                <w:sz w:val="20"/>
                <w:szCs w:val="20"/>
                <w:lang w:val="cs-CZ" w:eastAsia="cs-CZ"/>
              </w:rPr>
            </w:pPr>
            <w:r w:rsidRPr="007434DA">
              <w:rPr>
                <w:rFonts w:cs="Times New Roman"/>
                <w:color w:val="000000"/>
                <w:sz w:val="20"/>
                <w:szCs w:val="20"/>
                <w:lang w:val="cs-CZ" w:eastAsia="cs-CZ"/>
              </w:rPr>
              <w:t>100</w:t>
            </w:r>
          </w:p>
        </w:tc>
        <w:tc>
          <w:tcPr>
            <w:tcW w:w="1323" w:type="dxa"/>
            <w:tcBorders>
              <w:top w:val="nil"/>
              <w:left w:val="nil"/>
              <w:bottom w:val="single" w:sz="12" w:space="0" w:color="969696"/>
              <w:right w:val="single" w:sz="12" w:space="0" w:color="969696"/>
            </w:tcBorders>
          </w:tcPr>
          <w:p w14:paraId="34A9584A" w14:textId="77777777" w:rsidR="00CB2594" w:rsidRPr="007434DA" w:rsidRDefault="00CB2594" w:rsidP="004A57B3">
            <w:pPr>
              <w:autoSpaceDE w:val="0"/>
              <w:autoSpaceDN w:val="0"/>
              <w:adjustRightInd w:val="0"/>
              <w:ind w:right="317"/>
              <w:jc w:val="right"/>
              <w:rPr>
                <w:rFonts w:cs="Times New Roman"/>
                <w:color w:val="000000"/>
                <w:sz w:val="20"/>
                <w:szCs w:val="20"/>
                <w:lang w:val="cs-CZ" w:eastAsia="cs-CZ"/>
              </w:rPr>
            </w:pPr>
            <w:r w:rsidRPr="007434DA">
              <w:rPr>
                <w:rFonts w:cs="Times New Roman"/>
                <w:color w:val="000000"/>
                <w:sz w:val="20"/>
                <w:szCs w:val="20"/>
                <w:lang w:val="cs-CZ" w:eastAsia="cs-CZ"/>
              </w:rPr>
              <w:t>3</w:t>
            </w:r>
          </w:p>
        </w:tc>
        <w:tc>
          <w:tcPr>
            <w:tcW w:w="1322" w:type="dxa"/>
            <w:tcBorders>
              <w:top w:val="nil"/>
              <w:left w:val="nil"/>
              <w:bottom w:val="single" w:sz="12" w:space="0" w:color="969696"/>
              <w:right w:val="single" w:sz="12" w:space="0" w:color="969696"/>
            </w:tcBorders>
          </w:tcPr>
          <w:p w14:paraId="5FACDC22" w14:textId="77777777" w:rsidR="00CB2594" w:rsidRPr="007434DA" w:rsidRDefault="00CB2594" w:rsidP="004A57B3">
            <w:pPr>
              <w:autoSpaceDE w:val="0"/>
              <w:autoSpaceDN w:val="0"/>
              <w:adjustRightInd w:val="0"/>
              <w:ind w:right="317"/>
              <w:jc w:val="right"/>
              <w:rPr>
                <w:rFonts w:cs="Times New Roman"/>
                <w:color w:val="000000"/>
                <w:sz w:val="20"/>
                <w:szCs w:val="20"/>
                <w:lang w:val="cs-CZ" w:eastAsia="cs-CZ"/>
              </w:rPr>
            </w:pPr>
            <w:r w:rsidRPr="007434DA">
              <w:rPr>
                <w:rFonts w:cs="Times New Roman"/>
                <w:color w:val="000000"/>
                <w:sz w:val="20"/>
                <w:szCs w:val="20"/>
                <w:lang w:val="cs-CZ" w:eastAsia="cs-CZ"/>
              </w:rPr>
              <w:t>3,78</w:t>
            </w:r>
          </w:p>
        </w:tc>
      </w:tr>
      <w:tr w:rsidR="00CB2594" w:rsidRPr="007434DA" w14:paraId="507F6ABC" w14:textId="77777777" w:rsidTr="004A57B3">
        <w:trPr>
          <w:trHeight w:val="478"/>
        </w:trPr>
        <w:tc>
          <w:tcPr>
            <w:tcW w:w="1731" w:type="dxa"/>
            <w:tcBorders>
              <w:top w:val="single" w:sz="12" w:space="0" w:color="969696"/>
              <w:left w:val="single" w:sz="12" w:space="0" w:color="969696"/>
              <w:bottom w:val="nil"/>
              <w:right w:val="single" w:sz="12" w:space="0" w:color="969696"/>
            </w:tcBorders>
          </w:tcPr>
          <w:p w14:paraId="7D395D7E" w14:textId="77777777" w:rsidR="00CB2594" w:rsidRPr="007434DA" w:rsidRDefault="00CB2594" w:rsidP="004A57B3">
            <w:pPr>
              <w:autoSpaceDE w:val="0"/>
              <w:autoSpaceDN w:val="0"/>
              <w:adjustRightInd w:val="0"/>
              <w:rPr>
                <w:rFonts w:cs="Times New Roman"/>
                <w:b/>
                <w:bCs/>
                <w:color w:val="000000"/>
                <w:sz w:val="20"/>
                <w:szCs w:val="20"/>
                <w:lang w:val="cs-CZ" w:eastAsia="cs-CZ"/>
              </w:rPr>
            </w:pPr>
            <w:r w:rsidRPr="007434DA">
              <w:rPr>
                <w:rFonts w:cs="Times New Roman"/>
                <w:b/>
                <w:bCs/>
                <w:color w:val="000000"/>
                <w:sz w:val="20"/>
                <w:szCs w:val="20"/>
                <w:lang w:val="cs-CZ" w:eastAsia="cs-CZ"/>
              </w:rPr>
              <w:t>2/řepka</w:t>
            </w:r>
          </w:p>
        </w:tc>
        <w:tc>
          <w:tcPr>
            <w:tcW w:w="1843" w:type="dxa"/>
            <w:tcBorders>
              <w:top w:val="nil"/>
              <w:left w:val="nil"/>
              <w:bottom w:val="single" w:sz="12" w:space="0" w:color="969696"/>
              <w:right w:val="single" w:sz="12" w:space="0" w:color="969696"/>
            </w:tcBorders>
          </w:tcPr>
          <w:p w14:paraId="1CC4AD27" w14:textId="77777777" w:rsidR="00CB2594" w:rsidRPr="007434DA" w:rsidRDefault="00CB2594" w:rsidP="004A57B3">
            <w:pPr>
              <w:autoSpaceDE w:val="0"/>
              <w:autoSpaceDN w:val="0"/>
              <w:adjustRightInd w:val="0"/>
              <w:rPr>
                <w:rFonts w:cs="Times New Roman"/>
                <w:color w:val="000000"/>
                <w:sz w:val="20"/>
                <w:szCs w:val="20"/>
                <w:lang w:val="cs-CZ" w:eastAsia="cs-CZ"/>
              </w:rPr>
            </w:pPr>
            <w:r w:rsidRPr="007434DA">
              <w:rPr>
                <w:rFonts w:cs="Times New Roman"/>
                <w:color w:val="000000"/>
                <w:sz w:val="20"/>
                <w:szCs w:val="20"/>
                <w:lang w:val="cs-CZ" w:eastAsia="cs-CZ"/>
              </w:rPr>
              <w:t>metazachlor</w:t>
            </w:r>
          </w:p>
        </w:tc>
        <w:tc>
          <w:tcPr>
            <w:tcW w:w="1519" w:type="dxa"/>
            <w:tcBorders>
              <w:top w:val="nil"/>
              <w:left w:val="nil"/>
              <w:bottom w:val="single" w:sz="12" w:space="0" w:color="969696"/>
              <w:right w:val="single" w:sz="12" w:space="0" w:color="969696"/>
            </w:tcBorders>
          </w:tcPr>
          <w:p w14:paraId="403366BE" w14:textId="77777777" w:rsidR="00CB2594" w:rsidRPr="007434DA" w:rsidRDefault="00CB2594" w:rsidP="004A57B3">
            <w:pPr>
              <w:autoSpaceDE w:val="0"/>
              <w:autoSpaceDN w:val="0"/>
              <w:adjustRightInd w:val="0"/>
              <w:ind w:right="317"/>
              <w:jc w:val="right"/>
              <w:rPr>
                <w:rFonts w:cs="Times New Roman"/>
                <w:color w:val="000000"/>
                <w:sz w:val="20"/>
                <w:szCs w:val="20"/>
                <w:lang w:val="cs-CZ" w:eastAsia="cs-CZ"/>
              </w:rPr>
            </w:pPr>
            <w:r w:rsidRPr="007434DA">
              <w:rPr>
                <w:rFonts w:cs="Times New Roman"/>
                <w:color w:val="000000"/>
                <w:sz w:val="20"/>
                <w:szCs w:val="20"/>
                <w:lang w:val="cs-CZ" w:eastAsia="cs-CZ"/>
              </w:rPr>
              <w:t>4 040</w:t>
            </w:r>
          </w:p>
        </w:tc>
        <w:tc>
          <w:tcPr>
            <w:tcW w:w="1322" w:type="dxa"/>
            <w:tcBorders>
              <w:top w:val="nil"/>
              <w:left w:val="nil"/>
              <w:bottom w:val="single" w:sz="12" w:space="0" w:color="969696"/>
              <w:right w:val="single" w:sz="12" w:space="0" w:color="969696"/>
            </w:tcBorders>
          </w:tcPr>
          <w:p w14:paraId="0EF95BFF" w14:textId="77777777" w:rsidR="00CB2594" w:rsidRPr="007434DA" w:rsidRDefault="00CB2594" w:rsidP="004A57B3">
            <w:pPr>
              <w:autoSpaceDE w:val="0"/>
              <w:autoSpaceDN w:val="0"/>
              <w:adjustRightInd w:val="0"/>
              <w:ind w:right="317"/>
              <w:jc w:val="right"/>
              <w:rPr>
                <w:rFonts w:cs="Times New Roman"/>
                <w:color w:val="000000"/>
                <w:sz w:val="20"/>
                <w:szCs w:val="20"/>
                <w:lang w:val="cs-CZ" w:eastAsia="cs-CZ"/>
              </w:rPr>
            </w:pPr>
            <w:r w:rsidRPr="007434DA">
              <w:rPr>
                <w:rFonts w:cs="Times New Roman"/>
                <w:color w:val="000000"/>
                <w:sz w:val="20"/>
                <w:szCs w:val="20"/>
                <w:lang w:val="cs-CZ" w:eastAsia="cs-CZ"/>
              </w:rPr>
              <w:t>1</w:t>
            </w:r>
          </w:p>
        </w:tc>
        <w:tc>
          <w:tcPr>
            <w:tcW w:w="1323" w:type="dxa"/>
            <w:tcBorders>
              <w:top w:val="nil"/>
              <w:left w:val="nil"/>
              <w:bottom w:val="single" w:sz="12" w:space="0" w:color="969696"/>
              <w:right w:val="single" w:sz="12" w:space="0" w:color="969696"/>
            </w:tcBorders>
          </w:tcPr>
          <w:p w14:paraId="0F4AF85E" w14:textId="77777777" w:rsidR="00CB2594" w:rsidRPr="007434DA" w:rsidRDefault="00CB2594" w:rsidP="004A57B3">
            <w:pPr>
              <w:autoSpaceDE w:val="0"/>
              <w:autoSpaceDN w:val="0"/>
              <w:adjustRightInd w:val="0"/>
              <w:ind w:right="317"/>
              <w:jc w:val="right"/>
              <w:rPr>
                <w:rFonts w:cs="Times New Roman"/>
                <w:color w:val="000000"/>
                <w:sz w:val="20"/>
                <w:szCs w:val="20"/>
                <w:lang w:val="cs-CZ" w:eastAsia="cs-CZ"/>
              </w:rPr>
            </w:pPr>
            <w:r w:rsidRPr="007434DA">
              <w:rPr>
                <w:rFonts w:cs="Times New Roman"/>
                <w:color w:val="000000"/>
                <w:sz w:val="20"/>
                <w:szCs w:val="20"/>
                <w:lang w:val="cs-CZ" w:eastAsia="cs-CZ"/>
              </w:rPr>
              <w:t>0</w:t>
            </w:r>
          </w:p>
        </w:tc>
        <w:tc>
          <w:tcPr>
            <w:tcW w:w="1322" w:type="dxa"/>
            <w:tcBorders>
              <w:top w:val="nil"/>
              <w:left w:val="nil"/>
              <w:bottom w:val="single" w:sz="12" w:space="0" w:color="969696"/>
              <w:right w:val="single" w:sz="12" w:space="0" w:color="969696"/>
            </w:tcBorders>
          </w:tcPr>
          <w:p w14:paraId="4A26E080" w14:textId="77777777" w:rsidR="00CB2594" w:rsidRPr="007434DA" w:rsidRDefault="00CB2594" w:rsidP="004A57B3">
            <w:pPr>
              <w:autoSpaceDE w:val="0"/>
              <w:autoSpaceDN w:val="0"/>
              <w:adjustRightInd w:val="0"/>
              <w:ind w:right="317"/>
              <w:jc w:val="right"/>
              <w:rPr>
                <w:rFonts w:cs="Times New Roman"/>
                <w:color w:val="000000"/>
                <w:sz w:val="20"/>
                <w:szCs w:val="20"/>
                <w:lang w:val="cs-CZ" w:eastAsia="cs-CZ"/>
              </w:rPr>
            </w:pPr>
            <w:r w:rsidRPr="007434DA">
              <w:rPr>
                <w:rFonts w:cs="Times New Roman"/>
                <w:color w:val="000000"/>
                <w:sz w:val="20"/>
                <w:szCs w:val="20"/>
                <w:lang w:val="cs-CZ" w:eastAsia="cs-CZ"/>
              </w:rPr>
              <w:t>0,25</w:t>
            </w:r>
          </w:p>
        </w:tc>
      </w:tr>
      <w:tr w:rsidR="00CB2594" w:rsidRPr="007434DA" w14:paraId="30529CFA" w14:textId="77777777" w:rsidTr="004A57B3">
        <w:trPr>
          <w:trHeight w:val="478"/>
        </w:trPr>
        <w:tc>
          <w:tcPr>
            <w:tcW w:w="1731" w:type="dxa"/>
            <w:tcBorders>
              <w:top w:val="nil"/>
              <w:left w:val="single" w:sz="12" w:space="0" w:color="969696"/>
              <w:bottom w:val="nil"/>
              <w:right w:val="single" w:sz="12" w:space="0" w:color="969696"/>
            </w:tcBorders>
          </w:tcPr>
          <w:p w14:paraId="432E9F24" w14:textId="77777777" w:rsidR="00CB2594" w:rsidRPr="007434DA" w:rsidRDefault="00CB2594" w:rsidP="004A57B3">
            <w:pPr>
              <w:autoSpaceDE w:val="0"/>
              <w:autoSpaceDN w:val="0"/>
              <w:adjustRightInd w:val="0"/>
              <w:jc w:val="right"/>
              <w:rPr>
                <w:rFonts w:cs="Times New Roman"/>
                <w:color w:val="000000"/>
                <w:sz w:val="20"/>
                <w:szCs w:val="20"/>
                <w:lang w:val="cs-CZ" w:eastAsia="cs-CZ"/>
              </w:rPr>
            </w:pPr>
          </w:p>
        </w:tc>
        <w:tc>
          <w:tcPr>
            <w:tcW w:w="1843" w:type="dxa"/>
            <w:tcBorders>
              <w:top w:val="nil"/>
              <w:left w:val="nil"/>
              <w:bottom w:val="single" w:sz="12" w:space="0" w:color="969696"/>
              <w:right w:val="single" w:sz="12" w:space="0" w:color="969696"/>
            </w:tcBorders>
          </w:tcPr>
          <w:p w14:paraId="6E9BF0AE" w14:textId="77777777" w:rsidR="00CB2594" w:rsidRPr="007434DA" w:rsidRDefault="00CB2594" w:rsidP="004A57B3">
            <w:pPr>
              <w:autoSpaceDE w:val="0"/>
              <w:autoSpaceDN w:val="0"/>
              <w:adjustRightInd w:val="0"/>
              <w:rPr>
                <w:rFonts w:cs="Times New Roman"/>
                <w:color w:val="000000"/>
                <w:sz w:val="20"/>
                <w:szCs w:val="20"/>
                <w:lang w:val="cs-CZ" w:eastAsia="cs-CZ"/>
              </w:rPr>
            </w:pPr>
            <w:r w:rsidRPr="007434DA">
              <w:rPr>
                <w:rFonts w:cs="Times New Roman"/>
                <w:color w:val="000000"/>
                <w:sz w:val="20"/>
                <w:szCs w:val="20"/>
                <w:lang w:val="cs-CZ" w:eastAsia="cs-CZ"/>
              </w:rPr>
              <w:t>Metazachlor ESA</w:t>
            </w:r>
          </w:p>
        </w:tc>
        <w:tc>
          <w:tcPr>
            <w:tcW w:w="1519" w:type="dxa"/>
            <w:tcBorders>
              <w:top w:val="nil"/>
              <w:left w:val="nil"/>
              <w:bottom w:val="single" w:sz="12" w:space="0" w:color="969696"/>
              <w:right w:val="single" w:sz="12" w:space="0" w:color="969696"/>
            </w:tcBorders>
          </w:tcPr>
          <w:p w14:paraId="6F6D43C9" w14:textId="77777777" w:rsidR="00CB2594" w:rsidRPr="007434DA" w:rsidRDefault="00CB2594" w:rsidP="004A57B3">
            <w:pPr>
              <w:autoSpaceDE w:val="0"/>
              <w:autoSpaceDN w:val="0"/>
              <w:adjustRightInd w:val="0"/>
              <w:ind w:right="317"/>
              <w:jc w:val="right"/>
              <w:rPr>
                <w:rFonts w:cs="Times New Roman"/>
                <w:color w:val="000000"/>
                <w:sz w:val="20"/>
                <w:szCs w:val="20"/>
                <w:lang w:val="cs-CZ" w:eastAsia="cs-CZ"/>
              </w:rPr>
            </w:pPr>
            <w:r w:rsidRPr="007434DA">
              <w:rPr>
                <w:rFonts w:cs="Times New Roman"/>
                <w:color w:val="000000"/>
                <w:sz w:val="20"/>
                <w:szCs w:val="20"/>
                <w:lang w:val="cs-CZ" w:eastAsia="cs-CZ"/>
              </w:rPr>
              <w:t>2 500</w:t>
            </w:r>
          </w:p>
        </w:tc>
        <w:tc>
          <w:tcPr>
            <w:tcW w:w="1322" w:type="dxa"/>
            <w:tcBorders>
              <w:top w:val="nil"/>
              <w:left w:val="nil"/>
              <w:bottom w:val="single" w:sz="12" w:space="0" w:color="969696"/>
              <w:right w:val="single" w:sz="12" w:space="0" w:color="969696"/>
            </w:tcBorders>
          </w:tcPr>
          <w:p w14:paraId="4DCE6A88" w14:textId="77777777" w:rsidR="00CB2594" w:rsidRPr="007434DA" w:rsidRDefault="00CB2594" w:rsidP="004A57B3">
            <w:pPr>
              <w:autoSpaceDE w:val="0"/>
              <w:autoSpaceDN w:val="0"/>
              <w:adjustRightInd w:val="0"/>
              <w:ind w:right="317"/>
              <w:jc w:val="right"/>
              <w:rPr>
                <w:rFonts w:cs="Times New Roman"/>
                <w:color w:val="000000"/>
                <w:sz w:val="20"/>
                <w:szCs w:val="20"/>
                <w:lang w:val="cs-CZ" w:eastAsia="cs-CZ"/>
              </w:rPr>
            </w:pPr>
            <w:r w:rsidRPr="007434DA">
              <w:rPr>
                <w:rFonts w:cs="Times New Roman"/>
                <w:color w:val="000000"/>
                <w:sz w:val="20"/>
                <w:szCs w:val="20"/>
                <w:lang w:val="cs-CZ" w:eastAsia="cs-CZ"/>
              </w:rPr>
              <w:t>627</w:t>
            </w:r>
          </w:p>
        </w:tc>
        <w:tc>
          <w:tcPr>
            <w:tcW w:w="1323" w:type="dxa"/>
            <w:tcBorders>
              <w:top w:val="nil"/>
              <w:left w:val="nil"/>
              <w:bottom w:val="single" w:sz="12" w:space="0" w:color="969696"/>
              <w:right w:val="single" w:sz="12" w:space="0" w:color="969696"/>
            </w:tcBorders>
          </w:tcPr>
          <w:p w14:paraId="02D9CEA2" w14:textId="77777777" w:rsidR="00CB2594" w:rsidRPr="007434DA" w:rsidRDefault="00CB2594" w:rsidP="004A57B3">
            <w:pPr>
              <w:autoSpaceDE w:val="0"/>
              <w:autoSpaceDN w:val="0"/>
              <w:adjustRightInd w:val="0"/>
              <w:ind w:right="317"/>
              <w:jc w:val="right"/>
              <w:rPr>
                <w:rFonts w:cs="Times New Roman"/>
                <w:color w:val="000000"/>
                <w:sz w:val="20"/>
                <w:szCs w:val="20"/>
                <w:lang w:val="cs-CZ" w:eastAsia="cs-CZ"/>
              </w:rPr>
            </w:pPr>
            <w:r w:rsidRPr="007434DA">
              <w:rPr>
                <w:rFonts w:cs="Times New Roman"/>
                <w:color w:val="000000"/>
                <w:sz w:val="20"/>
                <w:szCs w:val="20"/>
                <w:lang w:val="cs-CZ" w:eastAsia="cs-CZ"/>
              </w:rPr>
              <w:t>70</w:t>
            </w:r>
          </w:p>
        </w:tc>
        <w:tc>
          <w:tcPr>
            <w:tcW w:w="1322" w:type="dxa"/>
            <w:tcBorders>
              <w:top w:val="nil"/>
              <w:left w:val="nil"/>
              <w:bottom w:val="single" w:sz="12" w:space="0" w:color="969696"/>
              <w:right w:val="single" w:sz="12" w:space="0" w:color="969696"/>
            </w:tcBorders>
          </w:tcPr>
          <w:p w14:paraId="78D8CD8D" w14:textId="77777777" w:rsidR="00CB2594" w:rsidRPr="007434DA" w:rsidRDefault="00CB2594" w:rsidP="004A57B3">
            <w:pPr>
              <w:autoSpaceDE w:val="0"/>
              <w:autoSpaceDN w:val="0"/>
              <w:adjustRightInd w:val="0"/>
              <w:ind w:right="317"/>
              <w:jc w:val="right"/>
              <w:rPr>
                <w:rFonts w:cs="Times New Roman"/>
                <w:color w:val="000000"/>
                <w:sz w:val="20"/>
                <w:szCs w:val="20"/>
                <w:lang w:val="cs-CZ" w:eastAsia="cs-CZ"/>
              </w:rPr>
            </w:pPr>
            <w:r w:rsidRPr="007434DA">
              <w:rPr>
                <w:rFonts w:cs="Times New Roman"/>
                <w:color w:val="000000"/>
                <w:sz w:val="20"/>
                <w:szCs w:val="20"/>
                <w:lang w:val="cs-CZ" w:eastAsia="cs-CZ"/>
              </w:rPr>
              <w:t>6,55</w:t>
            </w:r>
          </w:p>
        </w:tc>
      </w:tr>
      <w:tr w:rsidR="00CB2594" w:rsidRPr="007434DA" w14:paraId="191790E4" w14:textId="77777777" w:rsidTr="004A57B3">
        <w:trPr>
          <w:trHeight w:val="478"/>
        </w:trPr>
        <w:tc>
          <w:tcPr>
            <w:tcW w:w="1731" w:type="dxa"/>
            <w:tcBorders>
              <w:top w:val="nil"/>
              <w:left w:val="single" w:sz="12" w:space="0" w:color="969696"/>
              <w:bottom w:val="single" w:sz="12" w:space="0" w:color="969696"/>
              <w:right w:val="single" w:sz="12" w:space="0" w:color="969696"/>
            </w:tcBorders>
          </w:tcPr>
          <w:p w14:paraId="6C5CEBDF" w14:textId="77777777" w:rsidR="00CB2594" w:rsidRPr="007434DA" w:rsidRDefault="00CB2594" w:rsidP="004A57B3">
            <w:pPr>
              <w:autoSpaceDE w:val="0"/>
              <w:autoSpaceDN w:val="0"/>
              <w:adjustRightInd w:val="0"/>
              <w:jc w:val="right"/>
              <w:rPr>
                <w:rFonts w:cs="Times New Roman"/>
                <w:color w:val="000000"/>
                <w:sz w:val="20"/>
                <w:szCs w:val="20"/>
                <w:lang w:val="cs-CZ" w:eastAsia="cs-CZ"/>
              </w:rPr>
            </w:pPr>
          </w:p>
        </w:tc>
        <w:tc>
          <w:tcPr>
            <w:tcW w:w="1843" w:type="dxa"/>
            <w:tcBorders>
              <w:top w:val="nil"/>
              <w:left w:val="nil"/>
              <w:bottom w:val="single" w:sz="12" w:space="0" w:color="969696"/>
              <w:right w:val="single" w:sz="12" w:space="0" w:color="969696"/>
            </w:tcBorders>
          </w:tcPr>
          <w:p w14:paraId="43D1CE09" w14:textId="77777777" w:rsidR="00CB2594" w:rsidRPr="007434DA" w:rsidRDefault="00CB2594" w:rsidP="004A57B3">
            <w:pPr>
              <w:autoSpaceDE w:val="0"/>
              <w:autoSpaceDN w:val="0"/>
              <w:adjustRightInd w:val="0"/>
              <w:rPr>
                <w:rFonts w:cs="Times New Roman"/>
                <w:color w:val="000000"/>
                <w:sz w:val="20"/>
                <w:szCs w:val="20"/>
                <w:lang w:val="cs-CZ" w:eastAsia="cs-CZ"/>
              </w:rPr>
            </w:pPr>
            <w:r w:rsidRPr="007434DA">
              <w:rPr>
                <w:rFonts w:cs="Times New Roman"/>
                <w:color w:val="000000"/>
                <w:sz w:val="20"/>
                <w:szCs w:val="20"/>
                <w:lang w:val="cs-CZ" w:eastAsia="cs-CZ"/>
              </w:rPr>
              <w:t>Metazachlor OA</w:t>
            </w:r>
          </w:p>
        </w:tc>
        <w:tc>
          <w:tcPr>
            <w:tcW w:w="1519" w:type="dxa"/>
            <w:tcBorders>
              <w:top w:val="nil"/>
              <w:left w:val="nil"/>
              <w:bottom w:val="single" w:sz="12" w:space="0" w:color="969696"/>
              <w:right w:val="single" w:sz="12" w:space="0" w:color="969696"/>
            </w:tcBorders>
          </w:tcPr>
          <w:p w14:paraId="62DA0B34" w14:textId="77777777" w:rsidR="00CB2594" w:rsidRPr="007434DA" w:rsidRDefault="00CB2594" w:rsidP="004A57B3">
            <w:pPr>
              <w:autoSpaceDE w:val="0"/>
              <w:autoSpaceDN w:val="0"/>
              <w:adjustRightInd w:val="0"/>
              <w:ind w:right="317"/>
              <w:jc w:val="right"/>
              <w:rPr>
                <w:rFonts w:cs="Times New Roman"/>
                <w:color w:val="000000"/>
                <w:sz w:val="20"/>
                <w:szCs w:val="20"/>
                <w:lang w:val="cs-CZ" w:eastAsia="cs-CZ"/>
              </w:rPr>
            </w:pPr>
            <w:r w:rsidRPr="007434DA">
              <w:rPr>
                <w:rFonts w:cs="Times New Roman"/>
                <w:color w:val="000000"/>
                <w:sz w:val="20"/>
                <w:szCs w:val="20"/>
                <w:lang w:val="cs-CZ" w:eastAsia="cs-CZ"/>
              </w:rPr>
              <w:t>2 122</w:t>
            </w:r>
          </w:p>
        </w:tc>
        <w:tc>
          <w:tcPr>
            <w:tcW w:w="1322" w:type="dxa"/>
            <w:tcBorders>
              <w:top w:val="nil"/>
              <w:left w:val="nil"/>
              <w:bottom w:val="single" w:sz="12" w:space="0" w:color="969696"/>
              <w:right w:val="single" w:sz="12" w:space="0" w:color="969696"/>
            </w:tcBorders>
          </w:tcPr>
          <w:p w14:paraId="61ECC539" w14:textId="77777777" w:rsidR="00CB2594" w:rsidRPr="007434DA" w:rsidRDefault="00CB2594" w:rsidP="004A57B3">
            <w:pPr>
              <w:autoSpaceDE w:val="0"/>
              <w:autoSpaceDN w:val="0"/>
              <w:adjustRightInd w:val="0"/>
              <w:ind w:right="317"/>
              <w:jc w:val="right"/>
              <w:rPr>
                <w:rFonts w:cs="Times New Roman"/>
                <w:color w:val="000000"/>
                <w:sz w:val="20"/>
                <w:szCs w:val="20"/>
                <w:lang w:val="cs-CZ" w:eastAsia="cs-CZ"/>
              </w:rPr>
            </w:pPr>
            <w:r w:rsidRPr="007434DA">
              <w:rPr>
                <w:rFonts w:cs="Times New Roman"/>
                <w:color w:val="000000"/>
                <w:sz w:val="20"/>
                <w:szCs w:val="20"/>
                <w:lang w:val="cs-CZ" w:eastAsia="cs-CZ"/>
              </w:rPr>
              <w:t>79</w:t>
            </w:r>
          </w:p>
        </w:tc>
        <w:tc>
          <w:tcPr>
            <w:tcW w:w="1323" w:type="dxa"/>
            <w:tcBorders>
              <w:top w:val="nil"/>
              <w:left w:val="nil"/>
              <w:bottom w:val="single" w:sz="12" w:space="0" w:color="969696"/>
              <w:right w:val="single" w:sz="12" w:space="0" w:color="969696"/>
            </w:tcBorders>
          </w:tcPr>
          <w:p w14:paraId="5356F4CC" w14:textId="77777777" w:rsidR="00CB2594" w:rsidRPr="007434DA" w:rsidRDefault="00CB2594" w:rsidP="004A57B3">
            <w:pPr>
              <w:autoSpaceDE w:val="0"/>
              <w:autoSpaceDN w:val="0"/>
              <w:adjustRightInd w:val="0"/>
              <w:ind w:right="317"/>
              <w:jc w:val="right"/>
              <w:rPr>
                <w:rFonts w:cs="Times New Roman"/>
                <w:color w:val="000000"/>
                <w:sz w:val="20"/>
                <w:szCs w:val="20"/>
                <w:lang w:val="cs-CZ" w:eastAsia="cs-CZ"/>
              </w:rPr>
            </w:pPr>
            <w:r w:rsidRPr="007434DA">
              <w:rPr>
                <w:rFonts w:cs="Times New Roman"/>
                <w:color w:val="000000"/>
                <w:sz w:val="20"/>
                <w:szCs w:val="20"/>
                <w:lang w:val="cs-CZ" w:eastAsia="cs-CZ"/>
              </w:rPr>
              <w:t>1</w:t>
            </w:r>
          </w:p>
        </w:tc>
        <w:tc>
          <w:tcPr>
            <w:tcW w:w="1322" w:type="dxa"/>
            <w:tcBorders>
              <w:top w:val="nil"/>
              <w:left w:val="nil"/>
              <w:bottom w:val="single" w:sz="12" w:space="0" w:color="969696"/>
              <w:right w:val="single" w:sz="12" w:space="0" w:color="969696"/>
            </w:tcBorders>
          </w:tcPr>
          <w:p w14:paraId="49FA0ED3" w14:textId="77777777" w:rsidR="00CB2594" w:rsidRPr="007434DA" w:rsidRDefault="00CB2594" w:rsidP="004A57B3">
            <w:pPr>
              <w:autoSpaceDE w:val="0"/>
              <w:autoSpaceDN w:val="0"/>
              <w:adjustRightInd w:val="0"/>
              <w:ind w:right="317"/>
              <w:jc w:val="right"/>
              <w:rPr>
                <w:rFonts w:cs="Times New Roman"/>
                <w:color w:val="000000"/>
                <w:sz w:val="20"/>
                <w:szCs w:val="20"/>
                <w:lang w:val="cs-CZ" w:eastAsia="cs-CZ"/>
              </w:rPr>
            </w:pPr>
            <w:r w:rsidRPr="007434DA">
              <w:rPr>
                <w:rFonts w:cs="Times New Roman"/>
                <w:color w:val="000000"/>
                <w:sz w:val="20"/>
                <w:szCs w:val="20"/>
                <w:lang w:val="cs-CZ" w:eastAsia="cs-CZ"/>
              </w:rPr>
              <w:t>2,18</w:t>
            </w:r>
          </w:p>
        </w:tc>
      </w:tr>
      <w:tr w:rsidR="00CB2594" w:rsidRPr="007434DA" w14:paraId="6B13C72B" w14:textId="77777777" w:rsidTr="004A57B3">
        <w:trPr>
          <w:trHeight w:val="478"/>
        </w:trPr>
        <w:tc>
          <w:tcPr>
            <w:tcW w:w="1731" w:type="dxa"/>
            <w:tcBorders>
              <w:top w:val="single" w:sz="12" w:space="0" w:color="969696"/>
              <w:left w:val="single" w:sz="12" w:space="0" w:color="969696"/>
              <w:bottom w:val="nil"/>
              <w:right w:val="single" w:sz="12" w:space="0" w:color="969696"/>
            </w:tcBorders>
          </w:tcPr>
          <w:p w14:paraId="381E454F" w14:textId="77777777" w:rsidR="00CB2594" w:rsidRPr="007434DA" w:rsidRDefault="00CB2594" w:rsidP="004A57B3">
            <w:pPr>
              <w:autoSpaceDE w:val="0"/>
              <w:autoSpaceDN w:val="0"/>
              <w:adjustRightInd w:val="0"/>
              <w:rPr>
                <w:rFonts w:cs="Times New Roman"/>
                <w:b/>
                <w:bCs/>
                <w:color w:val="000000"/>
                <w:sz w:val="20"/>
                <w:szCs w:val="20"/>
                <w:lang w:val="cs-CZ" w:eastAsia="cs-CZ"/>
              </w:rPr>
            </w:pPr>
            <w:r w:rsidRPr="007434DA">
              <w:rPr>
                <w:rFonts w:cs="Times New Roman"/>
                <w:b/>
                <w:bCs/>
                <w:color w:val="000000"/>
                <w:sz w:val="20"/>
                <w:szCs w:val="20"/>
                <w:lang w:val="cs-CZ" w:eastAsia="cs-CZ"/>
              </w:rPr>
              <w:t>3/kukuřice</w:t>
            </w:r>
          </w:p>
        </w:tc>
        <w:tc>
          <w:tcPr>
            <w:tcW w:w="1843" w:type="dxa"/>
            <w:tcBorders>
              <w:top w:val="nil"/>
              <w:left w:val="nil"/>
              <w:bottom w:val="single" w:sz="12" w:space="0" w:color="969696"/>
              <w:right w:val="single" w:sz="12" w:space="0" w:color="969696"/>
            </w:tcBorders>
          </w:tcPr>
          <w:p w14:paraId="7C55B04D" w14:textId="77777777" w:rsidR="00CB2594" w:rsidRPr="007434DA" w:rsidRDefault="00CB2594" w:rsidP="004A57B3">
            <w:pPr>
              <w:autoSpaceDE w:val="0"/>
              <w:autoSpaceDN w:val="0"/>
              <w:adjustRightInd w:val="0"/>
              <w:rPr>
                <w:rFonts w:cs="Times New Roman"/>
                <w:color w:val="000000"/>
                <w:sz w:val="20"/>
                <w:szCs w:val="20"/>
                <w:lang w:val="cs-CZ" w:eastAsia="cs-CZ"/>
              </w:rPr>
            </w:pPr>
            <w:r w:rsidRPr="007434DA">
              <w:rPr>
                <w:rFonts w:cs="Times New Roman"/>
                <w:color w:val="000000"/>
                <w:sz w:val="20"/>
                <w:szCs w:val="20"/>
                <w:lang w:val="cs-CZ" w:eastAsia="cs-CZ"/>
              </w:rPr>
              <w:t>metolachlor #</w:t>
            </w:r>
          </w:p>
        </w:tc>
        <w:tc>
          <w:tcPr>
            <w:tcW w:w="1519" w:type="dxa"/>
            <w:tcBorders>
              <w:top w:val="nil"/>
              <w:left w:val="nil"/>
              <w:bottom w:val="single" w:sz="12" w:space="0" w:color="969696"/>
              <w:right w:val="single" w:sz="12" w:space="0" w:color="969696"/>
            </w:tcBorders>
          </w:tcPr>
          <w:p w14:paraId="7E597A8C" w14:textId="77777777" w:rsidR="00CB2594" w:rsidRPr="007434DA" w:rsidRDefault="00CB2594" w:rsidP="004A57B3">
            <w:pPr>
              <w:autoSpaceDE w:val="0"/>
              <w:autoSpaceDN w:val="0"/>
              <w:adjustRightInd w:val="0"/>
              <w:ind w:right="317"/>
              <w:jc w:val="right"/>
              <w:rPr>
                <w:rFonts w:cs="Times New Roman"/>
                <w:color w:val="000000"/>
                <w:sz w:val="20"/>
                <w:szCs w:val="20"/>
                <w:lang w:val="cs-CZ" w:eastAsia="cs-CZ"/>
              </w:rPr>
            </w:pPr>
            <w:r w:rsidRPr="007434DA">
              <w:rPr>
                <w:rFonts w:cs="Times New Roman"/>
                <w:color w:val="000000"/>
                <w:sz w:val="20"/>
                <w:szCs w:val="20"/>
                <w:lang w:val="cs-CZ" w:eastAsia="cs-CZ"/>
              </w:rPr>
              <w:t>3 618</w:t>
            </w:r>
          </w:p>
        </w:tc>
        <w:tc>
          <w:tcPr>
            <w:tcW w:w="1322" w:type="dxa"/>
            <w:tcBorders>
              <w:top w:val="nil"/>
              <w:left w:val="nil"/>
              <w:bottom w:val="single" w:sz="12" w:space="0" w:color="969696"/>
              <w:right w:val="single" w:sz="12" w:space="0" w:color="969696"/>
            </w:tcBorders>
          </w:tcPr>
          <w:p w14:paraId="49BF415F" w14:textId="77777777" w:rsidR="00CB2594" w:rsidRPr="007434DA" w:rsidRDefault="00CB2594" w:rsidP="004A57B3">
            <w:pPr>
              <w:autoSpaceDE w:val="0"/>
              <w:autoSpaceDN w:val="0"/>
              <w:adjustRightInd w:val="0"/>
              <w:ind w:right="317"/>
              <w:jc w:val="right"/>
              <w:rPr>
                <w:rFonts w:cs="Times New Roman"/>
                <w:color w:val="000000"/>
                <w:sz w:val="20"/>
                <w:szCs w:val="20"/>
                <w:lang w:val="cs-CZ" w:eastAsia="cs-CZ"/>
              </w:rPr>
            </w:pPr>
            <w:r w:rsidRPr="007434DA">
              <w:rPr>
                <w:rFonts w:cs="Times New Roman"/>
                <w:color w:val="000000"/>
                <w:sz w:val="20"/>
                <w:szCs w:val="20"/>
                <w:lang w:val="cs-CZ" w:eastAsia="cs-CZ"/>
              </w:rPr>
              <w:t>1</w:t>
            </w:r>
          </w:p>
        </w:tc>
        <w:tc>
          <w:tcPr>
            <w:tcW w:w="1323" w:type="dxa"/>
            <w:tcBorders>
              <w:top w:val="nil"/>
              <w:left w:val="nil"/>
              <w:bottom w:val="single" w:sz="12" w:space="0" w:color="969696"/>
              <w:right w:val="single" w:sz="12" w:space="0" w:color="969696"/>
            </w:tcBorders>
          </w:tcPr>
          <w:p w14:paraId="493BC4BC" w14:textId="77777777" w:rsidR="00CB2594" w:rsidRPr="007434DA" w:rsidRDefault="00CB2594" w:rsidP="004A57B3">
            <w:pPr>
              <w:autoSpaceDE w:val="0"/>
              <w:autoSpaceDN w:val="0"/>
              <w:adjustRightInd w:val="0"/>
              <w:ind w:right="317"/>
              <w:jc w:val="right"/>
              <w:rPr>
                <w:rFonts w:cs="Times New Roman"/>
                <w:color w:val="000000"/>
                <w:sz w:val="20"/>
                <w:szCs w:val="20"/>
                <w:lang w:val="cs-CZ" w:eastAsia="cs-CZ"/>
              </w:rPr>
            </w:pPr>
            <w:r w:rsidRPr="007434DA">
              <w:rPr>
                <w:rFonts w:cs="Times New Roman"/>
                <w:color w:val="000000"/>
                <w:sz w:val="20"/>
                <w:szCs w:val="20"/>
                <w:lang w:val="cs-CZ" w:eastAsia="cs-CZ"/>
              </w:rPr>
              <w:t>1</w:t>
            </w:r>
          </w:p>
        </w:tc>
        <w:tc>
          <w:tcPr>
            <w:tcW w:w="1322" w:type="dxa"/>
            <w:tcBorders>
              <w:top w:val="nil"/>
              <w:left w:val="nil"/>
              <w:bottom w:val="single" w:sz="12" w:space="0" w:color="969696"/>
              <w:right w:val="single" w:sz="12" w:space="0" w:color="969696"/>
            </w:tcBorders>
          </w:tcPr>
          <w:p w14:paraId="14F7375E" w14:textId="77777777" w:rsidR="00CB2594" w:rsidRPr="007434DA" w:rsidRDefault="00CB2594" w:rsidP="004A57B3">
            <w:pPr>
              <w:autoSpaceDE w:val="0"/>
              <w:autoSpaceDN w:val="0"/>
              <w:adjustRightInd w:val="0"/>
              <w:ind w:right="317"/>
              <w:jc w:val="right"/>
              <w:rPr>
                <w:rFonts w:cs="Times New Roman"/>
                <w:color w:val="000000"/>
                <w:sz w:val="20"/>
                <w:szCs w:val="20"/>
                <w:lang w:val="cs-CZ" w:eastAsia="cs-CZ"/>
              </w:rPr>
            </w:pPr>
            <w:r w:rsidRPr="007434DA">
              <w:rPr>
                <w:rFonts w:cs="Times New Roman"/>
                <w:color w:val="000000"/>
                <w:sz w:val="20"/>
                <w:szCs w:val="20"/>
                <w:lang w:val="cs-CZ" w:eastAsia="cs-CZ"/>
              </w:rPr>
              <w:t>2,18</w:t>
            </w:r>
          </w:p>
        </w:tc>
      </w:tr>
      <w:tr w:rsidR="00CB2594" w:rsidRPr="007434DA" w14:paraId="2E3ECD7D" w14:textId="77777777" w:rsidTr="004A57B3">
        <w:trPr>
          <w:trHeight w:val="478"/>
        </w:trPr>
        <w:tc>
          <w:tcPr>
            <w:tcW w:w="1731" w:type="dxa"/>
            <w:tcBorders>
              <w:top w:val="nil"/>
              <w:left w:val="single" w:sz="12" w:space="0" w:color="969696"/>
              <w:bottom w:val="nil"/>
              <w:right w:val="single" w:sz="12" w:space="0" w:color="969696"/>
            </w:tcBorders>
          </w:tcPr>
          <w:p w14:paraId="70CCBB66" w14:textId="77777777" w:rsidR="00CB2594" w:rsidRPr="007434DA" w:rsidRDefault="00CB2594" w:rsidP="004A57B3">
            <w:pPr>
              <w:autoSpaceDE w:val="0"/>
              <w:autoSpaceDN w:val="0"/>
              <w:adjustRightInd w:val="0"/>
              <w:jc w:val="right"/>
              <w:rPr>
                <w:rFonts w:cs="Times New Roman"/>
                <w:color w:val="000000"/>
                <w:sz w:val="20"/>
                <w:szCs w:val="20"/>
                <w:lang w:val="cs-CZ" w:eastAsia="cs-CZ"/>
              </w:rPr>
            </w:pPr>
          </w:p>
        </w:tc>
        <w:tc>
          <w:tcPr>
            <w:tcW w:w="1843" w:type="dxa"/>
            <w:tcBorders>
              <w:top w:val="nil"/>
              <w:left w:val="nil"/>
              <w:bottom w:val="single" w:sz="12" w:space="0" w:color="969696"/>
              <w:right w:val="single" w:sz="12" w:space="0" w:color="969696"/>
            </w:tcBorders>
          </w:tcPr>
          <w:p w14:paraId="793E1EC7" w14:textId="77777777" w:rsidR="00CB2594" w:rsidRPr="007434DA" w:rsidRDefault="00CB2594" w:rsidP="004A57B3">
            <w:pPr>
              <w:autoSpaceDE w:val="0"/>
              <w:autoSpaceDN w:val="0"/>
              <w:adjustRightInd w:val="0"/>
              <w:rPr>
                <w:rFonts w:cs="Times New Roman"/>
                <w:color w:val="000000"/>
                <w:sz w:val="20"/>
                <w:szCs w:val="20"/>
                <w:lang w:val="cs-CZ" w:eastAsia="cs-CZ"/>
              </w:rPr>
            </w:pPr>
            <w:r w:rsidRPr="007434DA">
              <w:rPr>
                <w:rFonts w:cs="Times New Roman"/>
                <w:color w:val="000000"/>
                <w:sz w:val="20"/>
                <w:szCs w:val="20"/>
                <w:lang w:val="cs-CZ" w:eastAsia="cs-CZ"/>
              </w:rPr>
              <w:t>Metolachlor ESA</w:t>
            </w:r>
          </w:p>
        </w:tc>
        <w:tc>
          <w:tcPr>
            <w:tcW w:w="1519" w:type="dxa"/>
            <w:tcBorders>
              <w:top w:val="nil"/>
              <w:left w:val="nil"/>
              <w:bottom w:val="single" w:sz="12" w:space="0" w:color="969696"/>
              <w:right w:val="single" w:sz="12" w:space="0" w:color="969696"/>
            </w:tcBorders>
          </w:tcPr>
          <w:p w14:paraId="5F2FB9B1" w14:textId="77777777" w:rsidR="00CB2594" w:rsidRPr="007434DA" w:rsidRDefault="00CB2594" w:rsidP="004A57B3">
            <w:pPr>
              <w:autoSpaceDE w:val="0"/>
              <w:autoSpaceDN w:val="0"/>
              <w:adjustRightInd w:val="0"/>
              <w:ind w:right="317"/>
              <w:jc w:val="right"/>
              <w:rPr>
                <w:rFonts w:cs="Times New Roman"/>
                <w:color w:val="000000"/>
                <w:sz w:val="20"/>
                <w:szCs w:val="20"/>
                <w:lang w:val="cs-CZ" w:eastAsia="cs-CZ"/>
              </w:rPr>
            </w:pPr>
            <w:r w:rsidRPr="007434DA">
              <w:rPr>
                <w:rFonts w:cs="Times New Roman"/>
                <w:color w:val="000000"/>
                <w:sz w:val="20"/>
                <w:szCs w:val="20"/>
                <w:lang w:val="cs-CZ" w:eastAsia="cs-CZ"/>
              </w:rPr>
              <w:t>2 529</w:t>
            </w:r>
          </w:p>
        </w:tc>
        <w:tc>
          <w:tcPr>
            <w:tcW w:w="1322" w:type="dxa"/>
            <w:tcBorders>
              <w:top w:val="nil"/>
              <w:left w:val="nil"/>
              <w:bottom w:val="single" w:sz="12" w:space="0" w:color="969696"/>
              <w:right w:val="single" w:sz="12" w:space="0" w:color="969696"/>
            </w:tcBorders>
          </w:tcPr>
          <w:p w14:paraId="44F3AFD0" w14:textId="77777777" w:rsidR="00CB2594" w:rsidRPr="007434DA" w:rsidRDefault="00CB2594" w:rsidP="004A57B3">
            <w:pPr>
              <w:autoSpaceDE w:val="0"/>
              <w:autoSpaceDN w:val="0"/>
              <w:adjustRightInd w:val="0"/>
              <w:ind w:right="317"/>
              <w:jc w:val="right"/>
              <w:rPr>
                <w:rFonts w:cs="Times New Roman"/>
                <w:color w:val="000000"/>
                <w:sz w:val="20"/>
                <w:szCs w:val="20"/>
                <w:lang w:val="cs-CZ" w:eastAsia="cs-CZ"/>
              </w:rPr>
            </w:pPr>
            <w:r w:rsidRPr="007434DA">
              <w:rPr>
                <w:rFonts w:cs="Times New Roman"/>
                <w:color w:val="000000"/>
                <w:sz w:val="20"/>
                <w:szCs w:val="20"/>
                <w:lang w:val="cs-CZ" w:eastAsia="cs-CZ"/>
              </w:rPr>
              <w:t>237</w:t>
            </w:r>
          </w:p>
        </w:tc>
        <w:tc>
          <w:tcPr>
            <w:tcW w:w="1323" w:type="dxa"/>
            <w:tcBorders>
              <w:top w:val="nil"/>
              <w:left w:val="nil"/>
              <w:bottom w:val="single" w:sz="12" w:space="0" w:color="969696"/>
              <w:right w:val="single" w:sz="12" w:space="0" w:color="969696"/>
            </w:tcBorders>
          </w:tcPr>
          <w:p w14:paraId="53ACA9B6" w14:textId="77777777" w:rsidR="00CB2594" w:rsidRPr="007434DA" w:rsidRDefault="00CB2594" w:rsidP="004A57B3">
            <w:pPr>
              <w:autoSpaceDE w:val="0"/>
              <w:autoSpaceDN w:val="0"/>
              <w:adjustRightInd w:val="0"/>
              <w:ind w:right="317"/>
              <w:jc w:val="right"/>
              <w:rPr>
                <w:rFonts w:cs="Times New Roman"/>
                <w:color w:val="000000"/>
                <w:sz w:val="20"/>
                <w:szCs w:val="20"/>
                <w:lang w:val="cs-CZ" w:eastAsia="cs-CZ"/>
              </w:rPr>
            </w:pPr>
            <w:r w:rsidRPr="007434DA">
              <w:rPr>
                <w:rFonts w:cs="Times New Roman"/>
                <w:color w:val="000000"/>
                <w:sz w:val="20"/>
                <w:szCs w:val="20"/>
                <w:lang w:val="cs-CZ" w:eastAsia="cs-CZ"/>
              </w:rPr>
              <w:t>11</w:t>
            </w:r>
          </w:p>
        </w:tc>
        <w:tc>
          <w:tcPr>
            <w:tcW w:w="1322" w:type="dxa"/>
            <w:tcBorders>
              <w:top w:val="nil"/>
              <w:left w:val="nil"/>
              <w:bottom w:val="single" w:sz="12" w:space="0" w:color="969696"/>
              <w:right w:val="single" w:sz="12" w:space="0" w:color="969696"/>
            </w:tcBorders>
          </w:tcPr>
          <w:p w14:paraId="21F77B38" w14:textId="77777777" w:rsidR="00CB2594" w:rsidRPr="007434DA" w:rsidRDefault="00CB2594" w:rsidP="004A57B3">
            <w:pPr>
              <w:autoSpaceDE w:val="0"/>
              <w:autoSpaceDN w:val="0"/>
              <w:adjustRightInd w:val="0"/>
              <w:ind w:right="317"/>
              <w:jc w:val="right"/>
              <w:rPr>
                <w:rFonts w:cs="Times New Roman"/>
                <w:color w:val="000000"/>
                <w:sz w:val="20"/>
                <w:szCs w:val="20"/>
                <w:lang w:val="cs-CZ" w:eastAsia="cs-CZ"/>
              </w:rPr>
            </w:pPr>
            <w:r w:rsidRPr="007434DA">
              <w:rPr>
                <w:rFonts w:cs="Times New Roman"/>
                <w:color w:val="000000"/>
                <w:sz w:val="20"/>
                <w:szCs w:val="20"/>
                <w:lang w:val="cs-CZ" w:eastAsia="cs-CZ"/>
              </w:rPr>
              <w:t>4,2</w:t>
            </w:r>
          </w:p>
        </w:tc>
      </w:tr>
      <w:tr w:rsidR="00CB2594" w:rsidRPr="007434DA" w14:paraId="27E468CA" w14:textId="77777777" w:rsidTr="004A57B3">
        <w:trPr>
          <w:trHeight w:val="478"/>
        </w:trPr>
        <w:tc>
          <w:tcPr>
            <w:tcW w:w="1731" w:type="dxa"/>
            <w:tcBorders>
              <w:top w:val="nil"/>
              <w:left w:val="single" w:sz="12" w:space="0" w:color="969696"/>
              <w:bottom w:val="single" w:sz="12" w:space="0" w:color="969696"/>
              <w:right w:val="single" w:sz="12" w:space="0" w:color="969696"/>
            </w:tcBorders>
          </w:tcPr>
          <w:p w14:paraId="3A5E0C74" w14:textId="77777777" w:rsidR="00CB2594" w:rsidRPr="007434DA" w:rsidRDefault="00CB2594" w:rsidP="004A57B3">
            <w:pPr>
              <w:autoSpaceDE w:val="0"/>
              <w:autoSpaceDN w:val="0"/>
              <w:adjustRightInd w:val="0"/>
              <w:jc w:val="right"/>
              <w:rPr>
                <w:rFonts w:cs="Times New Roman"/>
                <w:color w:val="000000"/>
                <w:sz w:val="20"/>
                <w:szCs w:val="20"/>
                <w:lang w:val="cs-CZ" w:eastAsia="cs-CZ"/>
              </w:rPr>
            </w:pPr>
          </w:p>
        </w:tc>
        <w:tc>
          <w:tcPr>
            <w:tcW w:w="1843" w:type="dxa"/>
            <w:tcBorders>
              <w:top w:val="nil"/>
              <w:left w:val="nil"/>
              <w:bottom w:val="single" w:sz="12" w:space="0" w:color="969696"/>
              <w:right w:val="single" w:sz="12" w:space="0" w:color="969696"/>
            </w:tcBorders>
          </w:tcPr>
          <w:p w14:paraId="45108207" w14:textId="77777777" w:rsidR="00CB2594" w:rsidRPr="007434DA" w:rsidRDefault="00CB2594" w:rsidP="004A57B3">
            <w:pPr>
              <w:autoSpaceDE w:val="0"/>
              <w:autoSpaceDN w:val="0"/>
              <w:adjustRightInd w:val="0"/>
              <w:rPr>
                <w:rFonts w:cs="Times New Roman"/>
                <w:color w:val="000000"/>
                <w:sz w:val="20"/>
                <w:szCs w:val="20"/>
                <w:lang w:val="cs-CZ" w:eastAsia="cs-CZ"/>
              </w:rPr>
            </w:pPr>
            <w:r w:rsidRPr="007434DA">
              <w:rPr>
                <w:rFonts w:cs="Times New Roman"/>
                <w:color w:val="000000"/>
                <w:sz w:val="20"/>
                <w:szCs w:val="20"/>
                <w:lang w:val="cs-CZ" w:eastAsia="cs-CZ"/>
              </w:rPr>
              <w:t>Metolachlor OA</w:t>
            </w:r>
          </w:p>
        </w:tc>
        <w:tc>
          <w:tcPr>
            <w:tcW w:w="1519" w:type="dxa"/>
            <w:tcBorders>
              <w:top w:val="nil"/>
              <w:left w:val="nil"/>
              <w:bottom w:val="single" w:sz="12" w:space="0" w:color="969696"/>
              <w:right w:val="single" w:sz="12" w:space="0" w:color="969696"/>
            </w:tcBorders>
          </w:tcPr>
          <w:p w14:paraId="25590FC0" w14:textId="77777777" w:rsidR="00CB2594" w:rsidRPr="007434DA" w:rsidRDefault="00CB2594" w:rsidP="004A57B3">
            <w:pPr>
              <w:autoSpaceDE w:val="0"/>
              <w:autoSpaceDN w:val="0"/>
              <w:adjustRightInd w:val="0"/>
              <w:ind w:right="317"/>
              <w:jc w:val="right"/>
              <w:rPr>
                <w:rFonts w:cs="Times New Roman"/>
                <w:color w:val="000000"/>
                <w:sz w:val="20"/>
                <w:szCs w:val="20"/>
                <w:lang w:val="cs-CZ" w:eastAsia="cs-CZ"/>
              </w:rPr>
            </w:pPr>
            <w:r w:rsidRPr="007434DA">
              <w:rPr>
                <w:rFonts w:cs="Times New Roman"/>
                <w:color w:val="000000"/>
                <w:sz w:val="20"/>
                <w:szCs w:val="20"/>
                <w:lang w:val="cs-CZ" w:eastAsia="cs-CZ"/>
              </w:rPr>
              <w:t>2 146</w:t>
            </w:r>
          </w:p>
        </w:tc>
        <w:tc>
          <w:tcPr>
            <w:tcW w:w="1322" w:type="dxa"/>
            <w:tcBorders>
              <w:top w:val="nil"/>
              <w:left w:val="nil"/>
              <w:bottom w:val="single" w:sz="12" w:space="0" w:color="969696"/>
              <w:right w:val="single" w:sz="12" w:space="0" w:color="969696"/>
            </w:tcBorders>
          </w:tcPr>
          <w:p w14:paraId="64BDFDFB" w14:textId="77777777" w:rsidR="00CB2594" w:rsidRPr="007434DA" w:rsidRDefault="00CB2594" w:rsidP="004A57B3">
            <w:pPr>
              <w:autoSpaceDE w:val="0"/>
              <w:autoSpaceDN w:val="0"/>
              <w:adjustRightInd w:val="0"/>
              <w:ind w:right="317"/>
              <w:jc w:val="right"/>
              <w:rPr>
                <w:rFonts w:cs="Times New Roman"/>
                <w:color w:val="000000"/>
                <w:sz w:val="20"/>
                <w:szCs w:val="20"/>
                <w:lang w:val="cs-CZ" w:eastAsia="cs-CZ"/>
              </w:rPr>
            </w:pPr>
            <w:r w:rsidRPr="007434DA">
              <w:rPr>
                <w:rFonts w:cs="Times New Roman"/>
                <w:color w:val="000000"/>
                <w:sz w:val="20"/>
                <w:szCs w:val="20"/>
                <w:lang w:val="cs-CZ" w:eastAsia="cs-CZ"/>
              </w:rPr>
              <w:t>27</w:t>
            </w:r>
          </w:p>
        </w:tc>
        <w:tc>
          <w:tcPr>
            <w:tcW w:w="1323" w:type="dxa"/>
            <w:tcBorders>
              <w:top w:val="nil"/>
              <w:left w:val="nil"/>
              <w:bottom w:val="single" w:sz="12" w:space="0" w:color="969696"/>
              <w:right w:val="single" w:sz="12" w:space="0" w:color="969696"/>
            </w:tcBorders>
          </w:tcPr>
          <w:p w14:paraId="67C58017" w14:textId="77777777" w:rsidR="00CB2594" w:rsidRPr="007434DA" w:rsidRDefault="00CB2594" w:rsidP="004A57B3">
            <w:pPr>
              <w:autoSpaceDE w:val="0"/>
              <w:autoSpaceDN w:val="0"/>
              <w:adjustRightInd w:val="0"/>
              <w:ind w:right="317"/>
              <w:jc w:val="right"/>
              <w:rPr>
                <w:rFonts w:cs="Times New Roman"/>
                <w:color w:val="000000"/>
                <w:sz w:val="20"/>
                <w:szCs w:val="20"/>
                <w:lang w:val="cs-CZ" w:eastAsia="cs-CZ"/>
              </w:rPr>
            </w:pPr>
            <w:r w:rsidRPr="007434DA">
              <w:rPr>
                <w:rFonts w:cs="Times New Roman"/>
                <w:color w:val="000000"/>
                <w:sz w:val="20"/>
                <w:szCs w:val="20"/>
                <w:lang w:val="cs-CZ" w:eastAsia="cs-CZ"/>
              </w:rPr>
              <w:t>3</w:t>
            </w:r>
          </w:p>
        </w:tc>
        <w:tc>
          <w:tcPr>
            <w:tcW w:w="1322" w:type="dxa"/>
            <w:tcBorders>
              <w:top w:val="nil"/>
              <w:left w:val="nil"/>
              <w:bottom w:val="single" w:sz="12" w:space="0" w:color="969696"/>
              <w:right w:val="single" w:sz="12" w:space="0" w:color="969696"/>
            </w:tcBorders>
          </w:tcPr>
          <w:p w14:paraId="1ECFE081" w14:textId="77777777" w:rsidR="00CB2594" w:rsidRPr="007434DA" w:rsidRDefault="00CB2594" w:rsidP="004A57B3">
            <w:pPr>
              <w:autoSpaceDE w:val="0"/>
              <w:autoSpaceDN w:val="0"/>
              <w:adjustRightInd w:val="0"/>
              <w:ind w:right="317"/>
              <w:jc w:val="right"/>
              <w:rPr>
                <w:rFonts w:cs="Times New Roman"/>
                <w:color w:val="000000"/>
                <w:sz w:val="20"/>
                <w:szCs w:val="20"/>
                <w:lang w:val="cs-CZ" w:eastAsia="cs-CZ"/>
              </w:rPr>
            </w:pPr>
            <w:r w:rsidRPr="007434DA">
              <w:rPr>
                <w:rFonts w:cs="Times New Roman"/>
                <w:color w:val="000000"/>
                <w:sz w:val="20"/>
                <w:szCs w:val="20"/>
                <w:lang w:val="cs-CZ" w:eastAsia="cs-CZ"/>
              </w:rPr>
              <w:t>1,5</w:t>
            </w:r>
          </w:p>
        </w:tc>
      </w:tr>
      <w:tr w:rsidR="00CB2594" w:rsidRPr="007434DA" w14:paraId="7159921A" w14:textId="77777777" w:rsidTr="004A57B3">
        <w:trPr>
          <w:trHeight w:val="478"/>
        </w:trPr>
        <w:tc>
          <w:tcPr>
            <w:tcW w:w="1731" w:type="dxa"/>
            <w:tcBorders>
              <w:top w:val="nil"/>
              <w:left w:val="single" w:sz="12" w:space="0" w:color="969696"/>
              <w:bottom w:val="single" w:sz="12" w:space="0" w:color="969696"/>
              <w:right w:val="single" w:sz="12" w:space="0" w:color="969696"/>
            </w:tcBorders>
          </w:tcPr>
          <w:p w14:paraId="0094E281" w14:textId="77777777" w:rsidR="00CB2594" w:rsidRPr="007434DA" w:rsidRDefault="00CB2594" w:rsidP="004A57B3">
            <w:pPr>
              <w:autoSpaceDE w:val="0"/>
              <w:autoSpaceDN w:val="0"/>
              <w:adjustRightInd w:val="0"/>
              <w:rPr>
                <w:rFonts w:cs="Times New Roman"/>
                <w:b/>
                <w:bCs/>
                <w:color w:val="000000"/>
                <w:sz w:val="20"/>
                <w:szCs w:val="20"/>
                <w:lang w:val="cs-CZ" w:eastAsia="cs-CZ"/>
              </w:rPr>
            </w:pPr>
            <w:r w:rsidRPr="007434DA">
              <w:rPr>
                <w:rFonts w:cs="Times New Roman"/>
                <w:b/>
                <w:bCs/>
                <w:color w:val="000000"/>
                <w:sz w:val="20"/>
                <w:szCs w:val="20"/>
                <w:lang w:val="cs-CZ" w:eastAsia="cs-CZ"/>
              </w:rPr>
              <w:t>4/kukuřice</w:t>
            </w:r>
          </w:p>
        </w:tc>
        <w:tc>
          <w:tcPr>
            <w:tcW w:w="1843" w:type="dxa"/>
            <w:tcBorders>
              <w:top w:val="nil"/>
              <w:left w:val="nil"/>
              <w:bottom w:val="single" w:sz="12" w:space="0" w:color="969696"/>
              <w:right w:val="single" w:sz="12" w:space="0" w:color="969696"/>
            </w:tcBorders>
          </w:tcPr>
          <w:p w14:paraId="6AC22F86" w14:textId="77777777" w:rsidR="00CB2594" w:rsidRPr="007434DA" w:rsidRDefault="00CB2594" w:rsidP="004A57B3">
            <w:pPr>
              <w:autoSpaceDE w:val="0"/>
              <w:autoSpaceDN w:val="0"/>
              <w:adjustRightInd w:val="0"/>
              <w:rPr>
                <w:rFonts w:cs="Times New Roman"/>
                <w:color w:val="000000"/>
                <w:sz w:val="20"/>
                <w:szCs w:val="20"/>
                <w:lang w:val="cs-CZ" w:eastAsia="cs-CZ"/>
              </w:rPr>
            </w:pPr>
            <w:r w:rsidRPr="007434DA">
              <w:rPr>
                <w:rFonts w:cs="Times New Roman"/>
                <w:color w:val="000000"/>
                <w:sz w:val="20"/>
                <w:szCs w:val="20"/>
                <w:lang w:val="cs-CZ" w:eastAsia="cs-CZ"/>
              </w:rPr>
              <w:t>terbuthylazin</w:t>
            </w:r>
          </w:p>
        </w:tc>
        <w:tc>
          <w:tcPr>
            <w:tcW w:w="1519" w:type="dxa"/>
            <w:tcBorders>
              <w:top w:val="nil"/>
              <w:left w:val="nil"/>
              <w:bottom w:val="single" w:sz="12" w:space="0" w:color="969696"/>
              <w:right w:val="single" w:sz="12" w:space="0" w:color="969696"/>
            </w:tcBorders>
          </w:tcPr>
          <w:p w14:paraId="36A61E85" w14:textId="77777777" w:rsidR="00CB2594" w:rsidRPr="007434DA" w:rsidRDefault="00CB2594" w:rsidP="004A57B3">
            <w:pPr>
              <w:autoSpaceDE w:val="0"/>
              <w:autoSpaceDN w:val="0"/>
              <w:adjustRightInd w:val="0"/>
              <w:ind w:right="317"/>
              <w:jc w:val="right"/>
              <w:rPr>
                <w:rFonts w:cs="Times New Roman"/>
                <w:color w:val="000000"/>
                <w:sz w:val="20"/>
                <w:szCs w:val="20"/>
                <w:lang w:val="cs-CZ" w:eastAsia="cs-CZ"/>
              </w:rPr>
            </w:pPr>
            <w:r w:rsidRPr="007434DA">
              <w:rPr>
                <w:rFonts w:cs="Times New Roman"/>
                <w:color w:val="000000"/>
                <w:sz w:val="20"/>
                <w:szCs w:val="20"/>
                <w:lang w:val="cs-CZ" w:eastAsia="cs-CZ"/>
              </w:rPr>
              <w:t>4 036</w:t>
            </w:r>
          </w:p>
        </w:tc>
        <w:tc>
          <w:tcPr>
            <w:tcW w:w="1322" w:type="dxa"/>
            <w:tcBorders>
              <w:top w:val="nil"/>
              <w:left w:val="nil"/>
              <w:bottom w:val="single" w:sz="12" w:space="0" w:color="969696"/>
              <w:right w:val="single" w:sz="12" w:space="0" w:color="969696"/>
            </w:tcBorders>
          </w:tcPr>
          <w:p w14:paraId="1DED9668" w14:textId="77777777" w:rsidR="00CB2594" w:rsidRPr="007434DA" w:rsidRDefault="00CB2594" w:rsidP="004A57B3">
            <w:pPr>
              <w:autoSpaceDE w:val="0"/>
              <w:autoSpaceDN w:val="0"/>
              <w:adjustRightInd w:val="0"/>
              <w:ind w:right="317"/>
              <w:jc w:val="right"/>
              <w:rPr>
                <w:rFonts w:cs="Times New Roman"/>
                <w:color w:val="000000"/>
                <w:sz w:val="20"/>
                <w:szCs w:val="20"/>
                <w:lang w:val="cs-CZ" w:eastAsia="cs-CZ"/>
              </w:rPr>
            </w:pPr>
            <w:r w:rsidRPr="007434DA">
              <w:rPr>
                <w:rFonts w:cs="Times New Roman"/>
                <w:color w:val="000000"/>
                <w:sz w:val="20"/>
                <w:szCs w:val="20"/>
                <w:lang w:val="cs-CZ" w:eastAsia="cs-CZ"/>
              </w:rPr>
              <w:t>3</w:t>
            </w:r>
          </w:p>
        </w:tc>
        <w:tc>
          <w:tcPr>
            <w:tcW w:w="1323" w:type="dxa"/>
            <w:tcBorders>
              <w:top w:val="nil"/>
              <w:left w:val="nil"/>
              <w:bottom w:val="single" w:sz="12" w:space="0" w:color="969696"/>
              <w:right w:val="single" w:sz="12" w:space="0" w:color="969696"/>
            </w:tcBorders>
          </w:tcPr>
          <w:p w14:paraId="3EAFCF33" w14:textId="77777777" w:rsidR="00CB2594" w:rsidRPr="007434DA" w:rsidRDefault="00CB2594" w:rsidP="004A57B3">
            <w:pPr>
              <w:autoSpaceDE w:val="0"/>
              <w:autoSpaceDN w:val="0"/>
              <w:adjustRightInd w:val="0"/>
              <w:ind w:right="317"/>
              <w:jc w:val="right"/>
              <w:rPr>
                <w:rFonts w:cs="Times New Roman"/>
                <w:color w:val="000000"/>
                <w:sz w:val="20"/>
                <w:szCs w:val="20"/>
                <w:lang w:val="cs-CZ" w:eastAsia="cs-CZ"/>
              </w:rPr>
            </w:pPr>
            <w:r w:rsidRPr="007434DA">
              <w:rPr>
                <w:rFonts w:cs="Times New Roman"/>
                <w:color w:val="000000"/>
                <w:sz w:val="20"/>
                <w:szCs w:val="20"/>
                <w:lang w:val="cs-CZ" w:eastAsia="cs-CZ"/>
              </w:rPr>
              <w:t>1</w:t>
            </w:r>
          </w:p>
        </w:tc>
        <w:tc>
          <w:tcPr>
            <w:tcW w:w="1322" w:type="dxa"/>
            <w:tcBorders>
              <w:top w:val="nil"/>
              <w:left w:val="nil"/>
              <w:bottom w:val="single" w:sz="12" w:space="0" w:color="969696"/>
              <w:right w:val="single" w:sz="12" w:space="0" w:color="969696"/>
            </w:tcBorders>
          </w:tcPr>
          <w:p w14:paraId="79ACB2F0" w14:textId="77777777" w:rsidR="00CB2594" w:rsidRPr="007434DA" w:rsidRDefault="00CB2594" w:rsidP="004A57B3">
            <w:pPr>
              <w:autoSpaceDE w:val="0"/>
              <w:autoSpaceDN w:val="0"/>
              <w:adjustRightInd w:val="0"/>
              <w:ind w:right="317"/>
              <w:jc w:val="right"/>
              <w:rPr>
                <w:rFonts w:cs="Times New Roman"/>
                <w:color w:val="000000"/>
                <w:sz w:val="20"/>
                <w:szCs w:val="20"/>
                <w:lang w:val="cs-CZ" w:eastAsia="cs-CZ"/>
              </w:rPr>
            </w:pPr>
            <w:r w:rsidRPr="007434DA">
              <w:rPr>
                <w:rFonts w:cs="Times New Roman"/>
                <w:color w:val="000000"/>
                <w:sz w:val="20"/>
                <w:szCs w:val="20"/>
                <w:lang w:val="cs-CZ" w:eastAsia="cs-CZ"/>
              </w:rPr>
              <w:t>1,44</w:t>
            </w:r>
          </w:p>
        </w:tc>
      </w:tr>
    </w:tbl>
    <w:p w14:paraId="1446E576" w14:textId="77777777" w:rsidR="00CB2594" w:rsidRPr="007434DA" w:rsidRDefault="00CB2594" w:rsidP="00E657F0">
      <w:pPr>
        <w:pStyle w:val="UZEIZdroj"/>
        <w:rPr>
          <w:lang w:eastAsia="cs-CZ"/>
        </w:rPr>
      </w:pPr>
      <w:r w:rsidRPr="007434DA">
        <w:rPr>
          <w:lang w:eastAsia="cs-CZ"/>
        </w:rPr>
        <w:t>Pozn.: #- S-metolachlor CSA-87392-12-9</w:t>
      </w:r>
    </w:p>
    <w:p w14:paraId="15E8E2F4" w14:textId="72033B13" w:rsidR="00CB2594" w:rsidRPr="007434DA" w:rsidRDefault="00CB2594" w:rsidP="00E657F0">
      <w:pPr>
        <w:pStyle w:val="UZEIZdroj"/>
        <w:rPr>
          <w:lang w:eastAsia="cs-CZ"/>
        </w:rPr>
      </w:pPr>
      <w:r w:rsidRPr="007434DA">
        <w:rPr>
          <w:lang w:eastAsia="cs-CZ"/>
        </w:rPr>
        <w:t>Pramen: SZÚ</w:t>
      </w:r>
    </w:p>
    <w:p w14:paraId="30B3D98F" w14:textId="3F806D65" w:rsidR="00CB2594" w:rsidRPr="007434DA" w:rsidRDefault="00CB2594" w:rsidP="00B1703F">
      <w:pPr>
        <w:pStyle w:val="UZEINormaln"/>
      </w:pPr>
      <w:r w:rsidRPr="007434DA">
        <w:t>Kontrola kvality a nezávadnosti dodávané pitné vody je povinností provozovatele vodovodu dle vyhlášky MZ č. 252/2004 Sb. (v platném znění). Většině provozovatelů nečiní tato povinnost větší potíž, s výjimkou jedné skupiny ukazatelů, kterou jsou pesticidní látky (PL) a jejich metabolity. Pravidelné sledování těchto látek se v ČR datuje od r. 1990, kdy se podle ČSN 75 7111 začalo s kontrolou 10 jednotlivých pesticidních látek [2,4-D, DDT, lindan (HCH), dichlorfenol, hexachlorbenzen, heptachlor, metoxychlor, pentachlorfenol, trichlorfenoly (2,4,6- a 2,4,5</w:t>
      </w:r>
      <w:r w:rsidRPr="007434DA">
        <w:noBreakHyphen/>
        <w:t>)]. Po roce 2000 byly do české legislativy implementovány požadavky směrnice 98/83/ES na pitnou vodu, podle nichž mají být sledovány pouze „PL s pravděpodobným výskytem v daném zdroji“. Tento požadavek je pro provozovatele poměrně problematický, protože dostupnost informací o PL aplikovaných na konkrétních lokalitách relevantních pro ten, který vodní zdroj je velmi omezená. Proto se dlouhá léta spoléhalo na (omezené) analytické možnosti laboratoří, což mělo za následek opakované monitorování převážně obsoletních PL s minimem pozitivních záchytů.</w:t>
      </w:r>
    </w:p>
    <w:p w14:paraId="7EAE1DC2" w14:textId="77777777" w:rsidR="00CB2594" w:rsidRPr="002622E7" w:rsidRDefault="00CB2594" w:rsidP="002622E7">
      <w:pPr>
        <w:pStyle w:val="UZEINormaln"/>
        <w:rPr>
          <w:b/>
          <w:bCs/>
        </w:rPr>
      </w:pPr>
      <w:bookmarkStart w:id="127" w:name="_Toc2272428"/>
      <w:bookmarkStart w:id="128" w:name="_Toc12611746"/>
      <w:bookmarkStart w:id="129" w:name="_Toc12613410"/>
      <w:bookmarkStart w:id="130" w:name="_Toc80877859"/>
      <w:bookmarkEnd w:id="121"/>
      <w:r w:rsidRPr="002622E7">
        <w:rPr>
          <w:b/>
          <w:bCs/>
        </w:rPr>
        <w:t>Těžké kovy</w:t>
      </w:r>
      <w:bookmarkEnd w:id="127"/>
      <w:bookmarkEnd w:id="128"/>
      <w:bookmarkEnd w:id="129"/>
      <w:bookmarkEnd w:id="130"/>
    </w:p>
    <w:p w14:paraId="78B8A15F" w14:textId="36A5C010" w:rsidR="00CB2594" w:rsidRPr="007434DA" w:rsidRDefault="00CB2594" w:rsidP="005A6B67">
      <w:pPr>
        <w:pStyle w:val="UZEINormaln"/>
      </w:pPr>
      <w:r w:rsidRPr="007434DA">
        <w:t>V tabulce 1</w:t>
      </w:r>
      <w:r w:rsidR="005A6B67" w:rsidRPr="007434DA">
        <w:t>1</w:t>
      </w:r>
      <w:r w:rsidRPr="007434DA">
        <w:t xml:space="preserve"> jsou uvedeny četnosti výskytů těžkých kovů ve vzorcích vybraných potravin rostlinného původu, jejichž rozbor byl proveden SZPI v letech 2012–2020. Z uvedeného přehledu vyplývá, že s výjimkou dvou vzorků obilovin, tří vzorků zeleniny a jednoho vzorku máku analyzovaných za období 2012-2020, kdy došlo k překročení nadlimitního výskytu reziduí, nebyl u žádné další sledované komodity zaznamenán nadlimitní výskyt těžkých kovů. </w:t>
      </w:r>
    </w:p>
    <w:p w14:paraId="5E13AA21" w14:textId="1D3D3297" w:rsidR="00CB2594" w:rsidRPr="007434DA" w:rsidRDefault="00CB2594" w:rsidP="005A6B67">
      <w:pPr>
        <w:pStyle w:val="UZEINormaln"/>
      </w:pPr>
      <w:r w:rsidRPr="007434DA">
        <w:t xml:space="preserve">Naproti tomu vzorky pozitivní obsahující množství reziduí těchto prvků, které však není zdraví škodlivé a nepřekračuje maximální stanovené limity, byly v průběhu sledovaného období 2012-2020 zaznamenány u všech uvedených komodit (graf </w:t>
      </w:r>
      <w:r w:rsidR="000F5D6E">
        <w:t>9</w:t>
      </w:r>
      <w:r w:rsidRPr="007434DA">
        <w:t xml:space="preserve">). Ovoce vycházelo v rámci rozborů na přítomnost reziduí těžkých kovy nejlépe, neboť jen 2,2 % vzorků za celé uvedené sledované období obsahovalo v povolených limitech rezidua kadmia. Stopy olova s povoleným limitem byly detekovány u 5,4 % vzorků ovoce a pouze u 1,1 % byla překročena maximální limitní hranice. V případě brambor se za sledované období nejčastěji ve vzorcích vyskytovala z 81 % rezidua kadmia, pouze 7,2 % vzorků obsahovalo povolené limity reziduí olova. Nadlimitní výskyt nebyl za celé období u žádného ze vzorků detekován. U obilovin převažovaly z 84,4 % ve vzorcích povolené limity rezidua kadmia, ze 14,3 % pak stopy olova. </w:t>
      </w:r>
    </w:p>
    <w:p w14:paraId="33728E21" w14:textId="77777777" w:rsidR="00CB2594" w:rsidRPr="007434DA" w:rsidRDefault="00CB2594" w:rsidP="005A6B67">
      <w:pPr>
        <w:pStyle w:val="UZEINormaln"/>
      </w:pPr>
      <w:r w:rsidRPr="007434DA">
        <w:t>V případě zeleniny byla u 55 % vzorků detekována rezidua Cd, ve 2 % byl tento těžký kov nalezen v nadlimitním množství. Stopy olova byly analyzovány ve 9,2 % vzorků zeleniny. Mák reprezentoval potravinu, kde v rámci uvedených rostlinných produktů byla nejčastěji detekována v povolených limitech rezidua kadmia i olova (100 %, resp. 22 % vzorků). U 1 % z celkového počtu analyzovaných vzorků máku za období 2012-2020 pak došlo k překročení MLR u kadmia. Navíc byl u máku sledován také výskyt dalších těžkých kovů, kterými byly arsen a rtuť. Rezidua těchto dvou prvků byla nalezena v 53,1 %, resp. 14,3 % vzorků, a to v povolených limitech. U pěstovaných hub byla u 48 % z celkového počtu analyzovaných vzorků detekována rezidua kadmia, méně pak olova (8 %). V ani jednom případě však nepřevyšovaly nálezy max. stanovené limity.</w:t>
      </w:r>
    </w:p>
    <w:p w14:paraId="4CC34F2B" w14:textId="0FC5E5F4" w:rsidR="00CB2594" w:rsidRPr="007434DA" w:rsidRDefault="00CB2594" w:rsidP="00CB2594">
      <w:pPr>
        <w:spacing w:before="120" w:after="120" w:line="360" w:lineRule="atLeast"/>
        <w:ind w:firstLine="567"/>
        <w:rPr>
          <w:rFonts w:ascii="Arial" w:eastAsia="Times New Roman" w:hAnsi="Arial" w:cs="Arial"/>
          <w:color w:val="000000"/>
          <w:sz w:val="20"/>
          <w:szCs w:val="20"/>
          <w:lang w:val="cs-CZ" w:eastAsia="cs-CZ"/>
        </w:rPr>
      </w:pPr>
    </w:p>
    <w:p w14:paraId="361387B3" w14:textId="2649B180" w:rsidR="005A6B67" w:rsidRPr="007434DA" w:rsidRDefault="005A6B67" w:rsidP="00CB2594">
      <w:pPr>
        <w:spacing w:before="120" w:after="120" w:line="360" w:lineRule="atLeast"/>
        <w:ind w:firstLine="567"/>
        <w:rPr>
          <w:rFonts w:ascii="Arial" w:eastAsia="Times New Roman" w:hAnsi="Arial" w:cs="Arial"/>
          <w:color w:val="000000"/>
          <w:sz w:val="20"/>
          <w:szCs w:val="20"/>
          <w:lang w:val="cs-CZ" w:eastAsia="cs-CZ"/>
        </w:rPr>
      </w:pPr>
    </w:p>
    <w:p w14:paraId="742B3C4F" w14:textId="39B5A779" w:rsidR="005A6B67" w:rsidRPr="007434DA" w:rsidRDefault="005A6B67" w:rsidP="00CB2594">
      <w:pPr>
        <w:spacing w:before="120" w:after="120" w:line="360" w:lineRule="atLeast"/>
        <w:ind w:firstLine="567"/>
        <w:rPr>
          <w:rFonts w:ascii="Arial" w:eastAsia="Times New Roman" w:hAnsi="Arial" w:cs="Arial"/>
          <w:color w:val="000000"/>
          <w:sz w:val="20"/>
          <w:szCs w:val="20"/>
          <w:lang w:val="cs-CZ" w:eastAsia="cs-CZ"/>
        </w:rPr>
      </w:pPr>
    </w:p>
    <w:p w14:paraId="08E6A1B4" w14:textId="12D63A94" w:rsidR="005A6B67" w:rsidRPr="007434DA" w:rsidRDefault="005A6B67" w:rsidP="00CB2594">
      <w:pPr>
        <w:spacing w:before="120" w:after="120" w:line="360" w:lineRule="atLeast"/>
        <w:ind w:firstLine="567"/>
        <w:rPr>
          <w:rFonts w:ascii="Arial" w:eastAsia="Times New Roman" w:hAnsi="Arial" w:cs="Arial"/>
          <w:color w:val="000000"/>
          <w:sz w:val="20"/>
          <w:szCs w:val="20"/>
          <w:lang w:val="cs-CZ" w:eastAsia="cs-CZ"/>
        </w:rPr>
      </w:pPr>
    </w:p>
    <w:p w14:paraId="3F91FE7B" w14:textId="5EDC8FCB" w:rsidR="005A6B67" w:rsidRPr="007434DA" w:rsidRDefault="005A6B67" w:rsidP="00CB2594">
      <w:pPr>
        <w:spacing w:before="120" w:after="120" w:line="360" w:lineRule="atLeast"/>
        <w:ind w:firstLine="567"/>
        <w:rPr>
          <w:rFonts w:ascii="Arial" w:eastAsia="Times New Roman" w:hAnsi="Arial" w:cs="Arial"/>
          <w:color w:val="000000"/>
          <w:sz w:val="20"/>
          <w:szCs w:val="20"/>
          <w:lang w:val="cs-CZ" w:eastAsia="cs-CZ"/>
        </w:rPr>
      </w:pPr>
    </w:p>
    <w:p w14:paraId="4E855A27" w14:textId="6CE06A39" w:rsidR="005A6B67" w:rsidRPr="007434DA" w:rsidRDefault="005A6B67" w:rsidP="00CB2594">
      <w:pPr>
        <w:spacing w:before="120" w:after="120" w:line="360" w:lineRule="atLeast"/>
        <w:ind w:firstLine="567"/>
        <w:rPr>
          <w:rFonts w:ascii="Arial" w:eastAsia="Times New Roman" w:hAnsi="Arial" w:cs="Arial"/>
          <w:color w:val="000000"/>
          <w:sz w:val="20"/>
          <w:szCs w:val="20"/>
          <w:lang w:val="cs-CZ" w:eastAsia="cs-CZ"/>
        </w:rPr>
      </w:pPr>
    </w:p>
    <w:p w14:paraId="785807A9" w14:textId="366B142E" w:rsidR="005A6B67" w:rsidRPr="007434DA" w:rsidRDefault="005A6B67" w:rsidP="00CB2594">
      <w:pPr>
        <w:spacing w:before="120" w:after="120" w:line="360" w:lineRule="atLeast"/>
        <w:ind w:firstLine="567"/>
        <w:rPr>
          <w:rFonts w:ascii="Arial" w:eastAsia="Times New Roman" w:hAnsi="Arial" w:cs="Arial"/>
          <w:color w:val="000000"/>
          <w:sz w:val="20"/>
          <w:szCs w:val="20"/>
          <w:lang w:val="cs-CZ" w:eastAsia="cs-CZ"/>
        </w:rPr>
      </w:pPr>
    </w:p>
    <w:p w14:paraId="44F1FF7A" w14:textId="4A84A7A3" w:rsidR="00225C25" w:rsidRPr="007434DA" w:rsidRDefault="00225C25" w:rsidP="00CB2594">
      <w:pPr>
        <w:spacing w:before="120" w:after="120" w:line="360" w:lineRule="atLeast"/>
        <w:ind w:firstLine="567"/>
        <w:rPr>
          <w:rFonts w:ascii="Arial" w:eastAsia="Times New Roman" w:hAnsi="Arial" w:cs="Arial"/>
          <w:color w:val="000000"/>
          <w:sz w:val="20"/>
          <w:szCs w:val="20"/>
          <w:lang w:val="cs-CZ" w:eastAsia="cs-CZ"/>
        </w:rPr>
      </w:pPr>
    </w:p>
    <w:p w14:paraId="5E1FE8E9" w14:textId="77777777" w:rsidR="00277250" w:rsidRPr="007434DA" w:rsidRDefault="00277250" w:rsidP="00CB2594">
      <w:pPr>
        <w:spacing w:before="120" w:after="120" w:line="360" w:lineRule="atLeast"/>
        <w:ind w:firstLine="567"/>
        <w:rPr>
          <w:rFonts w:ascii="Arial" w:eastAsia="Times New Roman" w:hAnsi="Arial" w:cs="Arial"/>
          <w:color w:val="000000"/>
          <w:sz w:val="20"/>
          <w:szCs w:val="20"/>
          <w:lang w:val="cs-CZ" w:eastAsia="cs-CZ"/>
        </w:rPr>
      </w:pPr>
    </w:p>
    <w:p w14:paraId="7BC113E3" w14:textId="37D58EDC" w:rsidR="00CB2594" w:rsidRPr="007434DA" w:rsidRDefault="00CB2594" w:rsidP="002622E7">
      <w:pPr>
        <w:pStyle w:val="UZEITaB"/>
        <w:ind w:left="1134" w:hanging="1134"/>
      </w:pPr>
      <w:bookmarkStart w:id="131" w:name="_Toc94095284"/>
      <w:r w:rsidRPr="007434DA">
        <w:t>Nálezy těžkých kovů u vybraných komodit rostlinného původu v rámci plánovaných kontrol cizorodých látek v letech 2012- 2020</w:t>
      </w:r>
      <w:bookmarkEnd w:id="131"/>
    </w:p>
    <w:p w14:paraId="3924E18D" w14:textId="77777777" w:rsidR="00CB2594" w:rsidRPr="007434DA" w:rsidRDefault="00CB2594" w:rsidP="00CB2594">
      <w:pPr>
        <w:spacing w:before="120" w:after="120" w:line="360" w:lineRule="atLeast"/>
        <w:rPr>
          <w:rFonts w:ascii="Arial" w:eastAsia="Times New Roman" w:hAnsi="Arial" w:cs="Arial"/>
          <w:color w:val="000000"/>
          <w:sz w:val="20"/>
          <w:szCs w:val="20"/>
          <w:lang w:val="cs-CZ" w:eastAsia="cs-CZ"/>
        </w:rPr>
      </w:pPr>
      <w:r w:rsidRPr="007434DA">
        <w:rPr>
          <w:rFonts w:cs="Times New Roman"/>
          <w:noProof/>
          <w:lang w:val="cs-CZ" w:eastAsia="cs-CZ"/>
        </w:rPr>
        <w:drawing>
          <wp:inline distT="0" distB="0" distL="0" distR="0" wp14:anchorId="682A97BE" wp14:editId="77B4CA72">
            <wp:extent cx="5690681" cy="2467990"/>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pic:nvPicPr>
                  <pic:blipFill>
                    <a:blip r:embed="rId22">
                      <a:extLst>
                        <a:ext uri="{28A0092B-C50C-407E-A947-70E740481C1C}">
                          <a14:useLocalDpi xmlns:a14="http://schemas.microsoft.com/office/drawing/2010/main" val="0"/>
                        </a:ext>
                      </a:extLst>
                    </a:blip>
                    <a:stretch>
                      <a:fillRect/>
                    </a:stretch>
                  </pic:blipFill>
                  <pic:spPr>
                    <a:xfrm>
                      <a:off x="0" y="0"/>
                      <a:ext cx="5701075" cy="2472498"/>
                    </a:xfrm>
                    <a:prstGeom prst="rect">
                      <a:avLst/>
                    </a:prstGeom>
                  </pic:spPr>
                </pic:pic>
              </a:graphicData>
            </a:graphic>
          </wp:inline>
        </w:drawing>
      </w:r>
    </w:p>
    <w:p w14:paraId="50B62291" w14:textId="36D043C4" w:rsidR="00CB2594" w:rsidRPr="007434DA" w:rsidRDefault="00CB2594" w:rsidP="00152D53">
      <w:pPr>
        <w:pStyle w:val="UZEIZdroj"/>
        <w:rPr>
          <w:lang w:eastAsia="cs-CZ"/>
        </w:rPr>
      </w:pPr>
      <w:bookmarkStart w:id="132" w:name="_Hlk527017478"/>
      <w:r w:rsidRPr="007434DA">
        <w:rPr>
          <w:lang w:eastAsia="cs-CZ"/>
        </w:rPr>
        <w:t>Pramen: Výsledky kontrol SZPI v ČR v období 2012-2020, NAP</w:t>
      </w:r>
    </w:p>
    <w:p w14:paraId="4CEB4DD0" w14:textId="08DC082D" w:rsidR="00CB2594" w:rsidRPr="007434DA" w:rsidRDefault="00CB2594" w:rsidP="00277250">
      <w:pPr>
        <w:pStyle w:val="UZEIGraf"/>
        <w:ind w:hanging="720"/>
      </w:pPr>
      <w:bookmarkStart w:id="133" w:name="_Toc93676667"/>
      <w:r w:rsidRPr="007434DA">
        <w:t>Nálezy reziduí těžkých kovů u vybraných komodit rostlinného původu</w:t>
      </w:r>
      <w:r w:rsidR="00152D53" w:rsidRPr="007434DA">
        <w:t xml:space="preserve"> </w:t>
      </w:r>
      <w:r w:rsidRPr="007434DA">
        <w:t>v rámci plánovaných kontrol cizorodých látek v letech 2012- 2020</w:t>
      </w:r>
      <w:bookmarkEnd w:id="133"/>
    </w:p>
    <w:p w14:paraId="7A1510FB" w14:textId="77777777" w:rsidR="00CB2594" w:rsidRPr="007434DA" w:rsidRDefault="00CB2594" w:rsidP="00CB2594">
      <w:pPr>
        <w:spacing w:after="120" w:line="260" w:lineRule="atLeast"/>
        <w:rPr>
          <w:rFonts w:ascii="Arial" w:eastAsia="Times New Roman" w:hAnsi="Arial" w:cs="Arial"/>
          <w:i/>
          <w:color w:val="000000"/>
          <w:sz w:val="18"/>
          <w:szCs w:val="18"/>
          <w:lang w:val="cs-CZ" w:eastAsia="cs-CZ"/>
        </w:rPr>
      </w:pPr>
      <w:r w:rsidRPr="007434DA">
        <w:rPr>
          <w:noProof/>
          <w:lang w:val="cs-CZ" w:eastAsia="cs-CZ"/>
        </w:rPr>
        <w:drawing>
          <wp:inline distT="0" distB="0" distL="0" distR="0" wp14:anchorId="04B4AA7F" wp14:editId="21FD8196">
            <wp:extent cx="5810250" cy="2762250"/>
            <wp:effectExtent l="38100" t="38100" r="95250" b="95250"/>
            <wp:docPr id="5" name="Graf 5">
              <a:extLst xmlns:a="http://schemas.openxmlformats.org/drawingml/2006/main">
                <a:ext uri="{FF2B5EF4-FFF2-40B4-BE49-F238E27FC236}">
                  <a16:creationId xmlns:a16="http://schemas.microsoft.com/office/drawing/2014/main" id="{651FD1F1-BF05-4E55-AB80-5BF592BE245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5631EBC7" w14:textId="661CB01E" w:rsidR="00CB2594" w:rsidRPr="007434DA" w:rsidRDefault="00CB2594" w:rsidP="00152D53">
      <w:pPr>
        <w:pStyle w:val="UZEIZdroj"/>
        <w:rPr>
          <w:lang w:eastAsia="cs-CZ"/>
        </w:rPr>
      </w:pPr>
      <w:r w:rsidRPr="007434DA">
        <w:rPr>
          <w:lang w:eastAsia="cs-CZ"/>
        </w:rPr>
        <w:t>Pramen: Výsledky kontrol SZPI v ČR v období 2012-2020, výpočet ÚZEI</w:t>
      </w:r>
    </w:p>
    <w:p w14:paraId="542F1DA3" w14:textId="7EBBC73E" w:rsidR="00CB2594" w:rsidRPr="007434DA" w:rsidRDefault="00CB2594" w:rsidP="00152D53">
      <w:pPr>
        <w:pStyle w:val="UZEINormaln"/>
      </w:pPr>
      <w:r w:rsidRPr="007434DA">
        <w:t>V PRV 2014</w:t>
      </w:r>
      <w:r w:rsidRPr="007434DA">
        <w:noBreakHyphen/>
        <w:t>2020 v rámci opatření M10 AEKO – Integrovaná produkce je povinnost odběrů a analýz vzorků ovoce/zeleniny</w:t>
      </w:r>
      <w:r w:rsidR="00493A63">
        <w:t>/jahod</w:t>
      </w:r>
      <w:r w:rsidRPr="007434DA">
        <w:t xml:space="preserve"> (každoročně) a půdy (do 4</w:t>
      </w:r>
      <w:r w:rsidR="00493A63">
        <w:t>.</w:t>
      </w:r>
      <w:r w:rsidRPr="007434DA">
        <w:t xml:space="preserve"> roku závazku). SZIF provedl v případě roků podání žádosti 2015 až 2020 kontroly všech dotyčných příjemců. Výsledky jsou uvedeny v tabulce č. 1</w:t>
      </w:r>
      <w:r w:rsidR="00152D53" w:rsidRPr="007434DA">
        <w:t>2</w:t>
      </w:r>
      <w:r w:rsidRPr="007434DA">
        <w:t xml:space="preserve"> a č. 1</w:t>
      </w:r>
      <w:r w:rsidR="00152D53" w:rsidRPr="007434DA">
        <w:t>3</w:t>
      </w:r>
      <w:r w:rsidRPr="007434DA">
        <w:t xml:space="preserve">. Překročení limitů těžkých kovů ve vzorcích ovoce bylo zaznamenáno, vyjma roku 2020, ve všech sledovaných letech, přičemž nejvíce vzorků s nadlimitním obsahem těchto látek bylo zaznamenáno v roce 2015, a to u 22,7 % vzorků z celkového počtu 227 odebraných. U provedených analýz vzorků pocházejících z integrované produkce zeleniny a jahodníku byl nadlimitní výskyt těžkých kovů zaznamenán v letech 2016 až 2018. Z toho největší podíl překročených limitů z celkově odebraných za uvedené období byl detekován v roce 2016, a to u 5,4 % z celkem 92 provedených rozborů. </w:t>
      </w:r>
    </w:p>
    <w:p w14:paraId="2E90E915" w14:textId="77777777" w:rsidR="00CB2594" w:rsidRPr="007434DA" w:rsidRDefault="00CB2594" w:rsidP="00CB2594">
      <w:pPr>
        <w:spacing w:before="120" w:after="120" w:line="360" w:lineRule="atLeast"/>
        <w:ind w:firstLine="567"/>
        <w:rPr>
          <w:rFonts w:ascii="Arial" w:eastAsia="Times New Roman" w:hAnsi="Arial" w:cs="Arial"/>
          <w:color w:val="000000"/>
          <w:sz w:val="20"/>
          <w:szCs w:val="20"/>
          <w:lang w:val="cs-CZ" w:eastAsia="cs-CZ"/>
        </w:rPr>
      </w:pPr>
    </w:p>
    <w:p w14:paraId="084A8F91" w14:textId="3395CE68" w:rsidR="00CB2594" w:rsidRPr="007434DA" w:rsidRDefault="00CB2594" w:rsidP="002622E7">
      <w:pPr>
        <w:pStyle w:val="UZEITaB"/>
        <w:ind w:left="1134" w:hanging="1134"/>
      </w:pPr>
      <w:bookmarkStart w:id="134" w:name="_Toc94095285"/>
      <w:r w:rsidRPr="007434DA">
        <w:t>Integrovaná produkce ovoce – těžké kovy</w:t>
      </w:r>
      <w:bookmarkEnd w:id="134"/>
    </w:p>
    <w:tbl>
      <w:tblPr>
        <w:tblW w:w="8987" w:type="dxa"/>
        <w:tblInd w:w="55" w:type="dxa"/>
        <w:tblLayout w:type="fixed"/>
        <w:tblCellMar>
          <w:left w:w="70" w:type="dxa"/>
          <w:right w:w="70" w:type="dxa"/>
        </w:tblCellMar>
        <w:tblLook w:val="04A0" w:firstRow="1" w:lastRow="0" w:firstColumn="1" w:lastColumn="0" w:noHBand="0" w:noVBand="1"/>
      </w:tblPr>
      <w:tblGrid>
        <w:gridCol w:w="3191"/>
        <w:gridCol w:w="966"/>
        <w:gridCol w:w="966"/>
        <w:gridCol w:w="966"/>
        <w:gridCol w:w="966"/>
        <w:gridCol w:w="966"/>
        <w:gridCol w:w="966"/>
      </w:tblGrid>
      <w:tr w:rsidR="00CB2594" w:rsidRPr="007434DA" w14:paraId="483B024C" w14:textId="77777777" w:rsidTr="004A57B3">
        <w:trPr>
          <w:trHeight w:val="345"/>
        </w:trPr>
        <w:tc>
          <w:tcPr>
            <w:tcW w:w="3191" w:type="dxa"/>
            <w:vMerge w:val="restart"/>
            <w:tcBorders>
              <w:top w:val="double" w:sz="4" w:space="0" w:color="auto"/>
              <w:left w:val="double" w:sz="4" w:space="0" w:color="auto"/>
              <w:bottom w:val="single" w:sz="4" w:space="0" w:color="000000"/>
              <w:right w:val="single" w:sz="4" w:space="0" w:color="auto"/>
            </w:tcBorders>
            <w:shd w:val="clear" w:color="auto" w:fill="auto"/>
            <w:noWrap/>
            <w:vAlign w:val="center"/>
            <w:hideMark/>
          </w:tcPr>
          <w:p w14:paraId="2F726559" w14:textId="77777777" w:rsidR="00CB2594" w:rsidRPr="007434DA" w:rsidRDefault="00CB2594" w:rsidP="004A57B3">
            <w:pPr>
              <w:rPr>
                <w:rFonts w:cs="Times New Roman"/>
                <w:b/>
                <w:bCs/>
                <w:color w:val="000000"/>
                <w:sz w:val="20"/>
                <w:szCs w:val="20"/>
                <w:lang w:val="cs-CZ"/>
              </w:rPr>
            </w:pPr>
            <w:r w:rsidRPr="007434DA">
              <w:rPr>
                <w:rFonts w:cs="Times New Roman"/>
                <w:b/>
                <w:bCs/>
                <w:color w:val="000000"/>
                <w:sz w:val="20"/>
                <w:szCs w:val="20"/>
                <w:lang w:val="cs-CZ"/>
              </w:rPr>
              <w:t xml:space="preserve">Celkový počet žadatelů IPO </w:t>
            </w:r>
          </w:p>
        </w:tc>
        <w:tc>
          <w:tcPr>
            <w:tcW w:w="966" w:type="dxa"/>
            <w:tcBorders>
              <w:top w:val="double" w:sz="4" w:space="0" w:color="auto"/>
              <w:left w:val="nil"/>
              <w:bottom w:val="single" w:sz="4" w:space="0" w:color="auto"/>
              <w:right w:val="single" w:sz="4" w:space="0" w:color="auto"/>
            </w:tcBorders>
            <w:shd w:val="clear" w:color="000000" w:fill="E2EFDA"/>
            <w:noWrap/>
            <w:vAlign w:val="center"/>
            <w:hideMark/>
          </w:tcPr>
          <w:p w14:paraId="52A6DF99" w14:textId="77777777" w:rsidR="00CB2594" w:rsidRPr="007434DA" w:rsidRDefault="00CB2594" w:rsidP="004A57B3">
            <w:pPr>
              <w:jc w:val="center"/>
              <w:rPr>
                <w:rFonts w:cs="Times New Roman"/>
                <w:b/>
                <w:bCs/>
                <w:sz w:val="20"/>
                <w:szCs w:val="20"/>
                <w:lang w:val="cs-CZ"/>
              </w:rPr>
            </w:pPr>
            <w:r w:rsidRPr="007434DA">
              <w:rPr>
                <w:rFonts w:cs="Times New Roman"/>
                <w:b/>
                <w:bCs/>
                <w:sz w:val="20"/>
                <w:szCs w:val="20"/>
                <w:lang w:val="cs-CZ"/>
              </w:rPr>
              <w:t>2015</w:t>
            </w:r>
          </w:p>
        </w:tc>
        <w:tc>
          <w:tcPr>
            <w:tcW w:w="966" w:type="dxa"/>
            <w:tcBorders>
              <w:top w:val="double" w:sz="4" w:space="0" w:color="auto"/>
              <w:left w:val="single" w:sz="4" w:space="0" w:color="auto"/>
              <w:bottom w:val="single" w:sz="4" w:space="0" w:color="auto"/>
              <w:right w:val="single" w:sz="4" w:space="0" w:color="auto"/>
            </w:tcBorders>
            <w:shd w:val="clear" w:color="000000" w:fill="E2EFDA"/>
            <w:noWrap/>
            <w:vAlign w:val="center"/>
            <w:hideMark/>
          </w:tcPr>
          <w:p w14:paraId="66DCC95F" w14:textId="77777777" w:rsidR="00CB2594" w:rsidRPr="007434DA" w:rsidRDefault="00CB2594" w:rsidP="004A57B3">
            <w:pPr>
              <w:jc w:val="center"/>
              <w:rPr>
                <w:rFonts w:cs="Times New Roman"/>
                <w:b/>
                <w:bCs/>
                <w:sz w:val="20"/>
                <w:szCs w:val="20"/>
                <w:lang w:val="cs-CZ"/>
              </w:rPr>
            </w:pPr>
            <w:r w:rsidRPr="007434DA">
              <w:rPr>
                <w:rFonts w:cs="Times New Roman"/>
                <w:b/>
                <w:bCs/>
                <w:sz w:val="20"/>
                <w:szCs w:val="20"/>
                <w:lang w:val="cs-CZ"/>
              </w:rPr>
              <w:t>2016</w:t>
            </w:r>
          </w:p>
        </w:tc>
        <w:tc>
          <w:tcPr>
            <w:tcW w:w="966" w:type="dxa"/>
            <w:tcBorders>
              <w:top w:val="double" w:sz="4" w:space="0" w:color="auto"/>
              <w:left w:val="single" w:sz="4" w:space="0" w:color="auto"/>
              <w:bottom w:val="single" w:sz="4" w:space="0" w:color="auto"/>
              <w:right w:val="single" w:sz="4" w:space="0" w:color="auto"/>
            </w:tcBorders>
            <w:shd w:val="clear" w:color="000000" w:fill="E2EFDA"/>
            <w:noWrap/>
            <w:vAlign w:val="center"/>
            <w:hideMark/>
          </w:tcPr>
          <w:p w14:paraId="3F2624B8" w14:textId="77777777" w:rsidR="00CB2594" w:rsidRPr="007434DA" w:rsidRDefault="00CB2594" w:rsidP="004A57B3">
            <w:pPr>
              <w:jc w:val="center"/>
              <w:rPr>
                <w:rFonts w:cs="Times New Roman"/>
                <w:b/>
                <w:bCs/>
                <w:sz w:val="20"/>
                <w:szCs w:val="20"/>
                <w:lang w:val="cs-CZ"/>
              </w:rPr>
            </w:pPr>
            <w:r w:rsidRPr="007434DA">
              <w:rPr>
                <w:rFonts w:cs="Times New Roman"/>
                <w:b/>
                <w:bCs/>
                <w:sz w:val="20"/>
                <w:szCs w:val="20"/>
                <w:lang w:val="cs-CZ"/>
              </w:rPr>
              <w:t>2017</w:t>
            </w:r>
          </w:p>
        </w:tc>
        <w:tc>
          <w:tcPr>
            <w:tcW w:w="966" w:type="dxa"/>
            <w:tcBorders>
              <w:top w:val="double" w:sz="4" w:space="0" w:color="auto"/>
              <w:left w:val="single" w:sz="4" w:space="0" w:color="auto"/>
              <w:bottom w:val="single" w:sz="4" w:space="0" w:color="auto"/>
              <w:right w:val="single" w:sz="4" w:space="0" w:color="auto"/>
            </w:tcBorders>
            <w:shd w:val="clear" w:color="000000" w:fill="E2EFDA"/>
          </w:tcPr>
          <w:p w14:paraId="355B6D34" w14:textId="77777777" w:rsidR="00CB2594" w:rsidRPr="007434DA" w:rsidRDefault="00CB2594" w:rsidP="004A57B3">
            <w:pPr>
              <w:jc w:val="center"/>
              <w:rPr>
                <w:rFonts w:cs="Times New Roman"/>
                <w:b/>
                <w:bCs/>
                <w:sz w:val="20"/>
                <w:szCs w:val="20"/>
                <w:lang w:val="cs-CZ"/>
              </w:rPr>
            </w:pPr>
            <w:r w:rsidRPr="007434DA">
              <w:rPr>
                <w:rFonts w:cs="Times New Roman"/>
                <w:b/>
                <w:bCs/>
                <w:sz w:val="20"/>
                <w:szCs w:val="20"/>
                <w:lang w:val="cs-CZ"/>
              </w:rPr>
              <w:t>2018</w:t>
            </w:r>
          </w:p>
        </w:tc>
        <w:tc>
          <w:tcPr>
            <w:tcW w:w="966" w:type="dxa"/>
            <w:tcBorders>
              <w:top w:val="double" w:sz="4" w:space="0" w:color="auto"/>
              <w:left w:val="single" w:sz="4" w:space="0" w:color="auto"/>
              <w:bottom w:val="single" w:sz="4" w:space="0" w:color="auto"/>
              <w:right w:val="single" w:sz="4" w:space="0" w:color="auto"/>
            </w:tcBorders>
            <w:shd w:val="clear" w:color="000000" w:fill="E2EFDA"/>
          </w:tcPr>
          <w:p w14:paraId="0F792CE0" w14:textId="77777777" w:rsidR="00CB2594" w:rsidRPr="007434DA" w:rsidRDefault="00CB2594" w:rsidP="004A57B3">
            <w:pPr>
              <w:jc w:val="center"/>
              <w:rPr>
                <w:rFonts w:cs="Times New Roman"/>
                <w:b/>
                <w:bCs/>
                <w:sz w:val="20"/>
                <w:szCs w:val="20"/>
                <w:lang w:val="cs-CZ"/>
              </w:rPr>
            </w:pPr>
            <w:r w:rsidRPr="007434DA">
              <w:rPr>
                <w:rFonts w:cs="Times New Roman"/>
                <w:b/>
                <w:bCs/>
                <w:sz w:val="20"/>
                <w:szCs w:val="20"/>
                <w:lang w:val="cs-CZ"/>
              </w:rPr>
              <w:t>2019</w:t>
            </w:r>
          </w:p>
        </w:tc>
        <w:tc>
          <w:tcPr>
            <w:tcW w:w="966" w:type="dxa"/>
            <w:tcBorders>
              <w:top w:val="double" w:sz="4" w:space="0" w:color="auto"/>
              <w:left w:val="single" w:sz="4" w:space="0" w:color="auto"/>
              <w:bottom w:val="single" w:sz="4" w:space="0" w:color="auto"/>
              <w:right w:val="double" w:sz="4" w:space="0" w:color="auto"/>
            </w:tcBorders>
            <w:shd w:val="clear" w:color="000000" w:fill="E2EFDA"/>
          </w:tcPr>
          <w:p w14:paraId="36BB3DB4" w14:textId="77777777" w:rsidR="00CB2594" w:rsidRPr="007434DA" w:rsidRDefault="00CB2594" w:rsidP="004A57B3">
            <w:pPr>
              <w:jc w:val="center"/>
              <w:rPr>
                <w:rFonts w:cs="Times New Roman"/>
                <w:b/>
                <w:bCs/>
                <w:sz w:val="20"/>
                <w:szCs w:val="20"/>
                <w:lang w:val="cs-CZ"/>
              </w:rPr>
            </w:pPr>
            <w:r w:rsidRPr="007434DA">
              <w:rPr>
                <w:rFonts w:cs="Times New Roman"/>
                <w:b/>
                <w:bCs/>
                <w:sz w:val="20"/>
                <w:szCs w:val="20"/>
                <w:lang w:val="cs-CZ"/>
              </w:rPr>
              <w:t>2020</w:t>
            </w:r>
          </w:p>
        </w:tc>
      </w:tr>
      <w:tr w:rsidR="00CB2594" w:rsidRPr="007434DA" w14:paraId="2ADCE328" w14:textId="77777777" w:rsidTr="004A57B3">
        <w:trPr>
          <w:trHeight w:val="345"/>
        </w:trPr>
        <w:tc>
          <w:tcPr>
            <w:tcW w:w="3191" w:type="dxa"/>
            <w:vMerge/>
            <w:tcBorders>
              <w:top w:val="single" w:sz="8" w:space="0" w:color="auto"/>
              <w:left w:val="double" w:sz="4" w:space="0" w:color="auto"/>
              <w:bottom w:val="single" w:sz="4" w:space="0" w:color="000000"/>
              <w:right w:val="single" w:sz="4" w:space="0" w:color="auto"/>
            </w:tcBorders>
            <w:vAlign w:val="center"/>
            <w:hideMark/>
          </w:tcPr>
          <w:p w14:paraId="1AD40AA2" w14:textId="77777777" w:rsidR="00CB2594" w:rsidRPr="007434DA" w:rsidRDefault="00CB2594" w:rsidP="004A57B3">
            <w:pPr>
              <w:rPr>
                <w:rFonts w:cs="Times New Roman"/>
                <w:b/>
                <w:bCs/>
                <w:color w:val="000000"/>
                <w:sz w:val="20"/>
                <w:szCs w:val="20"/>
                <w:lang w:val="cs-CZ"/>
              </w:rPr>
            </w:pPr>
          </w:p>
        </w:tc>
        <w:tc>
          <w:tcPr>
            <w:tcW w:w="966" w:type="dxa"/>
            <w:tcBorders>
              <w:top w:val="nil"/>
              <w:left w:val="nil"/>
              <w:bottom w:val="single" w:sz="4" w:space="0" w:color="auto"/>
              <w:right w:val="single" w:sz="4" w:space="0" w:color="auto"/>
            </w:tcBorders>
            <w:shd w:val="clear" w:color="auto" w:fill="auto"/>
            <w:noWrap/>
            <w:vAlign w:val="center"/>
            <w:hideMark/>
          </w:tcPr>
          <w:p w14:paraId="53A8A757"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227</w:t>
            </w:r>
          </w:p>
        </w:tc>
        <w:tc>
          <w:tcPr>
            <w:tcW w:w="966" w:type="dxa"/>
            <w:tcBorders>
              <w:top w:val="nil"/>
              <w:left w:val="single" w:sz="4" w:space="0" w:color="auto"/>
              <w:bottom w:val="single" w:sz="4" w:space="0" w:color="auto"/>
              <w:right w:val="single" w:sz="4" w:space="0" w:color="auto"/>
            </w:tcBorders>
            <w:shd w:val="clear" w:color="auto" w:fill="auto"/>
            <w:noWrap/>
            <w:vAlign w:val="center"/>
            <w:hideMark/>
          </w:tcPr>
          <w:p w14:paraId="0828A12E"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300</w:t>
            </w:r>
          </w:p>
        </w:tc>
        <w:tc>
          <w:tcPr>
            <w:tcW w:w="966" w:type="dxa"/>
            <w:tcBorders>
              <w:top w:val="nil"/>
              <w:left w:val="single" w:sz="4" w:space="0" w:color="auto"/>
              <w:bottom w:val="single" w:sz="4" w:space="0" w:color="auto"/>
              <w:right w:val="single" w:sz="4" w:space="0" w:color="auto"/>
            </w:tcBorders>
            <w:shd w:val="clear" w:color="auto" w:fill="auto"/>
            <w:noWrap/>
            <w:vAlign w:val="center"/>
            <w:hideMark/>
          </w:tcPr>
          <w:p w14:paraId="19BC1CC2"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303</w:t>
            </w:r>
          </w:p>
        </w:tc>
        <w:tc>
          <w:tcPr>
            <w:tcW w:w="966" w:type="dxa"/>
            <w:tcBorders>
              <w:top w:val="nil"/>
              <w:left w:val="single" w:sz="4" w:space="0" w:color="auto"/>
              <w:bottom w:val="single" w:sz="4" w:space="0" w:color="auto"/>
              <w:right w:val="single" w:sz="4" w:space="0" w:color="auto"/>
            </w:tcBorders>
          </w:tcPr>
          <w:p w14:paraId="60A7F70C"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315</w:t>
            </w:r>
          </w:p>
        </w:tc>
        <w:tc>
          <w:tcPr>
            <w:tcW w:w="966" w:type="dxa"/>
            <w:tcBorders>
              <w:top w:val="nil"/>
              <w:left w:val="single" w:sz="4" w:space="0" w:color="auto"/>
              <w:bottom w:val="single" w:sz="4" w:space="0" w:color="auto"/>
              <w:right w:val="single" w:sz="4" w:space="0" w:color="auto"/>
            </w:tcBorders>
          </w:tcPr>
          <w:p w14:paraId="26BD6685"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319</w:t>
            </w:r>
          </w:p>
        </w:tc>
        <w:tc>
          <w:tcPr>
            <w:tcW w:w="966" w:type="dxa"/>
            <w:tcBorders>
              <w:top w:val="nil"/>
              <w:left w:val="single" w:sz="4" w:space="0" w:color="auto"/>
              <w:bottom w:val="single" w:sz="4" w:space="0" w:color="auto"/>
              <w:right w:val="double" w:sz="4" w:space="0" w:color="auto"/>
            </w:tcBorders>
          </w:tcPr>
          <w:p w14:paraId="4B12CA04"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275</w:t>
            </w:r>
          </w:p>
        </w:tc>
      </w:tr>
      <w:tr w:rsidR="00CB2594" w:rsidRPr="007434DA" w14:paraId="1EE5C701" w14:textId="77777777" w:rsidTr="004A57B3">
        <w:trPr>
          <w:trHeight w:val="345"/>
        </w:trPr>
        <w:tc>
          <w:tcPr>
            <w:tcW w:w="3191" w:type="dxa"/>
            <w:tcBorders>
              <w:top w:val="nil"/>
              <w:left w:val="double" w:sz="4" w:space="0" w:color="auto"/>
              <w:bottom w:val="single" w:sz="4" w:space="0" w:color="auto"/>
              <w:right w:val="single" w:sz="4" w:space="0" w:color="auto"/>
            </w:tcBorders>
            <w:shd w:val="clear" w:color="auto" w:fill="auto"/>
            <w:noWrap/>
            <w:vAlign w:val="center"/>
            <w:hideMark/>
          </w:tcPr>
          <w:p w14:paraId="770337FD" w14:textId="77777777" w:rsidR="00CB2594" w:rsidRPr="007434DA" w:rsidRDefault="00CB2594" w:rsidP="004A57B3">
            <w:pPr>
              <w:spacing w:line="240" w:lineRule="atLeast"/>
              <w:rPr>
                <w:rFonts w:cs="Times New Roman"/>
                <w:b/>
                <w:bCs/>
                <w:color w:val="000000"/>
                <w:sz w:val="20"/>
                <w:szCs w:val="20"/>
                <w:lang w:val="cs-CZ"/>
              </w:rPr>
            </w:pPr>
            <w:r w:rsidRPr="007434DA">
              <w:rPr>
                <w:rFonts w:cs="Times New Roman"/>
                <w:b/>
                <w:bCs/>
                <w:color w:val="000000"/>
                <w:sz w:val="20"/>
                <w:szCs w:val="20"/>
                <w:lang w:val="cs-CZ"/>
              </w:rPr>
              <w:t>Celkový počet porušení</w:t>
            </w:r>
          </w:p>
        </w:tc>
        <w:tc>
          <w:tcPr>
            <w:tcW w:w="966" w:type="dxa"/>
            <w:tcBorders>
              <w:top w:val="nil"/>
              <w:left w:val="nil"/>
              <w:bottom w:val="single" w:sz="4" w:space="0" w:color="auto"/>
              <w:right w:val="single" w:sz="4" w:space="0" w:color="auto"/>
            </w:tcBorders>
            <w:shd w:val="clear" w:color="auto" w:fill="auto"/>
            <w:noWrap/>
            <w:vAlign w:val="center"/>
            <w:hideMark/>
          </w:tcPr>
          <w:p w14:paraId="5187E988"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19</w:t>
            </w:r>
          </w:p>
        </w:tc>
        <w:tc>
          <w:tcPr>
            <w:tcW w:w="966" w:type="dxa"/>
            <w:tcBorders>
              <w:top w:val="nil"/>
              <w:left w:val="single" w:sz="4" w:space="0" w:color="auto"/>
              <w:bottom w:val="single" w:sz="4" w:space="0" w:color="auto"/>
              <w:right w:val="single" w:sz="4" w:space="0" w:color="auto"/>
            </w:tcBorders>
            <w:shd w:val="clear" w:color="auto" w:fill="auto"/>
            <w:noWrap/>
            <w:vAlign w:val="center"/>
            <w:hideMark/>
          </w:tcPr>
          <w:p w14:paraId="6616F3BA"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14</w:t>
            </w:r>
          </w:p>
        </w:tc>
        <w:tc>
          <w:tcPr>
            <w:tcW w:w="966" w:type="dxa"/>
            <w:tcBorders>
              <w:top w:val="nil"/>
              <w:left w:val="single" w:sz="4" w:space="0" w:color="auto"/>
              <w:bottom w:val="single" w:sz="4" w:space="0" w:color="auto"/>
              <w:right w:val="single" w:sz="4" w:space="0" w:color="auto"/>
            </w:tcBorders>
            <w:shd w:val="clear" w:color="auto" w:fill="auto"/>
            <w:noWrap/>
            <w:vAlign w:val="center"/>
            <w:hideMark/>
          </w:tcPr>
          <w:p w14:paraId="199100F0"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12</w:t>
            </w:r>
          </w:p>
        </w:tc>
        <w:tc>
          <w:tcPr>
            <w:tcW w:w="966" w:type="dxa"/>
            <w:tcBorders>
              <w:top w:val="nil"/>
              <w:left w:val="single" w:sz="4" w:space="0" w:color="auto"/>
              <w:bottom w:val="single" w:sz="4" w:space="0" w:color="auto"/>
              <w:right w:val="single" w:sz="4" w:space="0" w:color="auto"/>
            </w:tcBorders>
          </w:tcPr>
          <w:p w14:paraId="6ADDACE9"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15</w:t>
            </w:r>
          </w:p>
        </w:tc>
        <w:tc>
          <w:tcPr>
            <w:tcW w:w="966" w:type="dxa"/>
            <w:tcBorders>
              <w:top w:val="nil"/>
              <w:left w:val="single" w:sz="4" w:space="0" w:color="auto"/>
              <w:bottom w:val="single" w:sz="4" w:space="0" w:color="auto"/>
              <w:right w:val="single" w:sz="4" w:space="0" w:color="auto"/>
            </w:tcBorders>
          </w:tcPr>
          <w:p w14:paraId="553F498D"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22</w:t>
            </w:r>
          </w:p>
        </w:tc>
        <w:tc>
          <w:tcPr>
            <w:tcW w:w="966" w:type="dxa"/>
            <w:tcBorders>
              <w:top w:val="nil"/>
              <w:left w:val="single" w:sz="4" w:space="0" w:color="auto"/>
              <w:bottom w:val="single" w:sz="4" w:space="0" w:color="auto"/>
              <w:right w:val="double" w:sz="4" w:space="0" w:color="auto"/>
            </w:tcBorders>
          </w:tcPr>
          <w:p w14:paraId="77F57711"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5</w:t>
            </w:r>
          </w:p>
        </w:tc>
      </w:tr>
      <w:tr w:rsidR="00CB2594" w:rsidRPr="007434DA" w14:paraId="799B632B" w14:textId="77777777" w:rsidTr="004A57B3">
        <w:trPr>
          <w:trHeight w:val="345"/>
        </w:trPr>
        <w:tc>
          <w:tcPr>
            <w:tcW w:w="3191" w:type="dxa"/>
            <w:tcBorders>
              <w:top w:val="nil"/>
              <w:left w:val="double" w:sz="4" w:space="0" w:color="auto"/>
              <w:bottom w:val="single" w:sz="8" w:space="0" w:color="auto"/>
              <w:right w:val="single" w:sz="4" w:space="0" w:color="auto"/>
            </w:tcBorders>
            <w:shd w:val="clear" w:color="auto" w:fill="auto"/>
            <w:noWrap/>
            <w:vAlign w:val="center"/>
            <w:hideMark/>
          </w:tcPr>
          <w:p w14:paraId="701046B4" w14:textId="77777777" w:rsidR="00CB2594" w:rsidRPr="007434DA" w:rsidRDefault="00CB2594" w:rsidP="004A57B3">
            <w:pPr>
              <w:spacing w:line="240" w:lineRule="atLeast"/>
              <w:rPr>
                <w:rFonts w:cs="Times New Roman"/>
                <w:b/>
                <w:bCs/>
                <w:color w:val="000000"/>
                <w:sz w:val="20"/>
                <w:szCs w:val="20"/>
                <w:lang w:val="cs-CZ"/>
              </w:rPr>
            </w:pPr>
            <w:r w:rsidRPr="007434DA">
              <w:rPr>
                <w:rFonts w:cs="Times New Roman"/>
                <w:b/>
                <w:bCs/>
                <w:color w:val="000000"/>
                <w:sz w:val="20"/>
                <w:szCs w:val="20"/>
                <w:lang w:val="cs-CZ"/>
              </w:rPr>
              <w:t>Podíl porušení (%)</w:t>
            </w:r>
          </w:p>
        </w:tc>
        <w:tc>
          <w:tcPr>
            <w:tcW w:w="966" w:type="dxa"/>
            <w:tcBorders>
              <w:top w:val="nil"/>
              <w:left w:val="nil"/>
              <w:bottom w:val="single" w:sz="8" w:space="0" w:color="auto"/>
              <w:right w:val="single" w:sz="4" w:space="0" w:color="auto"/>
            </w:tcBorders>
            <w:shd w:val="clear" w:color="auto" w:fill="auto"/>
            <w:noWrap/>
            <w:vAlign w:val="center"/>
            <w:hideMark/>
          </w:tcPr>
          <w:p w14:paraId="3B756353"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8,37</w:t>
            </w:r>
          </w:p>
        </w:tc>
        <w:tc>
          <w:tcPr>
            <w:tcW w:w="966" w:type="dxa"/>
            <w:tcBorders>
              <w:top w:val="nil"/>
              <w:left w:val="single" w:sz="4" w:space="0" w:color="auto"/>
              <w:bottom w:val="single" w:sz="8" w:space="0" w:color="auto"/>
              <w:right w:val="single" w:sz="4" w:space="0" w:color="auto"/>
            </w:tcBorders>
            <w:shd w:val="clear" w:color="auto" w:fill="auto"/>
            <w:noWrap/>
            <w:vAlign w:val="center"/>
            <w:hideMark/>
          </w:tcPr>
          <w:p w14:paraId="21702B6A"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4,67</w:t>
            </w:r>
          </w:p>
        </w:tc>
        <w:tc>
          <w:tcPr>
            <w:tcW w:w="966" w:type="dxa"/>
            <w:tcBorders>
              <w:top w:val="nil"/>
              <w:left w:val="single" w:sz="4" w:space="0" w:color="auto"/>
              <w:bottom w:val="single" w:sz="8" w:space="0" w:color="auto"/>
              <w:right w:val="single" w:sz="4" w:space="0" w:color="auto"/>
            </w:tcBorders>
            <w:shd w:val="clear" w:color="auto" w:fill="auto"/>
            <w:noWrap/>
            <w:vAlign w:val="center"/>
            <w:hideMark/>
          </w:tcPr>
          <w:p w14:paraId="673E4730"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3,96</w:t>
            </w:r>
          </w:p>
        </w:tc>
        <w:tc>
          <w:tcPr>
            <w:tcW w:w="966" w:type="dxa"/>
            <w:tcBorders>
              <w:top w:val="nil"/>
              <w:left w:val="single" w:sz="4" w:space="0" w:color="auto"/>
              <w:bottom w:val="single" w:sz="8" w:space="0" w:color="auto"/>
              <w:right w:val="single" w:sz="4" w:space="0" w:color="auto"/>
            </w:tcBorders>
          </w:tcPr>
          <w:p w14:paraId="5B3DF9CB"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4,76</w:t>
            </w:r>
          </w:p>
        </w:tc>
        <w:tc>
          <w:tcPr>
            <w:tcW w:w="966" w:type="dxa"/>
            <w:tcBorders>
              <w:top w:val="nil"/>
              <w:left w:val="single" w:sz="4" w:space="0" w:color="auto"/>
              <w:bottom w:val="single" w:sz="8" w:space="0" w:color="auto"/>
              <w:right w:val="single" w:sz="4" w:space="0" w:color="auto"/>
            </w:tcBorders>
          </w:tcPr>
          <w:p w14:paraId="73A4B629"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6,90</w:t>
            </w:r>
          </w:p>
        </w:tc>
        <w:tc>
          <w:tcPr>
            <w:tcW w:w="966" w:type="dxa"/>
            <w:tcBorders>
              <w:top w:val="nil"/>
              <w:left w:val="single" w:sz="4" w:space="0" w:color="auto"/>
              <w:bottom w:val="single" w:sz="8" w:space="0" w:color="auto"/>
              <w:right w:val="double" w:sz="4" w:space="0" w:color="auto"/>
            </w:tcBorders>
          </w:tcPr>
          <w:p w14:paraId="10ED45CC"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1,82</w:t>
            </w:r>
          </w:p>
        </w:tc>
      </w:tr>
      <w:tr w:rsidR="00CB2594" w:rsidRPr="007434DA" w14:paraId="65F69F86" w14:textId="77777777" w:rsidTr="004A57B3">
        <w:trPr>
          <w:trHeight w:val="345"/>
        </w:trPr>
        <w:tc>
          <w:tcPr>
            <w:tcW w:w="3191" w:type="dxa"/>
            <w:tcBorders>
              <w:top w:val="nil"/>
              <w:left w:val="double" w:sz="4" w:space="0" w:color="auto"/>
              <w:bottom w:val="single" w:sz="4" w:space="0" w:color="auto"/>
              <w:right w:val="single" w:sz="4" w:space="0" w:color="auto"/>
            </w:tcBorders>
            <w:shd w:val="clear" w:color="auto" w:fill="auto"/>
            <w:noWrap/>
            <w:vAlign w:val="center"/>
            <w:hideMark/>
          </w:tcPr>
          <w:p w14:paraId="59387470" w14:textId="77777777" w:rsidR="00CB2594" w:rsidRPr="007434DA" w:rsidRDefault="00CB2594" w:rsidP="004A57B3">
            <w:pPr>
              <w:spacing w:line="240" w:lineRule="atLeast"/>
              <w:rPr>
                <w:rFonts w:cs="Times New Roman"/>
                <w:b/>
                <w:bCs/>
                <w:color w:val="000000"/>
                <w:sz w:val="20"/>
                <w:szCs w:val="20"/>
                <w:lang w:val="cs-CZ"/>
              </w:rPr>
            </w:pPr>
            <w:r w:rsidRPr="007434DA">
              <w:rPr>
                <w:rFonts w:cs="Times New Roman"/>
                <w:b/>
                <w:bCs/>
                <w:color w:val="000000"/>
                <w:sz w:val="20"/>
                <w:szCs w:val="20"/>
                <w:lang w:val="cs-CZ"/>
              </w:rPr>
              <w:t xml:space="preserve">Překročení limitů těžkých </w:t>
            </w:r>
          </w:p>
          <w:p w14:paraId="65D7C46D" w14:textId="77777777" w:rsidR="00CB2594" w:rsidRPr="007434DA" w:rsidRDefault="00CB2594" w:rsidP="004A57B3">
            <w:pPr>
              <w:spacing w:line="240" w:lineRule="atLeast"/>
              <w:rPr>
                <w:rFonts w:cs="Times New Roman"/>
                <w:b/>
                <w:bCs/>
                <w:color w:val="000000"/>
                <w:sz w:val="20"/>
                <w:szCs w:val="20"/>
                <w:lang w:val="cs-CZ"/>
              </w:rPr>
            </w:pPr>
            <w:r w:rsidRPr="007434DA">
              <w:rPr>
                <w:rFonts w:cs="Times New Roman"/>
                <w:b/>
                <w:bCs/>
                <w:color w:val="000000"/>
                <w:sz w:val="20"/>
                <w:szCs w:val="20"/>
                <w:lang w:val="cs-CZ"/>
              </w:rPr>
              <w:t>kovů-celkem</w:t>
            </w:r>
          </w:p>
        </w:tc>
        <w:tc>
          <w:tcPr>
            <w:tcW w:w="966" w:type="dxa"/>
            <w:tcBorders>
              <w:top w:val="nil"/>
              <w:left w:val="nil"/>
              <w:bottom w:val="single" w:sz="4" w:space="0" w:color="auto"/>
              <w:right w:val="single" w:sz="4" w:space="0" w:color="auto"/>
            </w:tcBorders>
            <w:shd w:val="clear" w:color="auto" w:fill="auto"/>
            <w:noWrap/>
            <w:vAlign w:val="center"/>
            <w:hideMark/>
          </w:tcPr>
          <w:p w14:paraId="21977E57"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10</w:t>
            </w:r>
          </w:p>
        </w:tc>
        <w:tc>
          <w:tcPr>
            <w:tcW w:w="966" w:type="dxa"/>
            <w:tcBorders>
              <w:top w:val="nil"/>
              <w:left w:val="single" w:sz="4" w:space="0" w:color="auto"/>
              <w:bottom w:val="single" w:sz="4" w:space="0" w:color="auto"/>
              <w:right w:val="single" w:sz="4" w:space="0" w:color="auto"/>
            </w:tcBorders>
            <w:shd w:val="clear" w:color="auto" w:fill="auto"/>
            <w:noWrap/>
            <w:vAlign w:val="center"/>
            <w:hideMark/>
          </w:tcPr>
          <w:p w14:paraId="4BD682EE"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8</w:t>
            </w:r>
          </w:p>
        </w:tc>
        <w:tc>
          <w:tcPr>
            <w:tcW w:w="966" w:type="dxa"/>
            <w:tcBorders>
              <w:top w:val="nil"/>
              <w:left w:val="single" w:sz="4" w:space="0" w:color="auto"/>
              <w:bottom w:val="single" w:sz="4" w:space="0" w:color="auto"/>
              <w:right w:val="single" w:sz="4" w:space="0" w:color="auto"/>
            </w:tcBorders>
            <w:shd w:val="clear" w:color="auto" w:fill="auto"/>
            <w:noWrap/>
            <w:vAlign w:val="center"/>
            <w:hideMark/>
          </w:tcPr>
          <w:p w14:paraId="7F69CE8E"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6</w:t>
            </w:r>
          </w:p>
        </w:tc>
        <w:tc>
          <w:tcPr>
            <w:tcW w:w="966" w:type="dxa"/>
            <w:tcBorders>
              <w:top w:val="nil"/>
              <w:left w:val="single" w:sz="4" w:space="0" w:color="auto"/>
              <w:bottom w:val="single" w:sz="4" w:space="0" w:color="auto"/>
              <w:right w:val="single" w:sz="4" w:space="0" w:color="auto"/>
            </w:tcBorders>
          </w:tcPr>
          <w:p w14:paraId="19262595"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5</w:t>
            </w:r>
          </w:p>
        </w:tc>
        <w:tc>
          <w:tcPr>
            <w:tcW w:w="966" w:type="dxa"/>
            <w:tcBorders>
              <w:top w:val="nil"/>
              <w:left w:val="single" w:sz="4" w:space="0" w:color="auto"/>
              <w:bottom w:val="single" w:sz="4" w:space="0" w:color="auto"/>
              <w:right w:val="single" w:sz="4" w:space="0" w:color="auto"/>
            </w:tcBorders>
          </w:tcPr>
          <w:p w14:paraId="677C92AD"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2</w:t>
            </w:r>
          </w:p>
        </w:tc>
        <w:tc>
          <w:tcPr>
            <w:tcW w:w="966" w:type="dxa"/>
            <w:tcBorders>
              <w:top w:val="nil"/>
              <w:left w:val="single" w:sz="4" w:space="0" w:color="auto"/>
              <w:bottom w:val="single" w:sz="4" w:space="0" w:color="auto"/>
              <w:right w:val="double" w:sz="4" w:space="0" w:color="auto"/>
            </w:tcBorders>
          </w:tcPr>
          <w:p w14:paraId="3113F6FA"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0</w:t>
            </w:r>
          </w:p>
        </w:tc>
      </w:tr>
      <w:tr w:rsidR="00CB2594" w:rsidRPr="007434DA" w14:paraId="2800E18D" w14:textId="77777777" w:rsidTr="004A57B3">
        <w:trPr>
          <w:trHeight w:val="345"/>
        </w:trPr>
        <w:tc>
          <w:tcPr>
            <w:tcW w:w="3191" w:type="dxa"/>
            <w:tcBorders>
              <w:top w:val="nil"/>
              <w:left w:val="double" w:sz="4" w:space="0" w:color="auto"/>
              <w:bottom w:val="single" w:sz="4" w:space="0" w:color="auto"/>
              <w:right w:val="single" w:sz="4" w:space="0" w:color="auto"/>
            </w:tcBorders>
            <w:shd w:val="clear" w:color="auto" w:fill="auto"/>
            <w:noWrap/>
            <w:vAlign w:val="center"/>
            <w:hideMark/>
          </w:tcPr>
          <w:p w14:paraId="4152B531" w14:textId="77777777" w:rsidR="00CB2594" w:rsidRPr="007434DA" w:rsidRDefault="00CB2594" w:rsidP="004A57B3">
            <w:pPr>
              <w:spacing w:line="240" w:lineRule="atLeast"/>
              <w:rPr>
                <w:rFonts w:cs="Times New Roman"/>
                <w:b/>
                <w:bCs/>
                <w:color w:val="000000"/>
                <w:sz w:val="20"/>
                <w:szCs w:val="20"/>
                <w:lang w:val="cs-CZ"/>
              </w:rPr>
            </w:pPr>
            <w:r w:rsidRPr="007434DA">
              <w:rPr>
                <w:rFonts w:cs="Times New Roman"/>
                <w:b/>
                <w:bCs/>
                <w:color w:val="000000"/>
                <w:sz w:val="20"/>
                <w:szCs w:val="20"/>
                <w:lang w:val="cs-CZ"/>
              </w:rPr>
              <w:t>Neodebrání vzorků akreditovanou laboratoří</w:t>
            </w:r>
          </w:p>
        </w:tc>
        <w:tc>
          <w:tcPr>
            <w:tcW w:w="966" w:type="dxa"/>
            <w:tcBorders>
              <w:top w:val="nil"/>
              <w:left w:val="nil"/>
              <w:bottom w:val="single" w:sz="4" w:space="0" w:color="auto"/>
              <w:right w:val="single" w:sz="4" w:space="0" w:color="auto"/>
            </w:tcBorders>
            <w:shd w:val="clear" w:color="auto" w:fill="auto"/>
            <w:noWrap/>
            <w:vAlign w:val="center"/>
            <w:hideMark/>
          </w:tcPr>
          <w:p w14:paraId="1CFDE6A7"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0</w:t>
            </w:r>
          </w:p>
        </w:tc>
        <w:tc>
          <w:tcPr>
            <w:tcW w:w="966" w:type="dxa"/>
            <w:tcBorders>
              <w:top w:val="nil"/>
              <w:left w:val="single" w:sz="4" w:space="0" w:color="auto"/>
              <w:bottom w:val="single" w:sz="4" w:space="0" w:color="auto"/>
              <w:right w:val="single" w:sz="4" w:space="0" w:color="auto"/>
            </w:tcBorders>
            <w:shd w:val="clear" w:color="auto" w:fill="auto"/>
            <w:noWrap/>
            <w:vAlign w:val="center"/>
            <w:hideMark/>
          </w:tcPr>
          <w:p w14:paraId="538663F1"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0</w:t>
            </w:r>
          </w:p>
        </w:tc>
        <w:tc>
          <w:tcPr>
            <w:tcW w:w="966" w:type="dxa"/>
            <w:tcBorders>
              <w:top w:val="nil"/>
              <w:left w:val="single" w:sz="4" w:space="0" w:color="auto"/>
              <w:bottom w:val="single" w:sz="4" w:space="0" w:color="auto"/>
              <w:right w:val="single" w:sz="4" w:space="0" w:color="auto"/>
            </w:tcBorders>
            <w:shd w:val="clear" w:color="auto" w:fill="auto"/>
            <w:noWrap/>
            <w:vAlign w:val="center"/>
            <w:hideMark/>
          </w:tcPr>
          <w:p w14:paraId="65B4F522"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0</w:t>
            </w:r>
          </w:p>
        </w:tc>
        <w:tc>
          <w:tcPr>
            <w:tcW w:w="966" w:type="dxa"/>
            <w:tcBorders>
              <w:top w:val="nil"/>
              <w:left w:val="single" w:sz="4" w:space="0" w:color="auto"/>
              <w:bottom w:val="single" w:sz="4" w:space="0" w:color="auto"/>
              <w:right w:val="single" w:sz="4" w:space="0" w:color="auto"/>
            </w:tcBorders>
          </w:tcPr>
          <w:p w14:paraId="6A2CF85C"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0</w:t>
            </w:r>
          </w:p>
        </w:tc>
        <w:tc>
          <w:tcPr>
            <w:tcW w:w="966" w:type="dxa"/>
            <w:tcBorders>
              <w:top w:val="nil"/>
              <w:left w:val="single" w:sz="4" w:space="0" w:color="auto"/>
              <w:bottom w:val="single" w:sz="4" w:space="0" w:color="auto"/>
              <w:right w:val="single" w:sz="4" w:space="0" w:color="auto"/>
            </w:tcBorders>
          </w:tcPr>
          <w:p w14:paraId="5A40C78C"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0</w:t>
            </w:r>
          </w:p>
        </w:tc>
        <w:tc>
          <w:tcPr>
            <w:tcW w:w="966" w:type="dxa"/>
            <w:tcBorders>
              <w:top w:val="nil"/>
              <w:left w:val="single" w:sz="4" w:space="0" w:color="auto"/>
              <w:bottom w:val="single" w:sz="4" w:space="0" w:color="auto"/>
              <w:right w:val="double" w:sz="4" w:space="0" w:color="auto"/>
            </w:tcBorders>
          </w:tcPr>
          <w:p w14:paraId="023435CE"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0</w:t>
            </w:r>
          </w:p>
        </w:tc>
      </w:tr>
      <w:tr w:rsidR="00CB2594" w:rsidRPr="007434DA" w14:paraId="2520FE1E" w14:textId="77777777" w:rsidTr="004A57B3">
        <w:trPr>
          <w:trHeight w:val="345"/>
        </w:trPr>
        <w:tc>
          <w:tcPr>
            <w:tcW w:w="3191" w:type="dxa"/>
            <w:tcBorders>
              <w:top w:val="nil"/>
              <w:left w:val="double" w:sz="4" w:space="0" w:color="auto"/>
              <w:bottom w:val="double" w:sz="4" w:space="0" w:color="auto"/>
              <w:right w:val="single" w:sz="4" w:space="0" w:color="auto"/>
            </w:tcBorders>
            <w:shd w:val="clear" w:color="auto" w:fill="auto"/>
            <w:noWrap/>
            <w:vAlign w:val="center"/>
            <w:hideMark/>
          </w:tcPr>
          <w:p w14:paraId="44D99D2A" w14:textId="77777777" w:rsidR="00CB2594" w:rsidRPr="007434DA" w:rsidRDefault="00CB2594" w:rsidP="004A57B3">
            <w:pPr>
              <w:spacing w:line="240" w:lineRule="atLeast"/>
              <w:rPr>
                <w:rFonts w:cs="Times New Roman"/>
                <w:b/>
                <w:bCs/>
                <w:color w:val="000000"/>
                <w:sz w:val="20"/>
                <w:szCs w:val="20"/>
                <w:lang w:val="cs-CZ"/>
              </w:rPr>
            </w:pPr>
            <w:r w:rsidRPr="007434DA">
              <w:rPr>
                <w:rFonts w:cs="Times New Roman"/>
                <w:b/>
                <w:bCs/>
                <w:color w:val="000000"/>
                <w:sz w:val="20"/>
                <w:szCs w:val="20"/>
                <w:lang w:val="cs-CZ"/>
              </w:rPr>
              <w:t>Neodebrání vzorků (nedodání rozborů)</w:t>
            </w:r>
          </w:p>
        </w:tc>
        <w:tc>
          <w:tcPr>
            <w:tcW w:w="966" w:type="dxa"/>
            <w:tcBorders>
              <w:top w:val="nil"/>
              <w:left w:val="nil"/>
              <w:bottom w:val="double" w:sz="4" w:space="0" w:color="auto"/>
              <w:right w:val="single" w:sz="4" w:space="0" w:color="auto"/>
            </w:tcBorders>
            <w:shd w:val="clear" w:color="auto" w:fill="auto"/>
            <w:noWrap/>
            <w:vAlign w:val="center"/>
            <w:hideMark/>
          </w:tcPr>
          <w:p w14:paraId="6B6F34EA"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9</w:t>
            </w:r>
          </w:p>
        </w:tc>
        <w:tc>
          <w:tcPr>
            <w:tcW w:w="966" w:type="dxa"/>
            <w:tcBorders>
              <w:top w:val="nil"/>
              <w:left w:val="single" w:sz="4" w:space="0" w:color="auto"/>
              <w:bottom w:val="double" w:sz="4" w:space="0" w:color="auto"/>
              <w:right w:val="single" w:sz="4" w:space="0" w:color="auto"/>
            </w:tcBorders>
            <w:shd w:val="clear" w:color="auto" w:fill="auto"/>
            <w:noWrap/>
            <w:vAlign w:val="center"/>
            <w:hideMark/>
          </w:tcPr>
          <w:p w14:paraId="244DDAFD"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6</w:t>
            </w:r>
          </w:p>
        </w:tc>
        <w:tc>
          <w:tcPr>
            <w:tcW w:w="966" w:type="dxa"/>
            <w:tcBorders>
              <w:top w:val="nil"/>
              <w:left w:val="single" w:sz="4" w:space="0" w:color="auto"/>
              <w:bottom w:val="double" w:sz="4" w:space="0" w:color="auto"/>
              <w:right w:val="single" w:sz="4" w:space="0" w:color="auto"/>
            </w:tcBorders>
            <w:shd w:val="clear" w:color="auto" w:fill="auto"/>
            <w:noWrap/>
            <w:vAlign w:val="center"/>
            <w:hideMark/>
          </w:tcPr>
          <w:p w14:paraId="59D6D7A0"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6</w:t>
            </w:r>
          </w:p>
        </w:tc>
        <w:tc>
          <w:tcPr>
            <w:tcW w:w="966" w:type="dxa"/>
            <w:tcBorders>
              <w:top w:val="nil"/>
              <w:left w:val="single" w:sz="4" w:space="0" w:color="auto"/>
              <w:bottom w:val="double" w:sz="4" w:space="0" w:color="auto"/>
              <w:right w:val="single" w:sz="4" w:space="0" w:color="auto"/>
            </w:tcBorders>
          </w:tcPr>
          <w:p w14:paraId="221B0C6A"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10</w:t>
            </w:r>
          </w:p>
        </w:tc>
        <w:tc>
          <w:tcPr>
            <w:tcW w:w="966" w:type="dxa"/>
            <w:tcBorders>
              <w:top w:val="nil"/>
              <w:left w:val="single" w:sz="4" w:space="0" w:color="auto"/>
              <w:bottom w:val="double" w:sz="4" w:space="0" w:color="auto"/>
              <w:right w:val="single" w:sz="4" w:space="0" w:color="auto"/>
            </w:tcBorders>
          </w:tcPr>
          <w:p w14:paraId="02B7F895"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20</w:t>
            </w:r>
          </w:p>
        </w:tc>
        <w:tc>
          <w:tcPr>
            <w:tcW w:w="966" w:type="dxa"/>
            <w:tcBorders>
              <w:top w:val="nil"/>
              <w:left w:val="single" w:sz="4" w:space="0" w:color="auto"/>
              <w:bottom w:val="double" w:sz="4" w:space="0" w:color="auto"/>
              <w:right w:val="double" w:sz="4" w:space="0" w:color="auto"/>
            </w:tcBorders>
          </w:tcPr>
          <w:p w14:paraId="66C816D6"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5</w:t>
            </w:r>
          </w:p>
        </w:tc>
      </w:tr>
    </w:tbl>
    <w:p w14:paraId="0E3C07A8" w14:textId="6355E60C" w:rsidR="00CB2594" w:rsidRPr="007434DA" w:rsidRDefault="00CB2594" w:rsidP="00152D53">
      <w:pPr>
        <w:pStyle w:val="UZEIZdroj"/>
      </w:pPr>
      <w:r w:rsidRPr="007434DA">
        <w:t>Pramen: SZIF</w:t>
      </w:r>
    </w:p>
    <w:p w14:paraId="2FFE6571" w14:textId="2DF79A30" w:rsidR="00CB2594" w:rsidRPr="007434DA" w:rsidRDefault="00CB2594" w:rsidP="002622E7">
      <w:pPr>
        <w:pStyle w:val="UZEITaB"/>
        <w:ind w:left="1276" w:hanging="1134"/>
      </w:pPr>
      <w:bookmarkStart w:id="135" w:name="_Toc94095286"/>
      <w:r w:rsidRPr="007434DA">
        <w:t>Integrovaná produkce zeleniny a jahodníku – těžké kovy</w:t>
      </w:r>
      <w:bookmarkEnd w:id="135"/>
    </w:p>
    <w:tbl>
      <w:tblPr>
        <w:tblW w:w="8930" w:type="dxa"/>
        <w:tblInd w:w="127" w:type="dxa"/>
        <w:tblLayout w:type="fixed"/>
        <w:tblCellMar>
          <w:left w:w="70" w:type="dxa"/>
          <w:right w:w="70" w:type="dxa"/>
        </w:tblCellMar>
        <w:tblLook w:val="04A0" w:firstRow="1" w:lastRow="0" w:firstColumn="1" w:lastColumn="0" w:noHBand="0" w:noVBand="1"/>
      </w:tblPr>
      <w:tblGrid>
        <w:gridCol w:w="3119"/>
        <w:gridCol w:w="968"/>
        <w:gridCol w:w="969"/>
        <w:gridCol w:w="968"/>
        <w:gridCol w:w="969"/>
        <w:gridCol w:w="968"/>
        <w:gridCol w:w="969"/>
      </w:tblGrid>
      <w:tr w:rsidR="00CB2594" w:rsidRPr="007434DA" w14:paraId="37A80B28" w14:textId="77777777" w:rsidTr="004A57B3">
        <w:trPr>
          <w:trHeight w:val="240"/>
        </w:trPr>
        <w:tc>
          <w:tcPr>
            <w:tcW w:w="3119" w:type="dxa"/>
            <w:vMerge w:val="restart"/>
            <w:tcBorders>
              <w:top w:val="double" w:sz="4" w:space="0" w:color="auto"/>
              <w:left w:val="double" w:sz="4" w:space="0" w:color="auto"/>
              <w:bottom w:val="single" w:sz="4" w:space="0" w:color="000000"/>
              <w:right w:val="single" w:sz="4" w:space="0" w:color="auto"/>
            </w:tcBorders>
            <w:shd w:val="clear" w:color="auto" w:fill="auto"/>
            <w:noWrap/>
            <w:vAlign w:val="center"/>
            <w:hideMark/>
          </w:tcPr>
          <w:p w14:paraId="4D866D60" w14:textId="77777777" w:rsidR="00CB2594" w:rsidRPr="007434DA" w:rsidRDefault="00CB2594" w:rsidP="004A57B3">
            <w:pPr>
              <w:rPr>
                <w:rFonts w:cs="Times New Roman"/>
                <w:b/>
                <w:bCs/>
                <w:color w:val="000000"/>
                <w:sz w:val="20"/>
                <w:szCs w:val="20"/>
                <w:lang w:val="cs-CZ"/>
              </w:rPr>
            </w:pPr>
            <w:r w:rsidRPr="007434DA">
              <w:rPr>
                <w:rFonts w:cs="Times New Roman"/>
                <w:b/>
                <w:bCs/>
                <w:color w:val="000000"/>
                <w:sz w:val="20"/>
                <w:szCs w:val="20"/>
                <w:lang w:val="cs-CZ"/>
              </w:rPr>
              <w:t>Celkový počet žadatelů IPZ</w:t>
            </w:r>
          </w:p>
        </w:tc>
        <w:tc>
          <w:tcPr>
            <w:tcW w:w="968" w:type="dxa"/>
            <w:tcBorders>
              <w:top w:val="double" w:sz="4" w:space="0" w:color="auto"/>
              <w:left w:val="nil"/>
              <w:bottom w:val="single" w:sz="4" w:space="0" w:color="auto"/>
              <w:right w:val="single" w:sz="4" w:space="0" w:color="auto"/>
            </w:tcBorders>
            <w:shd w:val="clear" w:color="auto" w:fill="E2EFD9" w:themeFill="accent6" w:themeFillTint="33"/>
            <w:noWrap/>
            <w:vAlign w:val="center"/>
            <w:hideMark/>
          </w:tcPr>
          <w:p w14:paraId="391EE719" w14:textId="77777777" w:rsidR="00CB2594" w:rsidRPr="007434DA" w:rsidRDefault="00CB2594" w:rsidP="004A57B3">
            <w:pPr>
              <w:jc w:val="center"/>
              <w:rPr>
                <w:rFonts w:cs="Times New Roman"/>
                <w:b/>
                <w:bCs/>
                <w:sz w:val="20"/>
                <w:szCs w:val="20"/>
                <w:lang w:val="cs-CZ"/>
              </w:rPr>
            </w:pPr>
            <w:r w:rsidRPr="007434DA">
              <w:rPr>
                <w:rFonts w:cs="Times New Roman"/>
                <w:b/>
                <w:bCs/>
                <w:sz w:val="20"/>
                <w:szCs w:val="20"/>
                <w:lang w:val="cs-CZ"/>
              </w:rPr>
              <w:t>2015</w:t>
            </w:r>
          </w:p>
        </w:tc>
        <w:tc>
          <w:tcPr>
            <w:tcW w:w="969" w:type="dxa"/>
            <w:tcBorders>
              <w:top w:val="doub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14:paraId="71948125" w14:textId="77777777" w:rsidR="00CB2594" w:rsidRPr="007434DA" w:rsidRDefault="00CB2594" w:rsidP="004A57B3">
            <w:pPr>
              <w:jc w:val="center"/>
              <w:rPr>
                <w:rFonts w:cs="Times New Roman"/>
                <w:b/>
                <w:bCs/>
                <w:sz w:val="20"/>
                <w:szCs w:val="20"/>
                <w:lang w:val="cs-CZ"/>
              </w:rPr>
            </w:pPr>
            <w:r w:rsidRPr="007434DA">
              <w:rPr>
                <w:rFonts w:cs="Times New Roman"/>
                <w:b/>
                <w:bCs/>
                <w:sz w:val="20"/>
                <w:szCs w:val="20"/>
                <w:lang w:val="cs-CZ"/>
              </w:rPr>
              <w:t>2016</w:t>
            </w:r>
          </w:p>
        </w:tc>
        <w:tc>
          <w:tcPr>
            <w:tcW w:w="968" w:type="dxa"/>
            <w:tcBorders>
              <w:top w:val="doub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14:paraId="692B6B30" w14:textId="77777777" w:rsidR="00CB2594" w:rsidRPr="007434DA" w:rsidRDefault="00CB2594" w:rsidP="004A57B3">
            <w:pPr>
              <w:jc w:val="center"/>
              <w:rPr>
                <w:rFonts w:cs="Times New Roman"/>
                <w:b/>
                <w:bCs/>
                <w:sz w:val="20"/>
                <w:szCs w:val="20"/>
                <w:lang w:val="cs-CZ"/>
              </w:rPr>
            </w:pPr>
            <w:r w:rsidRPr="007434DA">
              <w:rPr>
                <w:rFonts w:cs="Times New Roman"/>
                <w:b/>
                <w:bCs/>
                <w:sz w:val="20"/>
                <w:szCs w:val="20"/>
                <w:lang w:val="cs-CZ"/>
              </w:rPr>
              <w:t>2017</w:t>
            </w:r>
          </w:p>
        </w:tc>
        <w:tc>
          <w:tcPr>
            <w:tcW w:w="969" w:type="dxa"/>
            <w:tcBorders>
              <w:top w:val="double" w:sz="4" w:space="0" w:color="auto"/>
              <w:left w:val="single" w:sz="4" w:space="0" w:color="auto"/>
              <w:bottom w:val="single" w:sz="4" w:space="0" w:color="auto"/>
              <w:right w:val="single" w:sz="4" w:space="0" w:color="auto"/>
            </w:tcBorders>
            <w:shd w:val="clear" w:color="auto" w:fill="E2EFD9" w:themeFill="accent6" w:themeFillTint="33"/>
          </w:tcPr>
          <w:p w14:paraId="41BC0F4B" w14:textId="77777777" w:rsidR="00CB2594" w:rsidRPr="007434DA" w:rsidRDefault="00CB2594" w:rsidP="004A57B3">
            <w:pPr>
              <w:jc w:val="center"/>
              <w:rPr>
                <w:rFonts w:cs="Times New Roman"/>
                <w:b/>
                <w:bCs/>
                <w:sz w:val="20"/>
                <w:szCs w:val="20"/>
                <w:lang w:val="cs-CZ"/>
              </w:rPr>
            </w:pPr>
            <w:r w:rsidRPr="007434DA">
              <w:rPr>
                <w:rFonts w:cs="Times New Roman"/>
                <w:b/>
                <w:bCs/>
                <w:sz w:val="20"/>
                <w:szCs w:val="20"/>
                <w:lang w:val="cs-CZ"/>
              </w:rPr>
              <w:t>2018</w:t>
            </w:r>
          </w:p>
        </w:tc>
        <w:tc>
          <w:tcPr>
            <w:tcW w:w="968" w:type="dxa"/>
            <w:tcBorders>
              <w:top w:val="double" w:sz="4" w:space="0" w:color="auto"/>
              <w:left w:val="single" w:sz="4" w:space="0" w:color="auto"/>
              <w:bottom w:val="single" w:sz="4" w:space="0" w:color="auto"/>
              <w:right w:val="single" w:sz="4" w:space="0" w:color="auto"/>
            </w:tcBorders>
            <w:shd w:val="clear" w:color="auto" w:fill="E2EFD9" w:themeFill="accent6" w:themeFillTint="33"/>
          </w:tcPr>
          <w:p w14:paraId="66A37793" w14:textId="77777777" w:rsidR="00CB2594" w:rsidRPr="007434DA" w:rsidRDefault="00CB2594" w:rsidP="004A57B3">
            <w:pPr>
              <w:jc w:val="center"/>
              <w:rPr>
                <w:rFonts w:cs="Times New Roman"/>
                <w:b/>
                <w:bCs/>
                <w:sz w:val="20"/>
                <w:szCs w:val="20"/>
                <w:lang w:val="cs-CZ"/>
              </w:rPr>
            </w:pPr>
            <w:r w:rsidRPr="007434DA">
              <w:rPr>
                <w:rFonts w:cs="Times New Roman"/>
                <w:b/>
                <w:bCs/>
                <w:sz w:val="20"/>
                <w:szCs w:val="20"/>
                <w:lang w:val="cs-CZ"/>
              </w:rPr>
              <w:t>2019</w:t>
            </w:r>
          </w:p>
        </w:tc>
        <w:tc>
          <w:tcPr>
            <w:tcW w:w="969" w:type="dxa"/>
            <w:tcBorders>
              <w:top w:val="double" w:sz="4" w:space="0" w:color="auto"/>
              <w:left w:val="single" w:sz="4" w:space="0" w:color="auto"/>
              <w:bottom w:val="single" w:sz="4" w:space="0" w:color="auto"/>
              <w:right w:val="double" w:sz="4" w:space="0" w:color="auto"/>
            </w:tcBorders>
            <w:shd w:val="clear" w:color="auto" w:fill="E2EFD9" w:themeFill="accent6" w:themeFillTint="33"/>
          </w:tcPr>
          <w:p w14:paraId="282F3F9C" w14:textId="77777777" w:rsidR="00CB2594" w:rsidRPr="007434DA" w:rsidRDefault="00CB2594" w:rsidP="004A57B3">
            <w:pPr>
              <w:jc w:val="center"/>
              <w:rPr>
                <w:rFonts w:cs="Times New Roman"/>
                <w:b/>
                <w:bCs/>
                <w:sz w:val="20"/>
                <w:szCs w:val="20"/>
                <w:lang w:val="cs-CZ"/>
              </w:rPr>
            </w:pPr>
            <w:r w:rsidRPr="007434DA">
              <w:rPr>
                <w:rFonts w:cs="Times New Roman"/>
                <w:b/>
                <w:bCs/>
                <w:sz w:val="20"/>
                <w:szCs w:val="20"/>
                <w:lang w:val="cs-CZ"/>
              </w:rPr>
              <w:t>2020</w:t>
            </w:r>
          </w:p>
        </w:tc>
      </w:tr>
      <w:tr w:rsidR="00CB2594" w:rsidRPr="007434DA" w14:paraId="164EEF59" w14:textId="77777777" w:rsidTr="004A57B3">
        <w:trPr>
          <w:trHeight w:val="240"/>
        </w:trPr>
        <w:tc>
          <w:tcPr>
            <w:tcW w:w="3119" w:type="dxa"/>
            <w:vMerge/>
            <w:tcBorders>
              <w:top w:val="single" w:sz="8" w:space="0" w:color="auto"/>
              <w:left w:val="double" w:sz="4" w:space="0" w:color="auto"/>
              <w:bottom w:val="single" w:sz="4" w:space="0" w:color="000000"/>
              <w:right w:val="single" w:sz="4" w:space="0" w:color="auto"/>
            </w:tcBorders>
            <w:vAlign w:val="center"/>
            <w:hideMark/>
          </w:tcPr>
          <w:p w14:paraId="44C0BBF2" w14:textId="77777777" w:rsidR="00CB2594" w:rsidRPr="007434DA" w:rsidRDefault="00CB2594" w:rsidP="004A57B3">
            <w:pPr>
              <w:rPr>
                <w:rFonts w:cs="Times New Roman"/>
                <w:b/>
                <w:bCs/>
                <w:color w:val="000000"/>
                <w:sz w:val="20"/>
                <w:szCs w:val="20"/>
                <w:lang w:val="cs-CZ"/>
              </w:rPr>
            </w:pPr>
          </w:p>
        </w:tc>
        <w:tc>
          <w:tcPr>
            <w:tcW w:w="968" w:type="dxa"/>
            <w:tcBorders>
              <w:top w:val="nil"/>
              <w:left w:val="nil"/>
              <w:bottom w:val="single" w:sz="4" w:space="0" w:color="auto"/>
              <w:right w:val="single" w:sz="4" w:space="0" w:color="auto"/>
            </w:tcBorders>
            <w:shd w:val="clear" w:color="auto" w:fill="auto"/>
            <w:noWrap/>
            <w:vAlign w:val="center"/>
            <w:hideMark/>
          </w:tcPr>
          <w:p w14:paraId="30F71885"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47</w:t>
            </w:r>
          </w:p>
        </w:tc>
        <w:tc>
          <w:tcPr>
            <w:tcW w:w="969" w:type="dxa"/>
            <w:tcBorders>
              <w:top w:val="nil"/>
              <w:left w:val="single" w:sz="4" w:space="0" w:color="auto"/>
              <w:bottom w:val="single" w:sz="4" w:space="0" w:color="auto"/>
              <w:right w:val="single" w:sz="4" w:space="0" w:color="auto"/>
            </w:tcBorders>
            <w:shd w:val="clear" w:color="auto" w:fill="auto"/>
            <w:noWrap/>
            <w:vAlign w:val="center"/>
            <w:hideMark/>
          </w:tcPr>
          <w:p w14:paraId="1274657C"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92</w:t>
            </w:r>
          </w:p>
        </w:tc>
        <w:tc>
          <w:tcPr>
            <w:tcW w:w="968" w:type="dxa"/>
            <w:tcBorders>
              <w:top w:val="nil"/>
              <w:left w:val="single" w:sz="4" w:space="0" w:color="auto"/>
              <w:bottom w:val="single" w:sz="4" w:space="0" w:color="auto"/>
              <w:right w:val="single" w:sz="4" w:space="0" w:color="auto"/>
            </w:tcBorders>
            <w:shd w:val="clear" w:color="auto" w:fill="auto"/>
            <w:noWrap/>
            <w:vAlign w:val="center"/>
            <w:hideMark/>
          </w:tcPr>
          <w:p w14:paraId="1665FE3F"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94</w:t>
            </w:r>
          </w:p>
        </w:tc>
        <w:tc>
          <w:tcPr>
            <w:tcW w:w="969" w:type="dxa"/>
            <w:tcBorders>
              <w:top w:val="nil"/>
              <w:left w:val="single" w:sz="4" w:space="0" w:color="auto"/>
              <w:bottom w:val="single" w:sz="4" w:space="0" w:color="auto"/>
              <w:right w:val="single" w:sz="4" w:space="0" w:color="auto"/>
            </w:tcBorders>
          </w:tcPr>
          <w:p w14:paraId="61D77334"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98</w:t>
            </w:r>
          </w:p>
        </w:tc>
        <w:tc>
          <w:tcPr>
            <w:tcW w:w="968" w:type="dxa"/>
            <w:tcBorders>
              <w:top w:val="nil"/>
              <w:left w:val="single" w:sz="4" w:space="0" w:color="auto"/>
              <w:bottom w:val="single" w:sz="4" w:space="0" w:color="auto"/>
              <w:right w:val="single" w:sz="4" w:space="0" w:color="auto"/>
            </w:tcBorders>
          </w:tcPr>
          <w:p w14:paraId="216B7433"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98</w:t>
            </w:r>
          </w:p>
        </w:tc>
        <w:tc>
          <w:tcPr>
            <w:tcW w:w="969" w:type="dxa"/>
            <w:tcBorders>
              <w:top w:val="nil"/>
              <w:left w:val="single" w:sz="4" w:space="0" w:color="auto"/>
              <w:bottom w:val="single" w:sz="4" w:space="0" w:color="auto"/>
              <w:right w:val="double" w:sz="4" w:space="0" w:color="auto"/>
            </w:tcBorders>
          </w:tcPr>
          <w:p w14:paraId="325587FE"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91</w:t>
            </w:r>
          </w:p>
        </w:tc>
      </w:tr>
      <w:tr w:rsidR="00CB2594" w:rsidRPr="007434DA" w14:paraId="01481C9A" w14:textId="77777777" w:rsidTr="004A57B3">
        <w:trPr>
          <w:trHeight w:val="428"/>
        </w:trPr>
        <w:tc>
          <w:tcPr>
            <w:tcW w:w="3119" w:type="dxa"/>
            <w:tcBorders>
              <w:top w:val="nil"/>
              <w:left w:val="double" w:sz="4" w:space="0" w:color="auto"/>
              <w:bottom w:val="single" w:sz="4" w:space="0" w:color="auto"/>
              <w:right w:val="single" w:sz="4" w:space="0" w:color="auto"/>
            </w:tcBorders>
            <w:shd w:val="clear" w:color="auto" w:fill="auto"/>
            <w:noWrap/>
            <w:vAlign w:val="center"/>
            <w:hideMark/>
          </w:tcPr>
          <w:p w14:paraId="6D40D52A" w14:textId="77777777" w:rsidR="00CB2594" w:rsidRPr="007434DA" w:rsidRDefault="00CB2594" w:rsidP="004A57B3">
            <w:pPr>
              <w:rPr>
                <w:rFonts w:cs="Times New Roman"/>
                <w:b/>
                <w:bCs/>
                <w:color w:val="000000"/>
                <w:sz w:val="20"/>
                <w:szCs w:val="20"/>
                <w:lang w:val="cs-CZ"/>
              </w:rPr>
            </w:pPr>
            <w:r w:rsidRPr="007434DA">
              <w:rPr>
                <w:rFonts w:cs="Times New Roman"/>
                <w:b/>
                <w:bCs/>
                <w:color w:val="000000"/>
                <w:sz w:val="20"/>
                <w:szCs w:val="20"/>
                <w:lang w:val="cs-CZ"/>
              </w:rPr>
              <w:t>Celkový počet porušení</w:t>
            </w:r>
          </w:p>
        </w:tc>
        <w:tc>
          <w:tcPr>
            <w:tcW w:w="968" w:type="dxa"/>
            <w:tcBorders>
              <w:top w:val="nil"/>
              <w:left w:val="nil"/>
              <w:bottom w:val="single" w:sz="4" w:space="0" w:color="auto"/>
              <w:right w:val="single" w:sz="4" w:space="0" w:color="auto"/>
            </w:tcBorders>
            <w:shd w:val="clear" w:color="auto" w:fill="auto"/>
            <w:noWrap/>
            <w:vAlign w:val="center"/>
            <w:hideMark/>
          </w:tcPr>
          <w:p w14:paraId="6B3E900F"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3</w:t>
            </w:r>
          </w:p>
        </w:tc>
        <w:tc>
          <w:tcPr>
            <w:tcW w:w="969" w:type="dxa"/>
            <w:tcBorders>
              <w:top w:val="nil"/>
              <w:left w:val="single" w:sz="4" w:space="0" w:color="auto"/>
              <w:bottom w:val="single" w:sz="4" w:space="0" w:color="auto"/>
              <w:right w:val="single" w:sz="4" w:space="0" w:color="auto"/>
            </w:tcBorders>
            <w:shd w:val="clear" w:color="auto" w:fill="auto"/>
            <w:noWrap/>
            <w:vAlign w:val="center"/>
            <w:hideMark/>
          </w:tcPr>
          <w:p w14:paraId="5A298D8D"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16</w:t>
            </w:r>
          </w:p>
        </w:tc>
        <w:tc>
          <w:tcPr>
            <w:tcW w:w="968" w:type="dxa"/>
            <w:tcBorders>
              <w:top w:val="nil"/>
              <w:left w:val="single" w:sz="4" w:space="0" w:color="auto"/>
              <w:bottom w:val="single" w:sz="4" w:space="0" w:color="auto"/>
              <w:right w:val="single" w:sz="4" w:space="0" w:color="auto"/>
            </w:tcBorders>
            <w:shd w:val="clear" w:color="auto" w:fill="auto"/>
            <w:noWrap/>
            <w:vAlign w:val="center"/>
            <w:hideMark/>
          </w:tcPr>
          <w:p w14:paraId="07284F0A"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9</w:t>
            </w:r>
          </w:p>
        </w:tc>
        <w:tc>
          <w:tcPr>
            <w:tcW w:w="969" w:type="dxa"/>
            <w:tcBorders>
              <w:top w:val="nil"/>
              <w:left w:val="single" w:sz="4" w:space="0" w:color="auto"/>
              <w:bottom w:val="single" w:sz="4" w:space="0" w:color="auto"/>
              <w:right w:val="single" w:sz="4" w:space="0" w:color="auto"/>
            </w:tcBorders>
          </w:tcPr>
          <w:p w14:paraId="306CECEE"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1</w:t>
            </w:r>
          </w:p>
        </w:tc>
        <w:tc>
          <w:tcPr>
            <w:tcW w:w="968" w:type="dxa"/>
            <w:tcBorders>
              <w:top w:val="nil"/>
              <w:left w:val="single" w:sz="4" w:space="0" w:color="auto"/>
              <w:bottom w:val="single" w:sz="4" w:space="0" w:color="auto"/>
              <w:right w:val="single" w:sz="4" w:space="0" w:color="auto"/>
            </w:tcBorders>
          </w:tcPr>
          <w:p w14:paraId="5DCA2613"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8</w:t>
            </w:r>
          </w:p>
        </w:tc>
        <w:tc>
          <w:tcPr>
            <w:tcW w:w="969" w:type="dxa"/>
            <w:tcBorders>
              <w:top w:val="nil"/>
              <w:left w:val="single" w:sz="4" w:space="0" w:color="auto"/>
              <w:bottom w:val="single" w:sz="4" w:space="0" w:color="auto"/>
              <w:right w:val="double" w:sz="4" w:space="0" w:color="auto"/>
            </w:tcBorders>
          </w:tcPr>
          <w:p w14:paraId="2F2388E9"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8</w:t>
            </w:r>
          </w:p>
        </w:tc>
      </w:tr>
      <w:tr w:rsidR="00CB2594" w:rsidRPr="007434DA" w14:paraId="35430DF5" w14:textId="77777777" w:rsidTr="004A57B3">
        <w:trPr>
          <w:trHeight w:val="255"/>
        </w:trPr>
        <w:tc>
          <w:tcPr>
            <w:tcW w:w="3119" w:type="dxa"/>
            <w:tcBorders>
              <w:top w:val="nil"/>
              <w:left w:val="double" w:sz="4" w:space="0" w:color="auto"/>
              <w:bottom w:val="single" w:sz="8" w:space="0" w:color="auto"/>
              <w:right w:val="single" w:sz="4" w:space="0" w:color="auto"/>
            </w:tcBorders>
            <w:shd w:val="clear" w:color="auto" w:fill="auto"/>
            <w:noWrap/>
            <w:vAlign w:val="center"/>
            <w:hideMark/>
          </w:tcPr>
          <w:p w14:paraId="467DFE23" w14:textId="77777777" w:rsidR="00CB2594" w:rsidRPr="007434DA" w:rsidRDefault="00CB2594" w:rsidP="004A57B3">
            <w:pPr>
              <w:rPr>
                <w:rFonts w:cs="Times New Roman"/>
                <w:b/>
                <w:bCs/>
                <w:color w:val="000000"/>
                <w:sz w:val="20"/>
                <w:szCs w:val="20"/>
                <w:lang w:val="cs-CZ"/>
              </w:rPr>
            </w:pPr>
            <w:r w:rsidRPr="007434DA">
              <w:rPr>
                <w:rFonts w:cs="Times New Roman"/>
                <w:b/>
                <w:bCs/>
                <w:color w:val="000000"/>
                <w:sz w:val="20"/>
                <w:szCs w:val="20"/>
                <w:lang w:val="cs-CZ"/>
              </w:rPr>
              <w:t>Podíl porušení (%)</w:t>
            </w:r>
          </w:p>
        </w:tc>
        <w:tc>
          <w:tcPr>
            <w:tcW w:w="968" w:type="dxa"/>
            <w:tcBorders>
              <w:top w:val="nil"/>
              <w:left w:val="nil"/>
              <w:bottom w:val="single" w:sz="8" w:space="0" w:color="auto"/>
              <w:right w:val="single" w:sz="4" w:space="0" w:color="auto"/>
            </w:tcBorders>
            <w:shd w:val="clear" w:color="auto" w:fill="auto"/>
            <w:noWrap/>
            <w:vAlign w:val="center"/>
            <w:hideMark/>
          </w:tcPr>
          <w:p w14:paraId="6A8B5569"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6,38</w:t>
            </w:r>
          </w:p>
        </w:tc>
        <w:tc>
          <w:tcPr>
            <w:tcW w:w="969" w:type="dxa"/>
            <w:tcBorders>
              <w:top w:val="nil"/>
              <w:left w:val="single" w:sz="4" w:space="0" w:color="auto"/>
              <w:bottom w:val="single" w:sz="8" w:space="0" w:color="auto"/>
              <w:right w:val="single" w:sz="4" w:space="0" w:color="auto"/>
            </w:tcBorders>
            <w:shd w:val="clear" w:color="auto" w:fill="auto"/>
            <w:noWrap/>
            <w:vAlign w:val="center"/>
            <w:hideMark/>
          </w:tcPr>
          <w:p w14:paraId="7E589A7F"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17,39</w:t>
            </w:r>
          </w:p>
        </w:tc>
        <w:tc>
          <w:tcPr>
            <w:tcW w:w="968" w:type="dxa"/>
            <w:tcBorders>
              <w:top w:val="nil"/>
              <w:left w:val="single" w:sz="4" w:space="0" w:color="auto"/>
              <w:bottom w:val="single" w:sz="8" w:space="0" w:color="auto"/>
              <w:right w:val="single" w:sz="4" w:space="0" w:color="auto"/>
            </w:tcBorders>
            <w:shd w:val="clear" w:color="auto" w:fill="auto"/>
            <w:noWrap/>
            <w:vAlign w:val="center"/>
            <w:hideMark/>
          </w:tcPr>
          <w:p w14:paraId="282BF5EC"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9,57</w:t>
            </w:r>
          </w:p>
        </w:tc>
        <w:tc>
          <w:tcPr>
            <w:tcW w:w="969" w:type="dxa"/>
            <w:tcBorders>
              <w:top w:val="nil"/>
              <w:left w:val="single" w:sz="4" w:space="0" w:color="auto"/>
              <w:bottom w:val="single" w:sz="8" w:space="0" w:color="auto"/>
              <w:right w:val="single" w:sz="4" w:space="0" w:color="auto"/>
            </w:tcBorders>
          </w:tcPr>
          <w:p w14:paraId="398614E9"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1,02</w:t>
            </w:r>
          </w:p>
        </w:tc>
        <w:tc>
          <w:tcPr>
            <w:tcW w:w="968" w:type="dxa"/>
            <w:tcBorders>
              <w:top w:val="nil"/>
              <w:left w:val="single" w:sz="4" w:space="0" w:color="auto"/>
              <w:bottom w:val="single" w:sz="8" w:space="0" w:color="auto"/>
              <w:right w:val="single" w:sz="4" w:space="0" w:color="auto"/>
            </w:tcBorders>
          </w:tcPr>
          <w:p w14:paraId="67DCEEA2"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8,16</w:t>
            </w:r>
          </w:p>
        </w:tc>
        <w:tc>
          <w:tcPr>
            <w:tcW w:w="969" w:type="dxa"/>
            <w:tcBorders>
              <w:top w:val="nil"/>
              <w:left w:val="single" w:sz="4" w:space="0" w:color="auto"/>
              <w:bottom w:val="single" w:sz="8" w:space="0" w:color="auto"/>
              <w:right w:val="double" w:sz="4" w:space="0" w:color="auto"/>
            </w:tcBorders>
          </w:tcPr>
          <w:p w14:paraId="21BB9B57"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8,79</w:t>
            </w:r>
          </w:p>
        </w:tc>
      </w:tr>
      <w:tr w:rsidR="00CB2594" w:rsidRPr="007434DA" w14:paraId="1EC68694" w14:textId="77777777" w:rsidTr="004A57B3">
        <w:trPr>
          <w:trHeight w:val="454"/>
        </w:trPr>
        <w:tc>
          <w:tcPr>
            <w:tcW w:w="3119" w:type="dxa"/>
            <w:tcBorders>
              <w:top w:val="nil"/>
              <w:left w:val="double" w:sz="4" w:space="0" w:color="auto"/>
              <w:bottom w:val="single" w:sz="4" w:space="0" w:color="auto"/>
              <w:right w:val="single" w:sz="4" w:space="0" w:color="auto"/>
            </w:tcBorders>
            <w:shd w:val="clear" w:color="auto" w:fill="auto"/>
            <w:noWrap/>
            <w:vAlign w:val="center"/>
            <w:hideMark/>
          </w:tcPr>
          <w:p w14:paraId="687B3011" w14:textId="77777777" w:rsidR="00CB2594" w:rsidRPr="007434DA" w:rsidRDefault="00CB2594" w:rsidP="004A57B3">
            <w:pPr>
              <w:rPr>
                <w:rFonts w:cs="Times New Roman"/>
                <w:b/>
                <w:bCs/>
                <w:color w:val="000000"/>
                <w:sz w:val="20"/>
                <w:szCs w:val="20"/>
                <w:lang w:val="cs-CZ"/>
              </w:rPr>
            </w:pPr>
            <w:r w:rsidRPr="007434DA">
              <w:rPr>
                <w:rFonts w:cs="Times New Roman"/>
                <w:b/>
                <w:bCs/>
                <w:color w:val="000000"/>
                <w:sz w:val="20"/>
                <w:szCs w:val="20"/>
                <w:lang w:val="cs-CZ"/>
              </w:rPr>
              <w:t>Překročení limitů těžkých kovů-celkem</w:t>
            </w:r>
          </w:p>
        </w:tc>
        <w:tc>
          <w:tcPr>
            <w:tcW w:w="968" w:type="dxa"/>
            <w:tcBorders>
              <w:top w:val="nil"/>
              <w:left w:val="nil"/>
              <w:bottom w:val="single" w:sz="4" w:space="0" w:color="auto"/>
              <w:right w:val="single" w:sz="4" w:space="0" w:color="auto"/>
            </w:tcBorders>
            <w:shd w:val="clear" w:color="auto" w:fill="auto"/>
            <w:noWrap/>
            <w:vAlign w:val="center"/>
            <w:hideMark/>
          </w:tcPr>
          <w:p w14:paraId="58EFE1A1"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0</w:t>
            </w:r>
          </w:p>
        </w:tc>
        <w:tc>
          <w:tcPr>
            <w:tcW w:w="969" w:type="dxa"/>
            <w:tcBorders>
              <w:top w:val="nil"/>
              <w:left w:val="single" w:sz="4" w:space="0" w:color="auto"/>
              <w:bottom w:val="single" w:sz="4" w:space="0" w:color="auto"/>
              <w:right w:val="single" w:sz="4" w:space="0" w:color="auto"/>
            </w:tcBorders>
            <w:shd w:val="clear" w:color="auto" w:fill="auto"/>
            <w:noWrap/>
            <w:vAlign w:val="center"/>
            <w:hideMark/>
          </w:tcPr>
          <w:p w14:paraId="05AFB515"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5</w:t>
            </w:r>
          </w:p>
        </w:tc>
        <w:tc>
          <w:tcPr>
            <w:tcW w:w="968" w:type="dxa"/>
            <w:tcBorders>
              <w:top w:val="nil"/>
              <w:left w:val="single" w:sz="4" w:space="0" w:color="auto"/>
              <w:bottom w:val="single" w:sz="4" w:space="0" w:color="auto"/>
              <w:right w:val="single" w:sz="4" w:space="0" w:color="auto"/>
            </w:tcBorders>
            <w:shd w:val="clear" w:color="auto" w:fill="auto"/>
            <w:noWrap/>
            <w:vAlign w:val="center"/>
            <w:hideMark/>
          </w:tcPr>
          <w:p w14:paraId="40C2A711"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2</w:t>
            </w:r>
          </w:p>
        </w:tc>
        <w:tc>
          <w:tcPr>
            <w:tcW w:w="969" w:type="dxa"/>
            <w:tcBorders>
              <w:top w:val="nil"/>
              <w:left w:val="single" w:sz="4" w:space="0" w:color="auto"/>
              <w:bottom w:val="single" w:sz="4" w:space="0" w:color="auto"/>
              <w:right w:val="single" w:sz="4" w:space="0" w:color="auto"/>
            </w:tcBorders>
          </w:tcPr>
          <w:p w14:paraId="0690191C" w14:textId="77777777" w:rsidR="00CB2594" w:rsidRPr="007434DA" w:rsidRDefault="00CB2594" w:rsidP="004A57B3">
            <w:pPr>
              <w:spacing w:before="120" w:line="240" w:lineRule="atLeast"/>
              <w:jc w:val="center"/>
              <w:rPr>
                <w:rFonts w:cs="Times New Roman"/>
                <w:sz w:val="20"/>
                <w:szCs w:val="20"/>
                <w:lang w:val="cs-CZ"/>
              </w:rPr>
            </w:pPr>
            <w:r w:rsidRPr="007434DA">
              <w:rPr>
                <w:rFonts w:cs="Times New Roman"/>
                <w:sz w:val="20"/>
                <w:szCs w:val="20"/>
                <w:lang w:val="cs-CZ"/>
              </w:rPr>
              <w:t>1</w:t>
            </w:r>
          </w:p>
        </w:tc>
        <w:tc>
          <w:tcPr>
            <w:tcW w:w="968" w:type="dxa"/>
            <w:tcBorders>
              <w:top w:val="nil"/>
              <w:left w:val="single" w:sz="4" w:space="0" w:color="auto"/>
              <w:bottom w:val="single" w:sz="4" w:space="0" w:color="auto"/>
              <w:right w:val="single" w:sz="4" w:space="0" w:color="auto"/>
            </w:tcBorders>
          </w:tcPr>
          <w:p w14:paraId="61200A28" w14:textId="77777777" w:rsidR="00CB2594" w:rsidRPr="007434DA" w:rsidRDefault="00CB2594" w:rsidP="004A57B3">
            <w:pPr>
              <w:spacing w:before="120" w:line="240" w:lineRule="atLeast"/>
              <w:jc w:val="center"/>
              <w:rPr>
                <w:rFonts w:cs="Times New Roman"/>
                <w:sz w:val="20"/>
                <w:szCs w:val="20"/>
                <w:lang w:val="cs-CZ"/>
              </w:rPr>
            </w:pPr>
            <w:r w:rsidRPr="007434DA">
              <w:rPr>
                <w:rFonts w:cs="Times New Roman"/>
                <w:sz w:val="20"/>
                <w:szCs w:val="20"/>
                <w:lang w:val="cs-CZ"/>
              </w:rPr>
              <w:t>0</w:t>
            </w:r>
          </w:p>
        </w:tc>
        <w:tc>
          <w:tcPr>
            <w:tcW w:w="969" w:type="dxa"/>
            <w:tcBorders>
              <w:top w:val="nil"/>
              <w:left w:val="single" w:sz="4" w:space="0" w:color="auto"/>
              <w:bottom w:val="single" w:sz="4" w:space="0" w:color="auto"/>
              <w:right w:val="double" w:sz="4" w:space="0" w:color="auto"/>
            </w:tcBorders>
          </w:tcPr>
          <w:p w14:paraId="25328935" w14:textId="77777777" w:rsidR="00CB2594" w:rsidRPr="007434DA" w:rsidRDefault="00CB2594" w:rsidP="004A57B3">
            <w:pPr>
              <w:spacing w:before="120" w:line="240" w:lineRule="atLeast"/>
              <w:jc w:val="center"/>
              <w:rPr>
                <w:rFonts w:cs="Times New Roman"/>
                <w:sz w:val="20"/>
                <w:szCs w:val="20"/>
                <w:lang w:val="cs-CZ"/>
              </w:rPr>
            </w:pPr>
            <w:r w:rsidRPr="007434DA">
              <w:rPr>
                <w:rFonts w:cs="Times New Roman"/>
                <w:sz w:val="20"/>
                <w:szCs w:val="20"/>
                <w:lang w:val="cs-CZ"/>
              </w:rPr>
              <w:t>0</w:t>
            </w:r>
          </w:p>
        </w:tc>
      </w:tr>
      <w:tr w:rsidR="00CB2594" w:rsidRPr="007434DA" w14:paraId="3CC1A345" w14:textId="77777777" w:rsidTr="004A57B3">
        <w:trPr>
          <w:trHeight w:val="255"/>
        </w:trPr>
        <w:tc>
          <w:tcPr>
            <w:tcW w:w="3119" w:type="dxa"/>
            <w:tcBorders>
              <w:top w:val="nil"/>
              <w:left w:val="double" w:sz="4" w:space="0" w:color="auto"/>
              <w:bottom w:val="single" w:sz="4" w:space="0" w:color="auto"/>
              <w:right w:val="single" w:sz="4" w:space="0" w:color="auto"/>
            </w:tcBorders>
            <w:shd w:val="clear" w:color="auto" w:fill="auto"/>
            <w:noWrap/>
            <w:vAlign w:val="center"/>
            <w:hideMark/>
          </w:tcPr>
          <w:p w14:paraId="4125AAD1" w14:textId="77777777" w:rsidR="00CB2594" w:rsidRPr="007434DA" w:rsidRDefault="00CB2594" w:rsidP="004A57B3">
            <w:pPr>
              <w:rPr>
                <w:rFonts w:cs="Times New Roman"/>
                <w:b/>
                <w:bCs/>
                <w:color w:val="000000"/>
                <w:sz w:val="20"/>
                <w:szCs w:val="20"/>
                <w:lang w:val="cs-CZ"/>
              </w:rPr>
            </w:pPr>
            <w:r w:rsidRPr="007434DA">
              <w:rPr>
                <w:rFonts w:cs="Times New Roman"/>
                <w:b/>
                <w:bCs/>
                <w:color w:val="000000"/>
                <w:sz w:val="20"/>
                <w:szCs w:val="20"/>
                <w:lang w:val="cs-CZ"/>
              </w:rPr>
              <w:t>Neodebrání vzorků akreditovanou laboratoří</w:t>
            </w:r>
          </w:p>
        </w:tc>
        <w:tc>
          <w:tcPr>
            <w:tcW w:w="968" w:type="dxa"/>
            <w:tcBorders>
              <w:top w:val="nil"/>
              <w:left w:val="nil"/>
              <w:bottom w:val="single" w:sz="4" w:space="0" w:color="auto"/>
              <w:right w:val="single" w:sz="4" w:space="0" w:color="auto"/>
            </w:tcBorders>
            <w:shd w:val="clear" w:color="auto" w:fill="auto"/>
            <w:noWrap/>
            <w:vAlign w:val="center"/>
            <w:hideMark/>
          </w:tcPr>
          <w:p w14:paraId="5D16DF9A"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0</w:t>
            </w:r>
          </w:p>
        </w:tc>
        <w:tc>
          <w:tcPr>
            <w:tcW w:w="969" w:type="dxa"/>
            <w:tcBorders>
              <w:top w:val="nil"/>
              <w:left w:val="single" w:sz="4" w:space="0" w:color="auto"/>
              <w:bottom w:val="single" w:sz="4" w:space="0" w:color="auto"/>
              <w:right w:val="single" w:sz="4" w:space="0" w:color="auto"/>
            </w:tcBorders>
            <w:shd w:val="clear" w:color="auto" w:fill="auto"/>
            <w:noWrap/>
            <w:vAlign w:val="center"/>
            <w:hideMark/>
          </w:tcPr>
          <w:p w14:paraId="518D0251"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1</w:t>
            </w:r>
          </w:p>
        </w:tc>
        <w:tc>
          <w:tcPr>
            <w:tcW w:w="968" w:type="dxa"/>
            <w:tcBorders>
              <w:top w:val="nil"/>
              <w:left w:val="single" w:sz="4" w:space="0" w:color="auto"/>
              <w:bottom w:val="single" w:sz="4" w:space="0" w:color="auto"/>
              <w:right w:val="single" w:sz="4" w:space="0" w:color="auto"/>
            </w:tcBorders>
            <w:shd w:val="clear" w:color="auto" w:fill="auto"/>
            <w:noWrap/>
            <w:vAlign w:val="center"/>
            <w:hideMark/>
          </w:tcPr>
          <w:p w14:paraId="299EC26E"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1</w:t>
            </w:r>
          </w:p>
        </w:tc>
        <w:tc>
          <w:tcPr>
            <w:tcW w:w="969" w:type="dxa"/>
            <w:tcBorders>
              <w:top w:val="nil"/>
              <w:left w:val="single" w:sz="4" w:space="0" w:color="auto"/>
              <w:bottom w:val="single" w:sz="4" w:space="0" w:color="auto"/>
              <w:right w:val="single" w:sz="4" w:space="0" w:color="auto"/>
            </w:tcBorders>
          </w:tcPr>
          <w:p w14:paraId="4A95CA1B" w14:textId="77777777" w:rsidR="00CB2594" w:rsidRPr="007434DA" w:rsidRDefault="00CB2594" w:rsidP="004A57B3">
            <w:pPr>
              <w:spacing w:before="120" w:line="240" w:lineRule="atLeast"/>
              <w:jc w:val="center"/>
              <w:rPr>
                <w:rFonts w:cs="Times New Roman"/>
                <w:sz w:val="20"/>
                <w:szCs w:val="20"/>
                <w:lang w:val="cs-CZ"/>
              </w:rPr>
            </w:pPr>
            <w:r w:rsidRPr="007434DA">
              <w:rPr>
                <w:rFonts w:cs="Times New Roman"/>
                <w:sz w:val="20"/>
                <w:szCs w:val="20"/>
                <w:lang w:val="cs-CZ"/>
              </w:rPr>
              <w:t>0</w:t>
            </w:r>
          </w:p>
        </w:tc>
        <w:tc>
          <w:tcPr>
            <w:tcW w:w="968" w:type="dxa"/>
            <w:tcBorders>
              <w:top w:val="nil"/>
              <w:left w:val="single" w:sz="4" w:space="0" w:color="auto"/>
              <w:bottom w:val="single" w:sz="4" w:space="0" w:color="auto"/>
              <w:right w:val="single" w:sz="4" w:space="0" w:color="auto"/>
            </w:tcBorders>
          </w:tcPr>
          <w:p w14:paraId="6F7746F8" w14:textId="77777777" w:rsidR="00CB2594" w:rsidRPr="007434DA" w:rsidRDefault="00CB2594" w:rsidP="004A57B3">
            <w:pPr>
              <w:spacing w:before="120" w:line="240" w:lineRule="atLeast"/>
              <w:jc w:val="center"/>
              <w:rPr>
                <w:rFonts w:cs="Times New Roman"/>
                <w:sz w:val="20"/>
                <w:szCs w:val="20"/>
                <w:lang w:val="cs-CZ"/>
              </w:rPr>
            </w:pPr>
            <w:r w:rsidRPr="007434DA">
              <w:rPr>
                <w:rFonts w:cs="Times New Roman"/>
                <w:sz w:val="20"/>
                <w:szCs w:val="20"/>
                <w:lang w:val="cs-CZ"/>
              </w:rPr>
              <w:t>0</w:t>
            </w:r>
          </w:p>
        </w:tc>
        <w:tc>
          <w:tcPr>
            <w:tcW w:w="969" w:type="dxa"/>
            <w:tcBorders>
              <w:top w:val="nil"/>
              <w:left w:val="single" w:sz="4" w:space="0" w:color="auto"/>
              <w:bottom w:val="single" w:sz="4" w:space="0" w:color="auto"/>
              <w:right w:val="double" w:sz="4" w:space="0" w:color="auto"/>
            </w:tcBorders>
          </w:tcPr>
          <w:p w14:paraId="4DEA9E24" w14:textId="77777777" w:rsidR="00CB2594" w:rsidRPr="007434DA" w:rsidRDefault="00CB2594" w:rsidP="004A57B3">
            <w:pPr>
              <w:spacing w:before="120" w:line="240" w:lineRule="atLeast"/>
              <w:jc w:val="center"/>
              <w:rPr>
                <w:rFonts w:cs="Times New Roman"/>
                <w:sz w:val="20"/>
                <w:szCs w:val="20"/>
                <w:lang w:val="cs-CZ"/>
              </w:rPr>
            </w:pPr>
            <w:r w:rsidRPr="007434DA">
              <w:rPr>
                <w:rFonts w:cs="Times New Roman"/>
                <w:sz w:val="20"/>
                <w:szCs w:val="20"/>
                <w:lang w:val="cs-CZ"/>
              </w:rPr>
              <w:t>0</w:t>
            </w:r>
          </w:p>
        </w:tc>
      </w:tr>
      <w:tr w:rsidR="00CB2594" w:rsidRPr="007434DA" w14:paraId="08AFE7FB" w14:textId="77777777" w:rsidTr="004A57B3">
        <w:trPr>
          <w:trHeight w:val="270"/>
        </w:trPr>
        <w:tc>
          <w:tcPr>
            <w:tcW w:w="3119" w:type="dxa"/>
            <w:tcBorders>
              <w:top w:val="nil"/>
              <w:left w:val="double" w:sz="4" w:space="0" w:color="auto"/>
              <w:bottom w:val="double" w:sz="4" w:space="0" w:color="auto"/>
              <w:right w:val="single" w:sz="4" w:space="0" w:color="auto"/>
            </w:tcBorders>
            <w:shd w:val="clear" w:color="auto" w:fill="auto"/>
            <w:noWrap/>
            <w:vAlign w:val="center"/>
            <w:hideMark/>
          </w:tcPr>
          <w:p w14:paraId="6BA15FE3" w14:textId="77777777" w:rsidR="00CB2594" w:rsidRPr="007434DA" w:rsidRDefault="00CB2594" w:rsidP="004A57B3">
            <w:pPr>
              <w:rPr>
                <w:rFonts w:cs="Times New Roman"/>
                <w:b/>
                <w:bCs/>
                <w:color w:val="000000"/>
                <w:sz w:val="20"/>
                <w:szCs w:val="20"/>
                <w:lang w:val="cs-CZ"/>
              </w:rPr>
            </w:pPr>
            <w:r w:rsidRPr="007434DA">
              <w:rPr>
                <w:rFonts w:cs="Times New Roman"/>
                <w:b/>
                <w:bCs/>
                <w:color w:val="000000"/>
                <w:sz w:val="20"/>
                <w:szCs w:val="20"/>
                <w:lang w:val="cs-CZ"/>
              </w:rPr>
              <w:t>Neodebrání vzorků (nedodání rozborů)</w:t>
            </w:r>
          </w:p>
        </w:tc>
        <w:tc>
          <w:tcPr>
            <w:tcW w:w="968" w:type="dxa"/>
            <w:tcBorders>
              <w:top w:val="nil"/>
              <w:left w:val="nil"/>
              <w:bottom w:val="double" w:sz="4" w:space="0" w:color="auto"/>
              <w:right w:val="single" w:sz="4" w:space="0" w:color="auto"/>
            </w:tcBorders>
            <w:shd w:val="clear" w:color="auto" w:fill="auto"/>
            <w:noWrap/>
            <w:vAlign w:val="center"/>
            <w:hideMark/>
          </w:tcPr>
          <w:p w14:paraId="28E86ECB"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3</w:t>
            </w:r>
          </w:p>
        </w:tc>
        <w:tc>
          <w:tcPr>
            <w:tcW w:w="969" w:type="dxa"/>
            <w:tcBorders>
              <w:top w:val="nil"/>
              <w:left w:val="single" w:sz="4" w:space="0" w:color="auto"/>
              <w:bottom w:val="double" w:sz="4" w:space="0" w:color="auto"/>
              <w:right w:val="single" w:sz="4" w:space="0" w:color="auto"/>
            </w:tcBorders>
            <w:shd w:val="clear" w:color="auto" w:fill="auto"/>
            <w:noWrap/>
            <w:vAlign w:val="center"/>
            <w:hideMark/>
          </w:tcPr>
          <w:p w14:paraId="77EF27CD"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10</w:t>
            </w:r>
          </w:p>
        </w:tc>
        <w:tc>
          <w:tcPr>
            <w:tcW w:w="968" w:type="dxa"/>
            <w:tcBorders>
              <w:top w:val="nil"/>
              <w:left w:val="single" w:sz="4" w:space="0" w:color="auto"/>
              <w:bottom w:val="double" w:sz="4" w:space="0" w:color="auto"/>
              <w:right w:val="single" w:sz="4" w:space="0" w:color="auto"/>
            </w:tcBorders>
            <w:shd w:val="clear" w:color="auto" w:fill="auto"/>
            <w:noWrap/>
            <w:vAlign w:val="center"/>
            <w:hideMark/>
          </w:tcPr>
          <w:p w14:paraId="2CD6DD4F" w14:textId="77777777" w:rsidR="00CB2594" w:rsidRPr="007434DA" w:rsidRDefault="00CB2594" w:rsidP="004A57B3">
            <w:pPr>
              <w:jc w:val="center"/>
              <w:rPr>
                <w:rFonts w:cs="Times New Roman"/>
                <w:sz w:val="20"/>
                <w:szCs w:val="20"/>
                <w:lang w:val="cs-CZ"/>
              </w:rPr>
            </w:pPr>
            <w:r w:rsidRPr="007434DA">
              <w:rPr>
                <w:rFonts w:cs="Times New Roman"/>
                <w:sz w:val="20"/>
                <w:szCs w:val="20"/>
                <w:lang w:val="cs-CZ"/>
              </w:rPr>
              <w:t>6</w:t>
            </w:r>
          </w:p>
        </w:tc>
        <w:tc>
          <w:tcPr>
            <w:tcW w:w="969" w:type="dxa"/>
            <w:tcBorders>
              <w:top w:val="nil"/>
              <w:left w:val="single" w:sz="4" w:space="0" w:color="auto"/>
              <w:bottom w:val="double" w:sz="4" w:space="0" w:color="auto"/>
              <w:right w:val="single" w:sz="4" w:space="0" w:color="auto"/>
            </w:tcBorders>
          </w:tcPr>
          <w:p w14:paraId="49F4E0A9" w14:textId="77777777" w:rsidR="00CB2594" w:rsidRPr="007434DA" w:rsidRDefault="00CB2594" w:rsidP="004A57B3">
            <w:pPr>
              <w:spacing w:before="120" w:line="240" w:lineRule="atLeast"/>
              <w:jc w:val="center"/>
              <w:rPr>
                <w:rFonts w:cs="Times New Roman"/>
                <w:sz w:val="20"/>
                <w:szCs w:val="20"/>
                <w:lang w:val="cs-CZ"/>
              </w:rPr>
            </w:pPr>
            <w:r w:rsidRPr="007434DA">
              <w:rPr>
                <w:rFonts w:cs="Times New Roman"/>
                <w:sz w:val="20"/>
                <w:szCs w:val="20"/>
                <w:lang w:val="cs-CZ"/>
              </w:rPr>
              <w:t>0</w:t>
            </w:r>
          </w:p>
        </w:tc>
        <w:tc>
          <w:tcPr>
            <w:tcW w:w="968" w:type="dxa"/>
            <w:tcBorders>
              <w:top w:val="nil"/>
              <w:left w:val="single" w:sz="4" w:space="0" w:color="auto"/>
              <w:bottom w:val="double" w:sz="4" w:space="0" w:color="auto"/>
              <w:right w:val="single" w:sz="4" w:space="0" w:color="auto"/>
            </w:tcBorders>
          </w:tcPr>
          <w:p w14:paraId="525B9FBD" w14:textId="77777777" w:rsidR="00CB2594" w:rsidRPr="007434DA" w:rsidRDefault="00CB2594" w:rsidP="004A57B3">
            <w:pPr>
              <w:spacing w:before="120" w:line="240" w:lineRule="atLeast"/>
              <w:jc w:val="center"/>
              <w:rPr>
                <w:rFonts w:cs="Times New Roman"/>
                <w:sz w:val="20"/>
                <w:szCs w:val="20"/>
                <w:lang w:val="cs-CZ"/>
              </w:rPr>
            </w:pPr>
            <w:r w:rsidRPr="007434DA">
              <w:rPr>
                <w:rFonts w:cs="Times New Roman"/>
                <w:sz w:val="20"/>
                <w:szCs w:val="20"/>
                <w:lang w:val="cs-CZ"/>
              </w:rPr>
              <w:t>8*</w:t>
            </w:r>
          </w:p>
        </w:tc>
        <w:tc>
          <w:tcPr>
            <w:tcW w:w="969" w:type="dxa"/>
            <w:tcBorders>
              <w:top w:val="nil"/>
              <w:left w:val="single" w:sz="4" w:space="0" w:color="auto"/>
              <w:bottom w:val="double" w:sz="4" w:space="0" w:color="auto"/>
              <w:right w:val="double" w:sz="4" w:space="0" w:color="auto"/>
            </w:tcBorders>
          </w:tcPr>
          <w:p w14:paraId="200C0887" w14:textId="77777777" w:rsidR="00CB2594" w:rsidRPr="007434DA" w:rsidRDefault="00CB2594" w:rsidP="004A57B3">
            <w:pPr>
              <w:spacing w:before="120" w:line="240" w:lineRule="atLeast"/>
              <w:jc w:val="center"/>
              <w:rPr>
                <w:rFonts w:cs="Times New Roman"/>
                <w:sz w:val="20"/>
                <w:szCs w:val="20"/>
                <w:lang w:val="cs-CZ"/>
              </w:rPr>
            </w:pPr>
            <w:r w:rsidRPr="007434DA">
              <w:rPr>
                <w:rFonts w:cs="Times New Roman"/>
                <w:sz w:val="20"/>
                <w:szCs w:val="20"/>
                <w:lang w:val="cs-CZ"/>
              </w:rPr>
              <w:t>8**</w:t>
            </w:r>
          </w:p>
        </w:tc>
      </w:tr>
    </w:tbl>
    <w:p w14:paraId="5F633FDB" w14:textId="77777777" w:rsidR="00CB2594" w:rsidRPr="007434DA" w:rsidRDefault="00CB2594" w:rsidP="00152D53">
      <w:pPr>
        <w:pStyle w:val="UZEIZdroj"/>
      </w:pPr>
      <w:r w:rsidRPr="007434DA">
        <w:t>Pramen: SZIF</w:t>
      </w:r>
    </w:p>
    <w:p w14:paraId="7D958CD2" w14:textId="77777777" w:rsidR="00CB2594" w:rsidRPr="007434DA" w:rsidRDefault="00CB2594" w:rsidP="00152D53">
      <w:pPr>
        <w:pStyle w:val="UZEIZdroj"/>
      </w:pPr>
      <w:r w:rsidRPr="007434DA">
        <w:t>Pozn.:*Z toho 6 porušení nedoložení evidenčních karet k DPB či jejich pozdní doložení</w:t>
      </w:r>
    </w:p>
    <w:p w14:paraId="6D485371" w14:textId="77777777" w:rsidR="00CB2594" w:rsidRPr="007434DA" w:rsidRDefault="00CB2594" w:rsidP="00152D53">
      <w:pPr>
        <w:pStyle w:val="UZEIZdroj"/>
      </w:pPr>
      <w:r w:rsidRPr="007434DA">
        <w:t>**Z toho 5 porušení nedoložení evidenčních karet k DPB či jejich pozdní doložení</w:t>
      </w:r>
    </w:p>
    <w:bookmarkEnd w:id="132"/>
    <w:p w14:paraId="0AB5F956" w14:textId="21610226" w:rsidR="00CB2594" w:rsidRPr="007434DA" w:rsidRDefault="00CB2594" w:rsidP="00152D53">
      <w:pPr>
        <w:pStyle w:val="UZEINormaln"/>
      </w:pPr>
      <w:r w:rsidRPr="007434DA">
        <w:t>Výsledky analýz vzorků potravin živočišného původu jsou shrnuty v tabulce 1</w:t>
      </w:r>
      <w:r w:rsidR="00152D53" w:rsidRPr="007434DA">
        <w:t>4</w:t>
      </w:r>
      <w:r w:rsidRPr="007434DA">
        <w:t>. Ve všech sledovaných letech byly nalezeny vzorky s </w:t>
      </w:r>
      <w:bookmarkStart w:id="136" w:name="_Hlk12555680"/>
      <w:r w:rsidRPr="007434DA">
        <w:t>nadlimitním výskytem reziduí těžkých kovů</w:t>
      </w:r>
      <w:bookmarkEnd w:id="136"/>
      <w:r w:rsidRPr="007434DA">
        <w:t xml:space="preserve">. V roce 2016 byl tento nadlimitní výskyt zaznamenán u 11 z celkových 492 analyzovaných vzorků, tj. u 22 %. Nadlimitní výskyty těžkých kovů se dlouhodobě týkají především červeného masa a farmové a lovné zvěře. Pozitivní nález byl zaznamenán u všech ostatních sledovaných komodity živočišného původu. Právě ve snaze snížit množství vzorků potravin rostlinného i živočišného původu s pozitivním nálezem reziduí těžkých kovů, lze v rámci SZP spatřovat prostor pro působení nově formulovaných opatření. </w:t>
      </w:r>
    </w:p>
    <w:p w14:paraId="022AFF49" w14:textId="77777777" w:rsidR="00CB2594" w:rsidRPr="007434DA" w:rsidRDefault="00CB2594" w:rsidP="00152D53">
      <w:pPr>
        <w:pStyle w:val="UZEINormaln"/>
      </w:pPr>
      <w:bookmarkStart w:id="137" w:name="_Hlk527017559"/>
      <w:r w:rsidRPr="007434DA">
        <w:t>Z hlediska SZP je problematika těžkých kovů v živočišných produktech irelevantní, a proto již není dále v analýze rozebírána.</w:t>
      </w:r>
    </w:p>
    <w:p w14:paraId="469038FC" w14:textId="77777777" w:rsidR="00CB2594" w:rsidRPr="007434DA" w:rsidRDefault="00CB2594" w:rsidP="00CB2594">
      <w:pPr>
        <w:rPr>
          <w:rFonts w:ascii="Arial" w:eastAsia="Times New Roman" w:hAnsi="Arial" w:cs="Arial"/>
          <w:color w:val="000000"/>
          <w:sz w:val="20"/>
          <w:szCs w:val="20"/>
          <w:lang w:val="cs-CZ" w:eastAsia="cs-CZ"/>
        </w:rPr>
      </w:pPr>
    </w:p>
    <w:p w14:paraId="25E6EE7F" w14:textId="77777777" w:rsidR="00CB2594" w:rsidRPr="007434DA" w:rsidRDefault="00CB2594" w:rsidP="00CB2594">
      <w:pPr>
        <w:rPr>
          <w:rFonts w:ascii="Arial" w:eastAsia="Times New Roman" w:hAnsi="Arial" w:cs="Arial"/>
          <w:color w:val="000000"/>
          <w:sz w:val="20"/>
          <w:szCs w:val="20"/>
          <w:lang w:val="cs-CZ" w:eastAsia="cs-CZ"/>
        </w:rPr>
      </w:pPr>
    </w:p>
    <w:p w14:paraId="27584B8A" w14:textId="77777777" w:rsidR="00CB2594" w:rsidRPr="007434DA" w:rsidRDefault="00CB2594" w:rsidP="00CB2594">
      <w:pPr>
        <w:rPr>
          <w:rFonts w:ascii="Arial" w:hAnsi="Arial" w:cs="Arial"/>
          <w:b/>
          <w:bCs/>
          <w:sz w:val="20"/>
          <w:szCs w:val="20"/>
          <w:lang w:val="cs-CZ"/>
        </w:rPr>
      </w:pPr>
      <w:r w:rsidRPr="007434DA">
        <w:rPr>
          <w:rFonts w:ascii="Arial" w:hAnsi="Arial" w:cs="Arial"/>
          <w:b/>
          <w:bCs/>
          <w:sz w:val="20"/>
          <w:szCs w:val="20"/>
          <w:lang w:val="cs-CZ"/>
        </w:rPr>
        <w:br w:type="page"/>
      </w:r>
    </w:p>
    <w:p w14:paraId="0156B8F7" w14:textId="37B5A2FB" w:rsidR="00CB2594" w:rsidRPr="007434DA" w:rsidRDefault="00CB2594" w:rsidP="002622E7">
      <w:pPr>
        <w:pStyle w:val="UZEITaB"/>
        <w:ind w:left="1134" w:hanging="1134"/>
      </w:pPr>
      <w:bookmarkStart w:id="138" w:name="_Toc94095287"/>
      <w:r w:rsidRPr="007434DA">
        <w:t>Nálezy těžkých kovů u vybraných komodit živočišného původu v rámci plánovaných kontrol cizorodých látek v letech 2012 - 2016</w:t>
      </w:r>
      <w:bookmarkEnd w:id="138"/>
    </w:p>
    <w:tbl>
      <w:tblPr>
        <w:tblW w:w="9047" w:type="dxa"/>
        <w:tblCellMar>
          <w:left w:w="0" w:type="dxa"/>
          <w:right w:w="0" w:type="dxa"/>
        </w:tblCellMar>
        <w:tblLook w:val="04A0" w:firstRow="1" w:lastRow="0" w:firstColumn="1" w:lastColumn="0" w:noHBand="0" w:noVBand="1"/>
      </w:tblPr>
      <w:tblGrid>
        <w:gridCol w:w="2255"/>
        <w:gridCol w:w="1312"/>
        <w:gridCol w:w="1312"/>
        <w:gridCol w:w="1396"/>
        <w:gridCol w:w="1467"/>
        <w:gridCol w:w="1305"/>
      </w:tblGrid>
      <w:tr w:rsidR="00CB2594" w:rsidRPr="00FA3A37" w14:paraId="6ACE1C15" w14:textId="77777777" w:rsidTr="004A57B3">
        <w:trPr>
          <w:trHeight w:val="326"/>
        </w:trPr>
        <w:tc>
          <w:tcPr>
            <w:tcW w:w="2255" w:type="dxa"/>
            <w:vMerge w:val="restart"/>
            <w:tcBorders>
              <w:top w:val="double" w:sz="6" w:space="0" w:color="auto"/>
              <w:left w:val="double" w:sz="6" w:space="0" w:color="auto"/>
              <w:bottom w:val="single" w:sz="8" w:space="0" w:color="000000"/>
              <w:right w:val="single" w:sz="8" w:space="0" w:color="auto"/>
            </w:tcBorders>
            <w:tcMar>
              <w:top w:w="0" w:type="dxa"/>
              <w:left w:w="70" w:type="dxa"/>
              <w:bottom w:w="0" w:type="dxa"/>
              <w:right w:w="70" w:type="dxa"/>
            </w:tcMar>
            <w:vAlign w:val="center"/>
            <w:hideMark/>
          </w:tcPr>
          <w:p w14:paraId="7702884F" w14:textId="77777777" w:rsidR="00CB2594" w:rsidRPr="007434DA" w:rsidRDefault="00CB2594" w:rsidP="004A57B3">
            <w:pPr>
              <w:spacing w:line="240" w:lineRule="atLeast"/>
              <w:jc w:val="center"/>
              <w:rPr>
                <w:rFonts w:cs="Times New Roman"/>
                <w:b/>
                <w:bCs/>
                <w:color w:val="000000"/>
                <w:sz w:val="20"/>
                <w:szCs w:val="20"/>
                <w:lang w:val="cs-CZ" w:eastAsia="cs-CZ"/>
              </w:rPr>
            </w:pPr>
            <w:r w:rsidRPr="007434DA">
              <w:rPr>
                <w:rFonts w:cs="Times New Roman"/>
                <w:b/>
                <w:bCs/>
                <w:color w:val="000000"/>
                <w:sz w:val="20"/>
                <w:szCs w:val="20"/>
                <w:lang w:val="cs-CZ" w:eastAsia="cs-CZ"/>
              </w:rPr>
              <w:t>Potravina</w:t>
            </w:r>
          </w:p>
        </w:tc>
        <w:tc>
          <w:tcPr>
            <w:tcW w:w="6792" w:type="dxa"/>
            <w:gridSpan w:val="5"/>
            <w:tcBorders>
              <w:top w:val="double" w:sz="6" w:space="0" w:color="auto"/>
              <w:left w:val="nil"/>
              <w:bottom w:val="single" w:sz="8" w:space="0" w:color="auto"/>
              <w:right w:val="double" w:sz="6" w:space="0" w:color="000000"/>
            </w:tcBorders>
            <w:noWrap/>
            <w:tcMar>
              <w:top w:w="0" w:type="dxa"/>
              <w:left w:w="70" w:type="dxa"/>
              <w:bottom w:w="0" w:type="dxa"/>
              <w:right w:w="70" w:type="dxa"/>
            </w:tcMar>
            <w:vAlign w:val="center"/>
            <w:hideMark/>
          </w:tcPr>
          <w:p w14:paraId="373441D3" w14:textId="77777777" w:rsidR="00CB2594" w:rsidRPr="007434DA" w:rsidRDefault="00CB2594" w:rsidP="004A57B3">
            <w:pPr>
              <w:spacing w:line="240" w:lineRule="atLeast"/>
              <w:jc w:val="center"/>
              <w:rPr>
                <w:rFonts w:cs="Times New Roman"/>
                <w:b/>
                <w:bCs/>
                <w:color w:val="000000"/>
                <w:sz w:val="20"/>
                <w:szCs w:val="20"/>
                <w:lang w:val="cs-CZ" w:eastAsia="cs-CZ"/>
              </w:rPr>
            </w:pPr>
            <w:r w:rsidRPr="007434DA">
              <w:rPr>
                <w:rFonts w:cs="Times New Roman"/>
                <w:b/>
                <w:bCs/>
                <w:color w:val="000000"/>
                <w:sz w:val="20"/>
                <w:szCs w:val="20"/>
                <w:lang w:val="cs-CZ" w:eastAsia="cs-CZ"/>
              </w:rPr>
              <w:t xml:space="preserve">Počty vzorků analyzovaných celkem/s pozitivním/nadlimitním výskytem reziduí </w:t>
            </w:r>
          </w:p>
        </w:tc>
      </w:tr>
      <w:tr w:rsidR="00CB2594" w:rsidRPr="007434DA" w14:paraId="58EACEB1" w14:textId="77777777" w:rsidTr="004A57B3">
        <w:trPr>
          <w:trHeight w:val="263"/>
        </w:trPr>
        <w:tc>
          <w:tcPr>
            <w:tcW w:w="2255" w:type="dxa"/>
            <w:vMerge/>
            <w:tcBorders>
              <w:top w:val="double" w:sz="6" w:space="0" w:color="auto"/>
              <w:left w:val="double" w:sz="6" w:space="0" w:color="auto"/>
              <w:bottom w:val="single" w:sz="8" w:space="0" w:color="000000"/>
              <w:right w:val="single" w:sz="8" w:space="0" w:color="auto"/>
            </w:tcBorders>
            <w:vAlign w:val="center"/>
            <w:hideMark/>
          </w:tcPr>
          <w:p w14:paraId="00184912" w14:textId="77777777" w:rsidR="00CB2594" w:rsidRPr="007434DA" w:rsidRDefault="00CB2594" w:rsidP="004A57B3">
            <w:pPr>
              <w:spacing w:line="240" w:lineRule="atLeast"/>
              <w:rPr>
                <w:rFonts w:cs="Times New Roman"/>
                <w:b/>
                <w:bCs/>
                <w:color w:val="000000"/>
                <w:sz w:val="20"/>
                <w:szCs w:val="20"/>
                <w:lang w:val="cs-CZ" w:eastAsia="cs-CZ"/>
              </w:rPr>
            </w:pPr>
          </w:p>
        </w:tc>
        <w:tc>
          <w:tcPr>
            <w:tcW w:w="1312"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3EB7D955" w14:textId="77777777" w:rsidR="00CB2594" w:rsidRPr="007434DA" w:rsidRDefault="00CB2594" w:rsidP="004A57B3">
            <w:pPr>
              <w:spacing w:line="240" w:lineRule="atLeast"/>
              <w:jc w:val="center"/>
              <w:rPr>
                <w:rFonts w:cs="Times New Roman"/>
                <w:b/>
                <w:bCs/>
                <w:color w:val="000000"/>
                <w:sz w:val="20"/>
                <w:szCs w:val="20"/>
                <w:lang w:val="cs-CZ" w:eastAsia="cs-CZ"/>
              </w:rPr>
            </w:pPr>
            <w:r w:rsidRPr="007434DA">
              <w:rPr>
                <w:rFonts w:cs="Times New Roman"/>
                <w:b/>
                <w:bCs/>
                <w:color w:val="000000"/>
                <w:sz w:val="20"/>
                <w:szCs w:val="20"/>
                <w:lang w:val="cs-CZ" w:eastAsia="cs-CZ"/>
              </w:rPr>
              <w:t>2012</w:t>
            </w:r>
          </w:p>
        </w:tc>
        <w:tc>
          <w:tcPr>
            <w:tcW w:w="1312"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2E1968A6" w14:textId="77777777" w:rsidR="00CB2594" w:rsidRPr="007434DA" w:rsidRDefault="00CB2594" w:rsidP="004A57B3">
            <w:pPr>
              <w:spacing w:line="240" w:lineRule="atLeast"/>
              <w:jc w:val="center"/>
              <w:rPr>
                <w:rFonts w:cs="Times New Roman"/>
                <w:b/>
                <w:bCs/>
                <w:color w:val="000000"/>
                <w:sz w:val="20"/>
                <w:szCs w:val="20"/>
                <w:lang w:val="cs-CZ" w:eastAsia="cs-CZ"/>
              </w:rPr>
            </w:pPr>
            <w:r w:rsidRPr="007434DA">
              <w:rPr>
                <w:rFonts w:cs="Times New Roman"/>
                <w:b/>
                <w:bCs/>
                <w:color w:val="000000"/>
                <w:sz w:val="20"/>
                <w:szCs w:val="20"/>
                <w:lang w:val="cs-CZ" w:eastAsia="cs-CZ"/>
              </w:rPr>
              <w:t>2013</w:t>
            </w:r>
          </w:p>
        </w:tc>
        <w:tc>
          <w:tcPr>
            <w:tcW w:w="1396"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1FD07675" w14:textId="77777777" w:rsidR="00CB2594" w:rsidRPr="007434DA" w:rsidRDefault="00CB2594" w:rsidP="004A57B3">
            <w:pPr>
              <w:spacing w:line="240" w:lineRule="atLeast"/>
              <w:jc w:val="center"/>
              <w:rPr>
                <w:rFonts w:cs="Times New Roman"/>
                <w:b/>
                <w:bCs/>
                <w:color w:val="000000"/>
                <w:sz w:val="20"/>
                <w:szCs w:val="20"/>
                <w:lang w:val="cs-CZ" w:eastAsia="cs-CZ"/>
              </w:rPr>
            </w:pPr>
            <w:r w:rsidRPr="007434DA">
              <w:rPr>
                <w:rFonts w:cs="Times New Roman"/>
                <w:b/>
                <w:bCs/>
                <w:color w:val="000000"/>
                <w:sz w:val="20"/>
                <w:szCs w:val="20"/>
                <w:lang w:val="cs-CZ" w:eastAsia="cs-CZ"/>
              </w:rPr>
              <w:t>2014</w:t>
            </w:r>
          </w:p>
        </w:tc>
        <w:tc>
          <w:tcPr>
            <w:tcW w:w="1467"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1B5D2B4A" w14:textId="77777777" w:rsidR="00CB2594" w:rsidRPr="007434DA" w:rsidRDefault="00CB2594" w:rsidP="004A57B3">
            <w:pPr>
              <w:spacing w:line="240" w:lineRule="atLeast"/>
              <w:jc w:val="center"/>
              <w:rPr>
                <w:rFonts w:cs="Times New Roman"/>
                <w:b/>
                <w:bCs/>
                <w:color w:val="000000"/>
                <w:sz w:val="20"/>
                <w:szCs w:val="20"/>
                <w:lang w:val="cs-CZ" w:eastAsia="cs-CZ"/>
              </w:rPr>
            </w:pPr>
            <w:r w:rsidRPr="007434DA">
              <w:rPr>
                <w:rFonts w:cs="Times New Roman"/>
                <w:b/>
                <w:bCs/>
                <w:color w:val="000000"/>
                <w:sz w:val="20"/>
                <w:szCs w:val="20"/>
                <w:lang w:val="cs-CZ" w:eastAsia="cs-CZ"/>
              </w:rPr>
              <w:t>2015</w:t>
            </w:r>
          </w:p>
        </w:tc>
        <w:tc>
          <w:tcPr>
            <w:tcW w:w="1305" w:type="dxa"/>
            <w:tcBorders>
              <w:top w:val="nil"/>
              <w:left w:val="nil"/>
              <w:bottom w:val="single" w:sz="8" w:space="0" w:color="auto"/>
              <w:right w:val="double" w:sz="6" w:space="0" w:color="auto"/>
            </w:tcBorders>
            <w:tcMar>
              <w:top w:w="0" w:type="dxa"/>
              <w:left w:w="70" w:type="dxa"/>
              <w:bottom w:w="0" w:type="dxa"/>
              <w:right w:w="70" w:type="dxa"/>
            </w:tcMar>
            <w:vAlign w:val="center"/>
            <w:hideMark/>
          </w:tcPr>
          <w:p w14:paraId="605285FB" w14:textId="77777777" w:rsidR="00CB2594" w:rsidRPr="007434DA" w:rsidRDefault="00CB2594" w:rsidP="004A57B3">
            <w:pPr>
              <w:spacing w:line="240" w:lineRule="atLeast"/>
              <w:jc w:val="center"/>
              <w:rPr>
                <w:rFonts w:cs="Times New Roman"/>
                <w:b/>
                <w:bCs/>
                <w:color w:val="000000"/>
                <w:sz w:val="20"/>
                <w:szCs w:val="20"/>
                <w:lang w:val="cs-CZ" w:eastAsia="cs-CZ"/>
              </w:rPr>
            </w:pPr>
            <w:r w:rsidRPr="007434DA">
              <w:rPr>
                <w:rFonts w:cs="Times New Roman"/>
                <w:b/>
                <w:bCs/>
                <w:color w:val="000000"/>
                <w:sz w:val="20"/>
                <w:szCs w:val="20"/>
                <w:lang w:val="cs-CZ" w:eastAsia="cs-CZ"/>
              </w:rPr>
              <w:t>2016</w:t>
            </w:r>
          </w:p>
        </w:tc>
      </w:tr>
      <w:tr w:rsidR="00CB2594" w:rsidRPr="007434DA" w14:paraId="2A5F8E0E" w14:textId="77777777" w:rsidTr="004A57B3">
        <w:trPr>
          <w:trHeight w:val="300"/>
        </w:trPr>
        <w:tc>
          <w:tcPr>
            <w:tcW w:w="2255" w:type="dxa"/>
            <w:tcBorders>
              <w:top w:val="nil"/>
              <w:left w:val="double" w:sz="6" w:space="0" w:color="auto"/>
              <w:bottom w:val="single" w:sz="8" w:space="0" w:color="auto"/>
              <w:right w:val="single" w:sz="8" w:space="0" w:color="auto"/>
            </w:tcBorders>
            <w:tcMar>
              <w:top w:w="0" w:type="dxa"/>
              <w:left w:w="70" w:type="dxa"/>
              <w:bottom w:w="0" w:type="dxa"/>
              <w:right w:w="70" w:type="dxa"/>
            </w:tcMar>
            <w:vAlign w:val="center"/>
            <w:hideMark/>
          </w:tcPr>
          <w:p w14:paraId="43083457" w14:textId="77777777" w:rsidR="00CB2594" w:rsidRPr="007434DA" w:rsidRDefault="00CB2594" w:rsidP="004A57B3">
            <w:pPr>
              <w:spacing w:line="240" w:lineRule="atLeast"/>
              <w:rPr>
                <w:rFonts w:cs="Times New Roman"/>
                <w:b/>
                <w:bCs/>
                <w:color w:val="000000"/>
                <w:sz w:val="20"/>
                <w:szCs w:val="20"/>
                <w:lang w:val="cs-CZ" w:eastAsia="cs-CZ"/>
              </w:rPr>
            </w:pPr>
            <w:r w:rsidRPr="007434DA">
              <w:rPr>
                <w:rFonts w:cs="Times New Roman"/>
                <w:b/>
                <w:bCs/>
                <w:color w:val="000000"/>
                <w:sz w:val="20"/>
                <w:szCs w:val="20"/>
                <w:lang w:val="cs-CZ" w:eastAsia="cs-CZ"/>
              </w:rPr>
              <w:t>Červené maso</w:t>
            </w:r>
          </w:p>
        </w:tc>
        <w:tc>
          <w:tcPr>
            <w:tcW w:w="1312" w:type="dxa"/>
            <w:tcBorders>
              <w:top w:val="nil"/>
              <w:left w:val="nil"/>
              <w:bottom w:val="single" w:sz="8" w:space="0" w:color="auto"/>
              <w:right w:val="single" w:sz="8" w:space="0" w:color="auto"/>
            </w:tcBorders>
            <w:tcMar>
              <w:top w:w="0" w:type="dxa"/>
              <w:left w:w="70" w:type="dxa"/>
              <w:bottom w:w="0" w:type="dxa"/>
              <w:right w:w="70" w:type="dxa"/>
            </w:tcMar>
            <w:vAlign w:val="center"/>
          </w:tcPr>
          <w:p w14:paraId="2CCCD7DB" w14:textId="77777777" w:rsidR="00CB2594" w:rsidRPr="007434DA" w:rsidRDefault="00CB2594" w:rsidP="004A57B3">
            <w:pPr>
              <w:spacing w:line="240" w:lineRule="atLeast"/>
              <w:jc w:val="right"/>
              <w:rPr>
                <w:rFonts w:cs="Times New Roman"/>
                <w:color w:val="000000"/>
                <w:sz w:val="20"/>
                <w:szCs w:val="20"/>
                <w:lang w:val="cs-CZ" w:eastAsia="cs-CZ"/>
              </w:rPr>
            </w:pPr>
            <w:r w:rsidRPr="007434DA">
              <w:rPr>
                <w:rFonts w:cs="Times New Roman"/>
                <w:color w:val="000000"/>
                <w:sz w:val="20"/>
                <w:szCs w:val="20"/>
                <w:lang w:val="cs-CZ" w:eastAsia="cs-CZ"/>
              </w:rPr>
              <w:t>384/340/18</w:t>
            </w:r>
          </w:p>
        </w:tc>
        <w:tc>
          <w:tcPr>
            <w:tcW w:w="1312" w:type="dxa"/>
            <w:tcBorders>
              <w:top w:val="nil"/>
              <w:left w:val="nil"/>
              <w:bottom w:val="single" w:sz="8" w:space="0" w:color="auto"/>
              <w:right w:val="single" w:sz="8" w:space="0" w:color="auto"/>
            </w:tcBorders>
            <w:tcMar>
              <w:top w:w="0" w:type="dxa"/>
              <w:left w:w="70" w:type="dxa"/>
              <w:bottom w:w="0" w:type="dxa"/>
              <w:right w:w="70" w:type="dxa"/>
            </w:tcMar>
            <w:vAlign w:val="center"/>
          </w:tcPr>
          <w:p w14:paraId="4981B5C3" w14:textId="77777777" w:rsidR="00CB2594" w:rsidRPr="007434DA" w:rsidRDefault="00CB2594" w:rsidP="004A57B3">
            <w:pPr>
              <w:spacing w:line="240" w:lineRule="atLeast"/>
              <w:jc w:val="right"/>
              <w:rPr>
                <w:rFonts w:cs="Times New Roman"/>
                <w:color w:val="000000"/>
                <w:sz w:val="20"/>
                <w:szCs w:val="20"/>
                <w:lang w:val="cs-CZ" w:eastAsia="cs-CZ"/>
              </w:rPr>
            </w:pPr>
            <w:r w:rsidRPr="007434DA">
              <w:rPr>
                <w:rFonts w:cs="Times New Roman"/>
                <w:color w:val="000000"/>
                <w:sz w:val="20"/>
                <w:szCs w:val="20"/>
                <w:lang w:val="cs-CZ" w:eastAsia="cs-CZ"/>
              </w:rPr>
              <w:t>384/328/16</w:t>
            </w:r>
          </w:p>
        </w:tc>
        <w:tc>
          <w:tcPr>
            <w:tcW w:w="1396" w:type="dxa"/>
            <w:tcBorders>
              <w:top w:val="nil"/>
              <w:left w:val="nil"/>
              <w:bottom w:val="single" w:sz="8" w:space="0" w:color="auto"/>
              <w:right w:val="single" w:sz="8" w:space="0" w:color="auto"/>
            </w:tcBorders>
            <w:tcMar>
              <w:top w:w="0" w:type="dxa"/>
              <w:left w:w="70" w:type="dxa"/>
              <w:bottom w:w="0" w:type="dxa"/>
              <w:right w:w="70" w:type="dxa"/>
            </w:tcMar>
            <w:vAlign w:val="center"/>
          </w:tcPr>
          <w:p w14:paraId="1026E571" w14:textId="77777777" w:rsidR="00CB2594" w:rsidRPr="007434DA" w:rsidRDefault="00CB2594" w:rsidP="004A57B3">
            <w:pPr>
              <w:spacing w:line="240" w:lineRule="atLeast"/>
              <w:jc w:val="right"/>
              <w:rPr>
                <w:rFonts w:cs="Times New Roman"/>
                <w:color w:val="000000"/>
                <w:sz w:val="20"/>
                <w:szCs w:val="20"/>
                <w:lang w:val="cs-CZ" w:eastAsia="cs-CZ"/>
              </w:rPr>
            </w:pPr>
            <w:r w:rsidRPr="007434DA">
              <w:rPr>
                <w:rFonts w:cs="Times New Roman"/>
                <w:color w:val="000000"/>
                <w:sz w:val="20"/>
                <w:szCs w:val="20"/>
                <w:lang w:val="cs-CZ" w:eastAsia="cs-CZ"/>
              </w:rPr>
              <w:t>399/369/38</w:t>
            </w:r>
          </w:p>
        </w:tc>
        <w:tc>
          <w:tcPr>
            <w:tcW w:w="1467" w:type="dxa"/>
            <w:tcBorders>
              <w:top w:val="nil"/>
              <w:left w:val="nil"/>
              <w:bottom w:val="single" w:sz="8" w:space="0" w:color="auto"/>
              <w:right w:val="single" w:sz="8" w:space="0" w:color="auto"/>
            </w:tcBorders>
            <w:tcMar>
              <w:top w:w="0" w:type="dxa"/>
              <w:left w:w="70" w:type="dxa"/>
              <w:bottom w:w="0" w:type="dxa"/>
              <w:right w:w="70" w:type="dxa"/>
            </w:tcMar>
            <w:vAlign w:val="center"/>
          </w:tcPr>
          <w:p w14:paraId="3F3CCD3C" w14:textId="77777777" w:rsidR="00CB2594" w:rsidRPr="007434DA" w:rsidRDefault="00CB2594" w:rsidP="004A57B3">
            <w:pPr>
              <w:spacing w:line="240" w:lineRule="atLeast"/>
              <w:jc w:val="right"/>
              <w:rPr>
                <w:rFonts w:cs="Times New Roman"/>
                <w:color w:val="000000"/>
                <w:sz w:val="20"/>
                <w:szCs w:val="20"/>
                <w:lang w:val="cs-CZ" w:eastAsia="cs-CZ"/>
              </w:rPr>
            </w:pPr>
            <w:r w:rsidRPr="007434DA">
              <w:rPr>
                <w:rFonts w:cs="Times New Roman"/>
                <w:color w:val="000000"/>
                <w:sz w:val="20"/>
                <w:szCs w:val="20"/>
                <w:lang w:val="cs-CZ" w:eastAsia="cs-CZ"/>
              </w:rPr>
              <w:t>399/351/70</w:t>
            </w:r>
          </w:p>
        </w:tc>
        <w:tc>
          <w:tcPr>
            <w:tcW w:w="1305" w:type="dxa"/>
            <w:tcBorders>
              <w:top w:val="nil"/>
              <w:left w:val="nil"/>
              <w:bottom w:val="single" w:sz="8" w:space="0" w:color="auto"/>
              <w:right w:val="double" w:sz="6" w:space="0" w:color="auto"/>
            </w:tcBorders>
            <w:tcMar>
              <w:top w:w="0" w:type="dxa"/>
              <w:left w:w="70" w:type="dxa"/>
              <w:bottom w:w="0" w:type="dxa"/>
              <w:right w:w="70" w:type="dxa"/>
            </w:tcMar>
            <w:vAlign w:val="center"/>
          </w:tcPr>
          <w:p w14:paraId="1A9A3E95" w14:textId="77777777" w:rsidR="00CB2594" w:rsidRPr="007434DA" w:rsidRDefault="00CB2594" w:rsidP="004A57B3">
            <w:pPr>
              <w:spacing w:line="240" w:lineRule="atLeast"/>
              <w:jc w:val="right"/>
              <w:rPr>
                <w:rFonts w:cs="Times New Roman"/>
                <w:color w:val="000000"/>
                <w:sz w:val="20"/>
                <w:szCs w:val="20"/>
                <w:lang w:val="cs-CZ" w:eastAsia="cs-CZ"/>
              </w:rPr>
            </w:pPr>
            <w:r w:rsidRPr="007434DA">
              <w:rPr>
                <w:rFonts w:cs="Times New Roman"/>
                <w:color w:val="000000"/>
                <w:sz w:val="20"/>
                <w:szCs w:val="20"/>
                <w:lang w:val="cs-CZ" w:eastAsia="cs-CZ"/>
              </w:rPr>
              <w:t>324/270/9</w:t>
            </w:r>
          </w:p>
        </w:tc>
      </w:tr>
      <w:tr w:rsidR="00CB2594" w:rsidRPr="007434DA" w14:paraId="3357ADA9" w14:textId="77777777" w:rsidTr="004A57B3">
        <w:trPr>
          <w:trHeight w:val="292"/>
        </w:trPr>
        <w:tc>
          <w:tcPr>
            <w:tcW w:w="2255" w:type="dxa"/>
            <w:tcBorders>
              <w:top w:val="nil"/>
              <w:left w:val="double" w:sz="6" w:space="0" w:color="auto"/>
              <w:bottom w:val="single" w:sz="8" w:space="0" w:color="000000"/>
              <w:right w:val="single" w:sz="8" w:space="0" w:color="auto"/>
            </w:tcBorders>
            <w:tcMar>
              <w:top w:w="0" w:type="dxa"/>
              <w:left w:w="70" w:type="dxa"/>
              <w:bottom w:w="0" w:type="dxa"/>
              <w:right w:w="70" w:type="dxa"/>
            </w:tcMar>
            <w:vAlign w:val="center"/>
            <w:hideMark/>
          </w:tcPr>
          <w:p w14:paraId="2ED98435" w14:textId="77777777" w:rsidR="00CB2594" w:rsidRPr="007434DA" w:rsidRDefault="00CB2594" w:rsidP="004A57B3">
            <w:pPr>
              <w:spacing w:line="240" w:lineRule="atLeast"/>
              <w:rPr>
                <w:rFonts w:cs="Times New Roman"/>
                <w:b/>
                <w:bCs/>
                <w:color w:val="000000"/>
                <w:sz w:val="20"/>
                <w:szCs w:val="20"/>
                <w:lang w:val="cs-CZ" w:eastAsia="cs-CZ"/>
              </w:rPr>
            </w:pPr>
            <w:r w:rsidRPr="007434DA">
              <w:rPr>
                <w:rFonts w:cs="Times New Roman"/>
                <w:b/>
                <w:bCs/>
                <w:color w:val="000000"/>
                <w:sz w:val="20"/>
                <w:szCs w:val="20"/>
                <w:lang w:val="cs-CZ" w:eastAsia="cs-CZ"/>
              </w:rPr>
              <w:t>Bílé maso</w:t>
            </w:r>
          </w:p>
        </w:tc>
        <w:tc>
          <w:tcPr>
            <w:tcW w:w="1312" w:type="dxa"/>
            <w:tcBorders>
              <w:top w:val="nil"/>
              <w:left w:val="nil"/>
              <w:bottom w:val="single" w:sz="8" w:space="0" w:color="auto"/>
              <w:right w:val="single" w:sz="8" w:space="0" w:color="auto"/>
            </w:tcBorders>
            <w:tcMar>
              <w:top w:w="0" w:type="dxa"/>
              <w:left w:w="70" w:type="dxa"/>
              <w:bottom w:w="0" w:type="dxa"/>
              <w:right w:w="70" w:type="dxa"/>
            </w:tcMar>
            <w:vAlign w:val="center"/>
          </w:tcPr>
          <w:p w14:paraId="69B1A5EA" w14:textId="77777777" w:rsidR="00CB2594" w:rsidRPr="007434DA" w:rsidRDefault="00CB2594" w:rsidP="004A57B3">
            <w:pPr>
              <w:spacing w:line="240" w:lineRule="atLeast"/>
              <w:jc w:val="right"/>
              <w:rPr>
                <w:rFonts w:cs="Times New Roman"/>
                <w:color w:val="000000"/>
                <w:sz w:val="20"/>
                <w:szCs w:val="20"/>
                <w:lang w:val="cs-CZ" w:eastAsia="cs-CZ"/>
              </w:rPr>
            </w:pPr>
            <w:r w:rsidRPr="007434DA">
              <w:rPr>
                <w:rFonts w:cs="Times New Roman"/>
                <w:color w:val="000000"/>
                <w:sz w:val="20"/>
                <w:szCs w:val="20"/>
                <w:lang w:val="cs-CZ" w:eastAsia="cs-CZ"/>
              </w:rPr>
              <w:t>72/54/0</w:t>
            </w:r>
          </w:p>
        </w:tc>
        <w:tc>
          <w:tcPr>
            <w:tcW w:w="1312" w:type="dxa"/>
            <w:tcBorders>
              <w:top w:val="nil"/>
              <w:left w:val="nil"/>
              <w:bottom w:val="single" w:sz="8" w:space="0" w:color="auto"/>
              <w:right w:val="single" w:sz="8" w:space="0" w:color="auto"/>
            </w:tcBorders>
            <w:tcMar>
              <w:top w:w="0" w:type="dxa"/>
              <w:left w:w="70" w:type="dxa"/>
              <w:bottom w:w="0" w:type="dxa"/>
              <w:right w:w="70" w:type="dxa"/>
            </w:tcMar>
            <w:vAlign w:val="center"/>
          </w:tcPr>
          <w:p w14:paraId="5F36F8D8" w14:textId="77777777" w:rsidR="00CB2594" w:rsidRPr="007434DA" w:rsidRDefault="00CB2594" w:rsidP="004A57B3">
            <w:pPr>
              <w:spacing w:line="240" w:lineRule="atLeast"/>
              <w:jc w:val="right"/>
              <w:rPr>
                <w:rFonts w:cs="Times New Roman"/>
                <w:color w:val="000000"/>
                <w:sz w:val="20"/>
                <w:szCs w:val="20"/>
                <w:lang w:val="cs-CZ" w:eastAsia="cs-CZ"/>
              </w:rPr>
            </w:pPr>
            <w:r w:rsidRPr="007434DA">
              <w:rPr>
                <w:rFonts w:cs="Times New Roman"/>
                <w:color w:val="000000"/>
                <w:sz w:val="20"/>
                <w:szCs w:val="20"/>
                <w:lang w:val="cs-CZ" w:eastAsia="cs-CZ"/>
              </w:rPr>
              <w:t>69/54/0</w:t>
            </w:r>
          </w:p>
        </w:tc>
        <w:tc>
          <w:tcPr>
            <w:tcW w:w="1396" w:type="dxa"/>
            <w:tcBorders>
              <w:top w:val="nil"/>
              <w:left w:val="nil"/>
              <w:bottom w:val="single" w:sz="8" w:space="0" w:color="auto"/>
              <w:right w:val="single" w:sz="8" w:space="0" w:color="auto"/>
            </w:tcBorders>
            <w:tcMar>
              <w:top w:w="0" w:type="dxa"/>
              <w:left w:w="70" w:type="dxa"/>
              <w:bottom w:w="0" w:type="dxa"/>
              <w:right w:w="70" w:type="dxa"/>
            </w:tcMar>
            <w:vAlign w:val="center"/>
          </w:tcPr>
          <w:p w14:paraId="5AF55374" w14:textId="77777777" w:rsidR="00CB2594" w:rsidRPr="007434DA" w:rsidRDefault="00CB2594" w:rsidP="004A57B3">
            <w:pPr>
              <w:spacing w:line="240" w:lineRule="atLeast"/>
              <w:jc w:val="right"/>
              <w:rPr>
                <w:rFonts w:cs="Times New Roman"/>
                <w:color w:val="000000"/>
                <w:sz w:val="20"/>
                <w:szCs w:val="20"/>
                <w:lang w:val="cs-CZ" w:eastAsia="cs-CZ"/>
              </w:rPr>
            </w:pPr>
            <w:r w:rsidRPr="007434DA">
              <w:rPr>
                <w:rFonts w:cs="Times New Roman"/>
                <w:color w:val="000000"/>
                <w:sz w:val="20"/>
                <w:szCs w:val="20"/>
                <w:lang w:val="cs-CZ" w:eastAsia="cs-CZ"/>
              </w:rPr>
              <w:t>61/55/0</w:t>
            </w:r>
          </w:p>
        </w:tc>
        <w:tc>
          <w:tcPr>
            <w:tcW w:w="1467" w:type="dxa"/>
            <w:tcBorders>
              <w:top w:val="nil"/>
              <w:left w:val="nil"/>
              <w:bottom w:val="single" w:sz="8" w:space="0" w:color="auto"/>
              <w:right w:val="single" w:sz="8" w:space="0" w:color="auto"/>
            </w:tcBorders>
            <w:tcMar>
              <w:top w:w="0" w:type="dxa"/>
              <w:left w:w="70" w:type="dxa"/>
              <w:bottom w:w="0" w:type="dxa"/>
              <w:right w:w="70" w:type="dxa"/>
            </w:tcMar>
            <w:vAlign w:val="center"/>
          </w:tcPr>
          <w:p w14:paraId="108F72F1" w14:textId="77777777" w:rsidR="00CB2594" w:rsidRPr="007434DA" w:rsidRDefault="00CB2594" w:rsidP="004A57B3">
            <w:pPr>
              <w:spacing w:line="240" w:lineRule="atLeast"/>
              <w:jc w:val="right"/>
              <w:rPr>
                <w:rFonts w:cs="Times New Roman"/>
                <w:color w:val="000000"/>
                <w:sz w:val="20"/>
                <w:szCs w:val="20"/>
                <w:lang w:val="cs-CZ" w:eastAsia="cs-CZ"/>
              </w:rPr>
            </w:pPr>
            <w:r w:rsidRPr="007434DA">
              <w:rPr>
                <w:rFonts w:cs="Times New Roman"/>
                <w:color w:val="000000"/>
                <w:sz w:val="20"/>
                <w:szCs w:val="20"/>
                <w:lang w:val="cs-CZ" w:eastAsia="cs-CZ"/>
              </w:rPr>
              <w:t>51/38/0</w:t>
            </w:r>
          </w:p>
        </w:tc>
        <w:tc>
          <w:tcPr>
            <w:tcW w:w="1305" w:type="dxa"/>
            <w:tcBorders>
              <w:top w:val="nil"/>
              <w:left w:val="nil"/>
              <w:bottom w:val="single" w:sz="8" w:space="0" w:color="auto"/>
              <w:right w:val="double" w:sz="6" w:space="0" w:color="auto"/>
            </w:tcBorders>
            <w:tcMar>
              <w:top w:w="0" w:type="dxa"/>
              <w:left w:w="70" w:type="dxa"/>
              <w:bottom w:w="0" w:type="dxa"/>
              <w:right w:w="70" w:type="dxa"/>
            </w:tcMar>
            <w:vAlign w:val="center"/>
          </w:tcPr>
          <w:p w14:paraId="6A394D4F" w14:textId="77777777" w:rsidR="00CB2594" w:rsidRPr="007434DA" w:rsidRDefault="00CB2594" w:rsidP="004A57B3">
            <w:pPr>
              <w:spacing w:line="240" w:lineRule="atLeast"/>
              <w:jc w:val="right"/>
              <w:rPr>
                <w:rFonts w:cs="Times New Roman"/>
                <w:color w:val="000000"/>
                <w:sz w:val="20"/>
                <w:szCs w:val="20"/>
                <w:lang w:val="cs-CZ" w:eastAsia="cs-CZ"/>
              </w:rPr>
            </w:pPr>
            <w:r w:rsidRPr="007434DA">
              <w:rPr>
                <w:rFonts w:cs="Times New Roman"/>
                <w:color w:val="000000"/>
                <w:sz w:val="20"/>
                <w:szCs w:val="20"/>
                <w:lang w:val="cs-CZ" w:eastAsia="cs-CZ"/>
              </w:rPr>
              <w:t>51/35/0</w:t>
            </w:r>
          </w:p>
        </w:tc>
      </w:tr>
      <w:tr w:rsidR="00CB2594" w:rsidRPr="007434DA" w14:paraId="1CD0D280" w14:textId="77777777" w:rsidTr="004A57B3">
        <w:trPr>
          <w:trHeight w:val="284"/>
        </w:trPr>
        <w:tc>
          <w:tcPr>
            <w:tcW w:w="2255" w:type="dxa"/>
            <w:tcBorders>
              <w:top w:val="nil"/>
              <w:left w:val="double" w:sz="6" w:space="0" w:color="auto"/>
              <w:bottom w:val="single" w:sz="8" w:space="0" w:color="000000"/>
              <w:right w:val="single" w:sz="8" w:space="0" w:color="auto"/>
            </w:tcBorders>
            <w:tcMar>
              <w:top w:w="0" w:type="dxa"/>
              <w:left w:w="70" w:type="dxa"/>
              <w:bottom w:w="0" w:type="dxa"/>
              <w:right w:w="70" w:type="dxa"/>
            </w:tcMar>
            <w:vAlign w:val="center"/>
            <w:hideMark/>
          </w:tcPr>
          <w:p w14:paraId="45ADFDB1" w14:textId="77777777" w:rsidR="00CB2594" w:rsidRPr="007434DA" w:rsidRDefault="00CB2594" w:rsidP="004A57B3">
            <w:pPr>
              <w:spacing w:line="240" w:lineRule="atLeast"/>
              <w:rPr>
                <w:rFonts w:cs="Times New Roman"/>
                <w:b/>
                <w:bCs/>
                <w:color w:val="000000"/>
                <w:sz w:val="20"/>
                <w:szCs w:val="20"/>
                <w:lang w:val="cs-CZ" w:eastAsia="cs-CZ"/>
              </w:rPr>
            </w:pPr>
            <w:r w:rsidRPr="007434DA">
              <w:rPr>
                <w:rFonts w:cs="Times New Roman"/>
                <w:b/>
                <w:bCs/>
                <w:color w:val="000000"/>
                <w:sz w:val="20"/>
                <w:szCs w:val="20"/>
                <w:lang w:val="cs-CZ" w:eastAsia="cs-CZ"/>
              </w:rPr>
              <w:t>Ryby</w:t>
            </w:r>
          </w:p>
        </w:tc>
        <w:tc>
          <w:tcPr>
            <w:tcW w:w="1312" w:type="dxa"/>
            <w:tcBorders>
              <w:top w:val="nil"/>
              <w:left w:val="nil"/>
              <w:bottom w:val="single" w:sz="8" w:space="0" w:color="auto"/>
              <w:right w:val="single" w:sz="8" w:space="0" w:color="auto"/>
            </w:tcBorders>
            <w:tcMar>
              <w:top w:w="0" w:type="dxa"/>
              <w:left w:w="70" w:type="dxa"/>
              <w:bottom w:w="0" w:type="dxa"/>
              <w:right w:w="70" w:type="dxa"/>
            </w:tcMar>
            <w:vAlign w:val="center"/>
          </w:tcPr>
          <w:p w14:paraId="3EEA4C36" w14:textId="77777777" w:rsidR="00CB2594" w:rsidRPr="007434DA" w:rsidRDefault="00CB2594" w:rsidP="004A57B3">
            <w:pPr>
              <w:spacing w:line="240" w:lineRule="atLeast"/>
              <w:jc w:val="right"/>
              <w:rPr>
                <w:rFonts w:cs="Times New Roman"/>
                <w:color w:val="000000"/>
                <w:sz w:val="20"/>
                <w:szCs w:val="20"/>
                <w:lang w:val="cs-CZ" w:eastAsia="cs-CZ"/>
              </w:rPr>
            </w:pPr>
            <w:r w:rsidRPr="007434DA">
              <w:rPr>
                <w:rFonts w:cs="Times New Roman"/>
                <w:color w:val="000000"/>
                <w:sz w:val="20"/>
                <w:szCs w:val="20"/>
                <w:lang w:val="cs-CZ" w:eastAsia="cs-CZ"/>
              </w:rPr>
              <w:t>30/30/0</w:t>
            </w:r>
          </w:p>
        </w:tc>
        <w:tc>
          <w:tcPr>
            <w:tcW w:w="1312" w:type="dxa"/>
            <w:tcBorders>
              <w:top w:val="nil"/>
              <w:left w:val="nil"/>
              <w:bottom w:val="single" w:sz="8" w:space="0" w:color="auto"/>
              <w:right w:val="single" w:sz="8" w:space="0" w:color="auto"/>
            </w:tcBorders>
            <w:tcMar>
              <w:top w:w="0" w:type="dxa"/>
              <w:left w:w="70" w:type="dxa"/>
              <w:bottom w:w="0" w:type="dxa"/>
              <w:right w:w="70" w:type="dxa"/>
            </w:tcMar>
            <w:vAlign w:val="center"/>
          </w:tcPr>
          <w:p w14:paraId="3D7A9673" w14:textId="77777777" w:rsidR="00CB2594" w:rsidRPr="007434DA" w:rsidRDefault="00CB2594" w:rsidP="004A57B3">
            <w:pPr>
              <w:spacing w:line="240" w:lineRule="atLeast"/>
              <w:jc w:val="right"/>
              <w:rPr>
                <w:rFonts w:cs="Times New Roman"/>
                <w:color w:val="000000"/>
                <w:sz w:val="20"/>
                <w:szCs w:val="20"/>
                <w:lang w:val="cs-CZ" w:eastAsia="cs-CZ"/>
              </w:rPr>
            </w:pPr>
            <w:r w:rsidRPr="007434DA">
              <w:rPr>
                <w:rFonts w:cs="Times New Roman"/>
                <w:color w:val="000000"/>
                <w:sz w:val="20"/>
                <w:szCs w:val="20"/>
                <w:lang w:val="cs-CZ" w:eastAsia="cs-CZ"/>
              </w:rPr>
              <w:t>30/30/0</w:t>
            </w:r>
          </w:p>
        </w:tc>
        <w:tc>
          <w:tcPr>
            <w:tcW w:w="1396" w:type="dxa"/>
            <w:tcBorders>
              <w:top w:val="nil"/>
              <w:left w:val="nil"/>
              <w:bottom w:val="single" w:sz="8" w:space="0" w:color="auto"/>
              <w:right w:val="single" w:sz="8" w:space="0" w:color="auto"/>
            </w:tcBorders>
            <w:tcMar>
              <w:top w:w="0" w:type="dxa"/>
              <w:left w:w="70" w:type="dxa"/>
              <w:bottom w:w="0" w:type="dxa"/>
              <w:right w:w="70" w:type="dxa"/>
            </w:tcMar>
            <w:vAlign w:val="center"/>
          </w:tcPr>
          <w:p w14:paraId="22EA83A9" w14:textId="77777777" w:rsidR="00CB2594" w:rsidRPr="007434DA" w:rsidRDefault="00CB2594" w:rsidP="004A57B3">
            <w:pPr>
              <w:spacing w:line="240" w:lineRule="atLeast"/>
              <w:jc w:val="right"/>
              <w:rPr>
                <w:rFonts w:cs="Times New Roman"/>
                <w:color w:val="000000"/>
                <w:sz w:val="20"/>
                <w:szCs w:val="20"/>
                <w:lang w:val="cs-CZ" w:eastAsia="cs-CZ"/>
              </w:rPr>
            </w:pPr>
            <w:r w:rsidRPr="007434DA">
              <w:rPr>
                <w:rFonts w:cs="Times New Roman"/>
                <w:color w:val="000000"/>
                <w:sz w:val="20"/>
                <w:szCs w:val="20"/>
                <w:lang w:val="cs-CZ" w:eastAsia="cs-CZ"/>
              </w:rPr>
              <w:t>25/25/0</w:t>
            </w:r>
          </w:p>
        </w:tc>
        <w:tc>
          <w:tcPr>
            <w:tcW w:w="1467" w:type="dxa"/>
            <w:tcBorders>
              <w:top w:val="nil"/>
              <w:left w:val="nil"/>
              <w:bottom w:val="single" w:sz="8" w:space="0" w:color="auto"/>
              <w:right w:val="single" w:sz="8" w:space="0" w:color="auto"/>
            </w:tcBorders>
            <w:tcMar>
              <w:top w:w="0" w:type="dxa"/>
              <w:left w:w="70" w:type="dxa"/>
              <w:bottom w:w="0" w:type="dxa"/>
              <w:right w:w="70" w:type="dxa"/>
            </w:tcMar>
            <w:vAlign w:val="center"/>
          </w:tcPr>
          <w:p w14:paraId="19C9A19F" w14:textId="77777777" w:rsidR="00CB2594" w:rsidRPr="007434DA" w:rsidRDefault="00CB2594" w:rsidP="004A57B3">
            <w:pPr>
              <w:spacing w:line="240" w:lineRule="atLeast"/>
              <w:jc w:val="right"/>
              <w:rPr>
                <w:rFonts w:cs="Times New Roman"/>
                <w:color w:val="000000"/>
                <w:sz w:val="20"/>
                <w:szCs w:val="20"/>
                <w:lang w:val="cs-CZ" w:eastAsia="cs-CZ"/>
              </w:rPr>
            </w:pPr>
            <w:r w:rsidRPr="007434DA">
              <w:rPr>
                <w:rFonts w:cs="Times New Roman"/>
                <w:color w:val="000000"/>
                <w:sz w:val="20"/>
                <w:szCs w:val="20"/>
                <w:lang w:val="cs-CZ" w:eastAsia="cs-CZ"/>
              </w:rPr>
              <w:t>22/22/0</w:t>
            </w:r>
          </w:p>
        </w:tc>
        <w:tc>
          <w:tcPr>
            <w:tcW w:w="1305" w:type="dxa"/>
            <w:tcBorders>
              <w:top w:val="nil"/>
              <w:left w:val="nil"/>
              <w:bottom w:val="single" w:sz="8" w:space="0" w:color="auto"/>
              <w:right w:val="double" w:sz="6" w:space="0" w:color="auto"/>
            </w:tcBorders>
            <w:tcMar>
              <w:top w:w="0" w:type="dxa"/>
              <w:left w:w="70" w:type="dxa"/>
              <w:bottom w:w="0" w:type="dxa"/>
              <w:right w:w="70" w:type="dxa"/>
            </w:tcMar>
            <w:vAlign w:val="center"/>
          </w:tcPr>
          <w:p w14:paraId="6749FF37" w14:textId="77777777" w:rsidR="00CB2594" w:rsidRPr="007434DA" w:rsidRDefault="00CB2594" w:rsidP="004A57B3">
            <w:pPr>
              <w:spacing w:line="240" w:lineRule="atLeast"/>
              <w:jc w:val="right"/>
              <w:rPr>
                <w:rFonts w:cs="Times New Roman"/>
                <w:color w:val="000000"/>
                <w:sz w:val="20"/>
                <w:szCs w:val="20"/>
                <w:lang w:val="cs-CZ" w:eastAsia="cs-CZ"/>
              </w:rPr>
            </w:pPr>
            <w:r w:rsidRPr="007434DA">
              <w:rPr>
                <w:rFonts w:cs="Times New Roman"/>
                <w:color w:val="000000"/>
                <w:sz w:val="20"/>
                <w:szCs w:val="20"/>
                <w:lang w:val="cs-CZ" w:eastAsia="cs-CZ"/>
              </w:rPr>
              <w:t>22/22/0</w:t>
            </w:r>
          </w:p>
        </w:tc>
      </w:tr>
      <w:tr w:rsidR="00CB2594" w:rsidRPr="007434DA" w14:paraId="530FC268" w14:textId="77777777" w:rsidTr="004A57B3">
        <w:trPr>
          <w:trHeight w:val="311"/>
        </w:trPr>
        <w:tc>
          <w:tcPr>
            <w:tcW w:w="2255" w:type="dxa"/>
            <w:tcBorders>
              <w:top w:val="nil"/>
              <w:left w:val="double" w:sz="6" w:space="0" w:color="auto"/>
              <w:bottom w:val="single" w:sz="8" w:space="0" w:color="000000"/>
              <w:right w:val="single" w:sz="8" w:space="0" w:color="auto"/>
            </w:tcBorders>
            <w:tcMar>
              <w:top w:w="0" w:type="dxa"/>
              <w:left w:w="70" w:type="dxa"/>
              <w:bottom w:w="0" w:type="dxa"/>
              <w:right w:w="70" w:type="dxa"/>
            </w:tcMar>
            <w:vAlign w:val="center"/>
          </w:tcPr>
          <w:p w14:paraId="12283319" w14:textId="77777777" w:rsidR="00CB2594" w:rsidRPr="007434DA" w:rsidRDefault="00CB2594" w:rsidP="004A57B3">
            <w:pPr>
              <w:spacing w:line="240" w:lineRule="atLeast"/>
              <w:rPr>
                <w:rFonts w:cs="Times New Roman"/>
                <w:b/>
                <w:bCs/>
                <w:color w:val="000000"/>
                <w:sz w:val="20"/>
                <w:szCs w:val="20"/>
                <w:lang w:val="cs-CZ" w:eastAsia="cs-CZ"/>
              </w:rPr>
            </w:pPr>
            <w:r w:rsidRPr="007434DA">
              <w:rPr>
                <w:rFonts w:cs="Times New Roman"/>
                <w:b/>
                <w:bCs/>
                <w:color w:val="000000"/>
                <w:sz w:val="20"/>
                <w:szCs w:val="20"/>
                <w:lang w:val="cs-CZ" w:eastAsia="cs-CZ"/>
              </w:rPr>
              <w:t>Farmová a lovná zvěř</w:t>
            </w:r>
          </w:p>
        </w:tc>
        <w:tc>
          <w:tcPr>
            <w:tcW w:w="1312" w:type="dxa"/>
            <w:tcBorders>
              <w:top w:val="nil"/>
              <w:left w:val="nil"/>
              <w:bottom w:val="single" w:sz="8" w:space="0" w:color="auto"/>
              <w:right w:val="single" w:sz="8" w:space="0" w:color="auto"/>
            </w:tcBorders>
            <w:tcMar>
              <w:top w:w="0" w:type="dxa"/>
              <w:left w:w="70" w:type="dxa"/>
              <w:bottom w:w="0" w:type="dxa"/>
              <w:right w:w="70" w:type="dxa"/>
            </w:tcMar>
            <w:vAlign w:val="center"/>
          </w:tcPr>
          <w:p w14:paraId="2B3CFB35" w14:textId="77777777" w:rsidR="00CB2594" w:rsidRPr="007434DA" w:rsidRDefault="00CB2594" w:rsidP="004A57B3">
            <w:pPr>
              <w:spacing w:line="240" w:lineRule="atLeast"/>
              <w:jc w:val="right"/>
              <w:rPr>
                <w:rFonts w:cs="Times New Roman"/>
                <w:color w:val="000000"/>
                <w:sz w:val="20"/>
                <w:szCs w:val="20"/>
                <w:lang w:val="cs-CZ" w:eastAsia="cs-CZ"/>
              </w:rPr>
            </w:pPr>
            <w:r w:rsidRPr="007434DA">
              <w:rPr>
                <w:rFonts w:cs="Times New Roman"/>
                <w:color w:val="000000"/>
                <w:sz w:val="20"/>
                <w:szCs w:val="20"/>
                <w:lang w:val="cs-CZ" w:eastAsia="cs-CZ"/>
              </w:rPr>
              <w:t>67/58/5</w:t>
            </w:r>
          </w:p>
        </w:tc>
        <w:tc>
          <w:tcPr>
            <w:tcW w:w="1312" w:type="dxa"/>
            <w:tcBorders>
              <w:top w:val="nil"/>
              <w:left w:val="nil"/>
              <w:bottom w:val="single" w:sz="8" w:space="0" w:color="auto"/>
              <w:right w:val="single" w:sz="8" w:space="0" w:color="auto"/>
            </w:tcBorders>
            <w:tcMar>
              <w:top w:w="0" w:type="dxa"/>
              <w:left w:w="70" w:type="dxa"/>
              <w:bottom w:w="0" w:type="dxa"/>
              <w:right w:w="70" w:type="dxa"/>
            </w:tcMar>
            <w:vAlign w:val="center"/>
          </w:tcPr>
          <w:p w14:paraId="5D7DF1C6" w14:textId="77777777" w:rsidR="00CB2594" w:rsidRPr="007434DA" w:rsidRDefault="00CB2594" w:rsidP="004A57B3">
            <w:pPr>
              <w:spacing w:line="240" w:lineRule="atLeast"/>
              <w:jc w:val="right"/>
              <w:rPr>
                <w:rFonts w:cs="Times New Roman"/>
                <w:color w:val="000000"/>
                <w:sz w:val="20"/>
                <w:szCs w:val="20"/>
                <w:lang w:val="cs-CZ" w:eastAsia="cs-CZ"/>
              </w:rPr>
            </w:pPr>
            <w:r w:rsidRPr="007434DA">
              <w:rPr>
                <w:rFonts w:cs="Times New Roman"/>
                <w:color w:val="000000"/>
                <w:sz w:val="20"/>
                <w:szCs w:val="20"/>
                <w:lang w:val="cs-CZ" w:eastAsia="cs-CZ"/>
              </w:rPr>
              <w:t>67/62/3</w:t>
            </w:r>
          </w:p>
        </w:tc>
        <w:tc>
          <w:tcPr>
            <w:tcW w:w="1396" w:type="dxa"/>
            <w:tcBorders>
              <w:top w:val="nil"/>
              <w:left w:val="nil"/>
              <w:bottom w:val="single" w:sz="8" w:space="0" w:color="auto"/>
              <w:right w:val="single" w:sz="8" w:space="0" w:color="auto"/>
            </w:tcBorders>
            <w:tcMar>
              <w:top w:w="0" w:type="dxa"/>
              <w:left w:w="70" w:type="dxa"/>
              <w:bottom w:w="0" w:type="dxa"/>
              <w:right w:w="70" w:type="dxa"/>
            </w:tcMar>
            <w:vAlign w:val="center"/>
          </w:tcPr>
          <w:p w14:paraId="43B12ABF" w14:textId="77777777" w:rsidR="00CB2594" w:rsidRPr="007434DA" w:rsidRDefault="00CB2594" w:rsidP="004A57B3">
            <w:pPr>
              <w:spacing w:line="240" w:lineRule="atLeast"/>
              <w:jc w:val="right"/>
              <w:rPr>
                <w:rFonts w:cs="Times New Roman"/>
                <w:color w:val="000000"/>
                <w:sz w:val="20"/>
                <w:szCs w:val="20"/>
                <w:lang w:val="cs-CZ" w:eastAsia="cs-CZ"/>
              </w:rPr>
            </w:pPr>
            <w:r w:rsidRPr="007434DA">
              <w:rPr>
                <w:rFonts w:cs="Times New Roman"/>
                <w:color w:val="000000"/>
                <w:sz w:val="20"/>
                <w:szCs w:val="20"/>
                <w:lang w:val="cs-CZ" w:eastAsia="cs-CZ"/>
              </w:rPr>
              <w:t>65/54/2</w:t>
            </w:r>
          </w:p>
        </w:tc>
        <w:tc>
          <w:tcPr>
            <w:tcW w:w="1467" w:type="dxa"/>
            <w:tcBorders>
              <w:top w:val="nil"/>
              <w:left w:val="nil"/>
              <w:bottom w:val="single" w:sz="8" w:space="0" w:color="auto"/>
              <w:right w:val="single" w:sz="8" w:space="0" w:color="auto"/>
            </w:tcBorders>
            <w:tcMar>
              <w:top w:w="0" w:type="dxa"/>
              <w:left w:w="70" w:type="dxa"/>
              <w:bottom w:w="0" w:type="dxa"/>
              <w:right w:w="70" w:type="dxa"/>
            </w:tcMar>
            <w:vAlign w:val="center"/>
          </w:tcPr>
          <w:p w14:paraId="7EC1B7DA" w14:textId="77777777" w:rsidR="00CB2594" w:rsidRPr="007434DA" w:rsidRDefault="00CB2594" w:rsidP="004A57B3">
            <w:pPr>
              <w:spacing w:line="240" w:lineRule="atLeast"/>
              <w:jc w:val="right"/>
              <w:rPr>
                <w:rFonts w:cs="Times New Roman"/>
                <w:color w:val="000000"/>
                <w:sz w:val="20"/>
                <w:szCs w:val="20"/>
                <w:lang w:val="cs-CZ" w:eastAsia="cs-CZ"/>
              </w:rPr>
            </w:pPr>
            <w:r w:rsidRPr="007434DA">
              <w:rPr>
                <w:rFonts w:cs="Times New Roman"/>
                <w:color w:val="000000"/>
                <w:sz w:val="20"/>
                <w:szCs w:val="20"/>
                <w:lang w:val="cs-CZ" w:eastAsia="cs-CZ"/>
              </w:rPr>
              <w:t>72/55/4</w:t>
            </w:r>
          </w:p>
        </w:tc>
        <w:tc>
          <w:tcPr>
            <w:tcW w:w="1305" w:type="dxa"/>
            <w:tcBorders>
              <w:top w:val="nil"/>
              <w:left w:val="nil"/>
              <w:bottom w:val="single" w:sz="8" w:space="0" w:color="auto"/>
              <w:right w:val="double" w:sz="6" w:space="0" w:color="auto"/>
            </w:tcBorders>
            <w:tcMar>
              <w:top w:w="0" w:type="dxa"/>
              <w:left w:w="70" w:type="dxa"/>
              <w:bottom w:w="0" w:type="dxa"/>
              <w:right w:w="70" w:type="dxa"/>
            </w:tcMar>
            <w:vAlign w:val="center"/>
          </w:tcPr>
          <w:p w14:paraId="68B7178F" w14:textId="77777777" w:rsidR="00CB2594" w:rsidRPr="007434DA" w:rsidRDefault="00CB2594" w:rsidP="004A57B3">
            <w:pPr>
              <w:spacing w:line="240" w:lineRule="atLeast"/>
              <w:jc w:val="right"/>
              <w:rPr>
                <w:rFonts w:cs="Times New Roman"/>
                <w:color w:val="000000"/>
                <w:sz w:val="20"/>
                <w:szCs w:val="20"/>
                <w:lang w:val="cs-CZ" w:eastAsia="cs-CZ"/>
              </w:rPr>
            </w:pPr>
            <w:r w:rsidRPr="007434DA">
              <w:rPr>
                <w:rFonts w:cs="Times New Roman"/>
                <w:color w:val="000000"/>
                <w:sz w:val="20"/>
                <w:szCs w:val="20"/>
                <w:lang w:val="cs-CZ" w:eastAsia="cs-CZ"/>
              </w:rPr>
              <w:t>73/55/2</w:t>
            </w:r>
          </w:p>
        </w:tc>
      </w:tr>
      <w:tr w:rsidR="00CB2594" w:rsidRPr="007434DA" w14:paraId="784BEB86" w14:textId="77777777" w:rsidTr="004A57B3">
        <w:trPr>
          <w:trHeight w:val="311"/>
        </w:trPr>
        <w:tc>
          <w:tcPr>
            <w:tcW w:w="2255" w:type="dxa"/>
            <w:tcBorders>
              <w:top w:val="nil"/>
              <w:left w:val="double" w:sz="6" w:space="0" w:color="auto"/>
              <w:bottom w:val="single" w:sz="8" w:space="0" w:color="auto"/>
              <w:right w:val="single" w:sz="8" w:space="0" w:color="auto"/>
            </w:tcBorders>
            <w:tcMar>
              <w:top w:w="0" w:type="dxa"/>
              <w:left w:w="70" w:type="dxa"/>
              <w:bottom w:w="0" w:type="dxa"/>
              <w:right w:w="70" w:type="dxa"/>
            </w:tcMar>
            <w:vAlign w:val="center"/>
            <w:hideMark/>
          </w:tcPr>
          <w:p w14:paraId="1EA1FA7B" w14:textId="77777777" w:rsidR="00CB2594" w:rsidRPr="007434DA" w:rsidRDefault="00CB2594" w:rsidP="004A57B3">
            <w:pPr>
              <w:spacing w:line="240" w:lineRule="atLeast"/>
              <w:rPr>
                <w:rFonts w:cs="Times New Roman"/>
                <w:b/>
                <w:bCs/>
                <w:color w:val="000000"/>
                <w:sz w:val="20"/>
                <w:szCs w:val="20"/>
                <w:lang w:val="cs-CZ" w:eastAsia="cs-CZ"/>
              </w:rPr>
            </w:pPr>
            <w:r w:rsidRPr="007434DA">
              <w:rPr>
                <w:rFonts w:cs="Times New Roman"/>
                <w:b/>
                <w:bCs/>
                <w:color w:val="000000"/>
                <w:sz w:val="20"/>
                <w:szCs w:val="20"/>
                <w:lang w:val="cs-CZ" w:eastAsia="cs-CZ"/>
              </w:rPr>
              <w:t xml:space="preserve">Mléko  </w:t>
            </w:r>
          </w:p>
        </w:tc>
        <w:tc>
          <w:tcPr>
            <w:tcW w:w="1312" w:type="dxa"/>
            <w:tcBorders>
              <w:top w:val="nil"/>
              <w:left w:val="nil"/>
              <w:bottom w:val="single" w:sz="8" w:space="0" w:color="auto"/>
              <w:right w:val="single" w:sz="8" w:space="0" w:color="auto"/>
            </w:tcBorders>
            <w:tcMar>
              <w:top w:w="0" w:type="dxa"/>
              <w:left w:w="70" w:type="dxa"/>
              <w:bottom w:w="0" w:type="dxa"/>
              <w:right w:w="70" w:type="dxa"/>
            </w:tcMar>
            <w:vAlign w:val="center"/>
          </w:tcPr>
          <w:p w14:paraId="47130D56" w14:textId="77777777" w:rsidR="00CB2594" w:rsidRPr="007434DA" w:rsidRDefault="00CB2594" w:rsidP="004A57B3">
            <w:pPr>
              <w:spacing w:line="240" w:lineRule="atLeast"/>
              <w:jc w:val="right"/>
              <w:rPr>
                <w:rFonts w:cs="Times New Roman"/>
                <w:color w:val="000000"/>
                <w:sz w:val="20"/>
                <w:szCs w:val="20"/>
                <w:lang w:val="cs-CZ" w:eastAsia="cs-CZ"/>
              </w:rPr>
            </w:pPr>
            <w:r w:rsidRPr="007434DA">
              <w:rPr>
                <w:rFonts w:cs="Times New Roman"/>
                <w:color w:val="000000"/>
                <w:sz w:val="20"/>
                <w:szCs w:val="20"/>
                <w:lang w:val="cs-CZ" w:eastAsia="cs-CZ"/>
              </w:rPr>
              <w:t>19/0/0</w:t>
            </w:r>
          </w:p>
        </w:tc>
        <w:tc>
          <w:tcPr>
            <w:tcW w:w="1312" w:type="dxa"/>
            <w:tcBorders>
              <w:top w:val="nil"/>
              <w:left w:val="nil"/>
              <w:bottom w:val="single" w:sz="8" w:space="0" w:color="auto"/>
              <w:right w:val="single" w:sz="8" w:space="0" w:color="auto"/>
            </w:tcBorders>
            <w:tcMar>
              <w:top w:w="0" w:type="dxa"/>
              <w:left w:w="70" w:type="dxa"/>
              <w:bottom w:w="0" w:type="dxa"/>
              <w:right w:w="70" w:type="dxa"/>
            </w:tcMar>
            <w:vAlign w:val="center"/>
          </w:tcPr>
          <w:p w14:paraId="40F36F1D" w14:textId="77777777" w:rsidR="00CB2594" w:rsidRPr="007434DA" w:rsidRDefault="00CB2594" w:rsidP="004A57B3">
            <w:pPr>
              <w:spacing w:line="240" w:lineRule="atLeast"/>
              <w:jc w:val="right"/>
              <w:rPr>
                <w:rFonts w:cs="Times New Roman"/>
                <w:color w:val="000000"/>
                <w:sz w:val="20"/>
                <w:szCs w:val="20"/>
                <w:lang w:val="cs-CZ" w:eastAsia="cs-CZ"/>
              </w:rPr>
            </w:pPr>
            <w:r w:rsidRPr="007434DA">
              <w:rPr>
                <w:rFonts w:cs="Times New Roman"/>
                <w:color w:val="000000"/>
                <w:sz w:val="20"/>
                <w:szCs w:val="20"/>
                <w:lang w:val="cs-CZ" w:eastAsia="cs-CZ"/>
              </w:rPr>
              <w:t>10/0/0</w:t>
            </w:r>
          </w:p>
        </w:tc>
        <w:tc>
          <w:tcPr>
            <w:tcW w:w="1396" w:type="dxa"/>
            <w:tcBorders>
              <w:top w:val="nil"/>
              <w:left w:val="nil"/>
              <w:bottom w:val="single" w:sz="8" w:space="0" w:color="auto"/>
              <w:right w:val="single" w:sz="8" w:space="0" w:color="auto"/>
            </w:tcBorders>
            <w:tcMar>
              <w:top w:w="0" w:type="dxa"/>
              <w:left w:w="70" w:type="dxa"/>
              <w:bottom w:w="0" w:type="dxa"/>
              <w:right w:w="70" w:type="dxa"/>
            </w:tcMar>
            <w:vAlign w:val="center"/>
          </w:tcPr>
          <w:p w14:paraId="55FA8154" w14:textId="77777777" w:rsidR="00CB2594" w:rsidRPr="007434DA" w:rsidRDefault="00CB2594" w:rsidP="004A57B3">
            <w:pPr>
              <w:spacing w:line="240" w:lineRule="atLeast"/>
              <w:jc w:val="right"/>
              <w:rPr>
                <w:rFonts w:cs="Times New Roman"/>
                <w:color w:val="000000"/>
                <w:sz w:val="20"/>
                <w:szCs w:val="20"/>
                <w:lang w:val="cs-CZ" w:eastAsia="cs-CZ"/>
              </w:rPr>
            </w:pPr>
            <w:r w:rsidRPr="007434DA">
              <w:rPr>
                <w:rFonts w:cs="Times New Roman"/>
                <w:color w:val="000000"/>
                <w:sz w:val="20"/>
                <w:szCs w:val="20"/>
                <w:lang w:val="cs-CZ" w:eastAsia="cs-CZ"/>
              </w:rPr>
              <w:t>7/3/0</w:t>
            </w:r>
          </w:p>
        </w:tc>
        <w:tc>
          <w:tcPr>
            <w:tcW w:w="1467" w:type="dxa"/>
            <w:tcBorders>
              <w:top w:val="nil"/>
              <w:left w:val="nil"/>
              <w:bottom w:val="single" w:sz="8" w:space="0" w:color="auto"/>
              <w:right w:val="single" w:sz="8" w:space="0" w:color="auto"/>
            </w:tcBorders>
            <w:tcMar>
              <w:top w:w="0" w:type="dxa"/>
              <w:left w:w="70" w:type="dxa"/>
              <w:bottom w:w="0" w:type="dxa"/>
              <w:right w:w="70" w:type="dxa"/>
            </w:tcMar>
            <w:vAlign w:val="center"/>
          </w:tcPr>
          <w:p w14:paraId="06404C89" w14:textId="77777777" w:rsidR="00CB2594" w:rsidRPr="007434DA" w:rsidRDefault="00CB2594" w:rsidP="004A57B3">
            <w:pPr>
              <w:spacing w:line="240" w:lineRule="atLeast"/>
              <w:jc w:val="right"/>
              <w:rPr>
                <w:rFonts w:cs="Times New Roman"/>
                <w:color w:val="000000"/>
                <w:sz w:val="20"/>
                <w:szCs w:val="20"/>
                <w:lang w:val="cs-CZ" w:eastAsia="cs-CZ"/>
              </w:rPr>
            </w:pPr>
            <w:r w:rsidRPr="007434DA">
              <w:rPr>
                <w:rFonts w:cs="Times New Roman"/>
                <w:color w:val="000000"/>
                <w:sz w:val="20"/>
                <w:szCs w:val="20"/>
                <w:lang w:val="cs-CZ" w:eastAsia="cs-CZ"/>
              </w:rPr>
              <w:t>5/1/0</w:t>
            </w:r>
          </w:p>
        </w:tc>
        <w:tc>
          <w:tcPr>
            <w:tcW w:w="1305" w:type="dxa"/>
            <w:tcBorders>
              <w:top w:val="nil"/>
              <w:left w:val="nil"/>
              <w:bottom w:val="single" w:sz="8" w:space="0" w:color="auto"/>
              <w:right w:val="double" w:sz="6" w:space="0" w:color="auto"/>
            </w:tcBorders>
            <w:tcMar>
              <w:top w:w="0" w:type="dxa"/>
              <w:left w:w="70" w:type="dxa"/>
              <w:bottom w:w="0" w:type="dxa"/>
              <w:right w:w="70" w:type="dxa"/>
            </w:tcMar>
            <w:vAlign w:val="center"/>
          </w:tcPr>
          <w:p w14:paraId="6BC4CF27" w14:textId="77777777" w:rsidR="00CB2594" w:rsidRPr="007434DA" w:rsidRDefault="00CB2594" w:rsidP="004A57B3">
            <w:pPr>
              <w:spacing w:line="240" w:lineRule="atLeast"/>
              <w:jc w:val="right"/>
              <w:rPr>
                <w:rFonts w:cs="Times New Roman"/>
                <w:color w:val="000000"/>
                <w:sz w:val="20"/>
                <w:szCs w:val="20"/>
                <w:lang w:val="cs-CZ" w:eastAsia="cs-CZ"/>
              </w:rPr>
            </w:pPr>
            <w:r w:rsidRPr="007434DA">
              <w:rPr>
                <w:rFonts w:cs="Times New Roman"/>
                <w:color w:val="000000"/>
                <w:sz w:val="20"/>
                <w:szCs w:val="20"/>
                <w:lang w:val="cs-CZ" w:eastAsia="cs-CZ"/>
              </w:rPr>
              <w:t>5/1/0</w:t>
            </w:r>
          </w:p>
        </w:tc>
      </w:tr>
      <w:tr w:rsidR="00CB2594" w:rsidRPr="007434DA" w14:paraId="37B91C19" w14:textId="77777777" w:rsidTr="004A57B3">
        <w:trPr>
          <w:trHeight w:val="272"/>
        </w:trPr>
        <w:tc>
          <w:tcPr>
            <w:tcW w:w="2255" w:type="dxa"/>
            <w:tcBorders>
              <w:top w:val="single" w:sz="8" w:space="0" w:color="auto"/>
              <w:left w:val="double" w:sz="6" w:space="0" w:color="auto"/>
              <w:bottom w:val="single" w:sz="4" w:space="0" w:color="auto"/>
              <w:right w:val="single" w:sz="8" w:space="0" w:color="auto"/>
            </w:tcBorders>
            <w:tcMar>
              <w:top w:w="0" w:type="dxa"/>
              <w:left w:w="70" w:type="dxa"/>
              <w:bottom w:w="0" w:type="dxa"/>
              <w:right w:w="70" w:type="dxa"/>
            </w:tcMar>
            <w:vAlign w:val="center"/>
            <w:hideMark/>
          </w:tcPr>
          <w:p w14:paraId="1397644D" w14:textId="77777777" w:rsidR="00CB2594" w:rsidRPr="007434DA" w:rsidRDefault="00CB2594" w:rsidP="004A57B3">
            <w:pPr>
              <w:spacing w:line="240" w:lineRule="atLeast"/>
              <w:rPr>
                <w:rFonts w:cs="Times New Roman"/>
                <w:b/>
                <w:bCs/>
                <w:color w:val="000000"/>
                <w:sz w:val="20"/>
                <w:szCs w:val="20"/>
                <w:lang w:val="cs-CZ" w:eastAsia="cs-CZ"/>
              </w:rPr>
            </w:pPr>
            <w:r w:rsidRPr="007434DA">
              <w:rPr>
                <w:rFonts w:cs="Times New Roman"/>
                <w:b/>
                <w:bCs/>
                <w:color w:val="000000"/>
                <w:sz w:val="20"/>
                <w:szCs w:val="20"/>
                <w:lang w:val="cs-CZ" w:eastAsia="cs-CZ"/>
              </w:rPr>
              <w:t>Vejce</w:t>
            </w:r>
          </w:p>
        </w:tc>
        <w:tc>
          <w:tcPr>
            <w:tcW w:w="1312" w:type="dxa"/>
            <w:tcBorders>
              <w:top w:val="single" w:sz="8" w:space="0" w:color="auto"/>
              <w:left w:val="nil"/>
              <w:bottom w:val="single" w:sz="4" w:space="0" w:color="auto"/>
              <w:right w:val="single" w:sz="8" w:space="0" w:color="auto"/>
            </w:tcBorders>
            <w:tcMar>
              <w:top w:w="0" w:type="dxa"/>
              <w:left w:w="70" w:type="dxa"/>
              <w:bottom w:w="0" w:type="dxa"/>
              <w:right w:w="70" w:type="dxa"/>
            </w:tcMar>
            <w:vAlign w:val="center"/>
          </w:tcPr>
          <w:p w14:paraId="31EF91C0" w14:textId="77777777" w:rsidR="00CB2594" w:rsidRPr="007434DA" w:rsidRDefault="00CB2594" w:rsidP="004A57B3">
            <w:pPr>
              <w:spacing w:line="240" w:lineRule="atLeast"/>
              <w:jc w:val="right"/>
              <w:rPr>
                <w:rFonts w:cs="Times New Roman"/>
                <w:color w:val="000000"/>
                <w:sz w:val="20"/>
                <w:szCs w:val="20"/>
                <w:lang w:val="cs-CZ" w:eastAsia="cs-CZ"/>
              </w:rPr>
            </w:pPr>
            <w:r w:rsidRPr="007434DA">
              <w:rPr>
                <w:rFonts w:cs="Times New Roman"/>
                <w:color w:val="000000"/>
                <w:sz w:val="20"/>
                <w:szCs w:val="20"/>
                <w:lang w:val="cs-CZ" w:eastAsia="cs-CZ"/>
              </w:rPr>
              <w:t>15/3/0</w:t>
            </w:r>
          </w:p>
        </w:tc>
        <w:tc>
          <w:tcPr>
            <w:tcW w:w="1312" w:type="dxa"/>
            <w:tcBorders>
              <w:top w:val="single" w:sz="8" w:space="0" w:color="auto"/>
              <w:left w:val="nil"/>
              <w:bottom w:val="single" w:sz="4" w:space="0" w:color="auto"/>
              <w:right w:val="single" w:sz="8" w:space="0" w:color="auto"/>
            </w:tcBorders>
            <w:tcMar>
              <w:top w:w="0" w:type="dxa"/>
              <w:left w:w="70" w:type="dxa"/>
              <w:bottom w:w="0" w:type="dxa"/>
              <w:right w:w="70" w:type="dxa"/>
            </w:tcMar>
            <w:vAlign w:val="center"/>
          </w:tcPr>
          <w:p w14:paraId="4EB739EE" w14:textId="77777777" w:rsidR="00CB2594" w:rsidRPr="007434DA" w:rsidRDefault="00CB2594" w:rsidP="004A57B3">
            <w:pPr>
              <w:spacing w:line="240" w:lineRule="atLeast"/>
              <w:jc w:val="right"/>
              <w:rPr>
                <w:rFonts w:cs="Times New Roman"/>
                <w:color w:val="000000"/>
                <w:sz w:val="20"/>
                <w:szCs w:val="20"/>
                <w:lang w:val="cs-CZ" w:eastAsia="cs-CZ"/>
              </w:rPr>
            </w:pPr>
            <w:r w:rsidRPr="007434DA">
              <w:rPr>
                <w:rFonts w:cs="Times New Roman"/>
                <w:color w:val="000000"/>
                <w:sz w:val="20"/>
                <w:szCs w:val="20"/>
                <w:lang w:val="cs-CZ" w:eastAsia="cs-CZ"/>
              </w:rPr>
              <w:t>15/5/0</w:t>
            </w:r>
          </w:p>
        </w:tc>
        <w:tc>
          <w:tcPr>
            <w:tcW w:w="1396" w:type="dxa"/>
            <w:tcBorders>
              <w:top w:val="single" w:sz="8" w:space="0" w:color="auto"/>
              <w:left w:val="nil"/>
              <w:bottom w:val="single" w:sz="4" w:space="0" w:color="auto"/>
              <w:right w:val="single" w:sz="8" w:space="0" w:color="auto"/>
            </w:tcBorders>
            <w:tcMar>
              <w:top w:w="0" w:type="dxa"/>
              <w:left w:w="70" w:type="dxa"/>
              <w:bottom w:w="0" w:type="dxa"/>
              <w:right w:w="70" w:type="dxa"/>
            </w:tcMar>
            <w:vAlign w:val="center"/>
          </w:tcPr>
          <w:p w14:paraId="66364EBA" w14:textId="77777777" w:rsidR="00CB2594" w:rsidRPr="007434DA" w:rsidRDefault="00CB2594" w:rsidP="004A57B3">
            <w:pPr>
              <w:spacing w:line="240" w:lineRule="atLeast"/>
              <w:jc w:val="right"/>
              <w:rPr>
                <w:rFonts w:cs="Times New Roman"/>
                <w:color w:val="000000"/>
                <w:sz w:val="20"/>
                <w:szCs w:val="20"/>
                <w:lang w:val="cs-CZ" w:eastAsia="cs-CZ"/>
              </w:rPr>
            </w:pPr>
            <w:r w:rsidRPr="007434DA">
              <w:rPr>
                <w:rFonts w:cs="Times New Roman"/>
                <w:color w:val="000000"/>
                <w:sz w:val="20"/>
                <w:szCs w:val="20"/>
                <w:lang w:val="cs-CZ" w:eastAsia="cs-CZ"/>
              </w:rPr>
              <w:t>0</w:t>
            </w:r>
          </w:p>
        </w:tc>
        <w:tc>
          <w:tcPr>
            <w:tcW w:w="1467" w:type="dxa"/>
            <w:tcBorders>
              <w:top w:val="single" w:sz="8" w:space="0" w:color="auto"/>
              <w:left w:val="nil"/>
              <w:bottom w:val="single" w:sz="4" w:space="0" w:color="auto"/>
              <w:right w:val="single" w:sz="8" w:space="0" w:color="auto"/>
            </w:tcBorders>
            <w:tcMar>
              <w:top w:w="0" w:type="dxa"/>
              <w:left w:w="70" w:type="dxa"/>
              <w:bottom w:w="0" w:type="dxa"/>
              <w:right w:w="70" w:type="dxa"/>
            </w:tcMar>
            <w:vAlign w:val="center"/>
          </w:tcPr>
          <w:p w14:paraId="4C772BA8" w14:textId="77777777" w:rsidR="00CB2594" w:rsidRPr="007434DA" w:rsidRDefault="00CB2594" w:rsidP="004A57B3">
            <w:pPr>
              <w:spacing w:line="240" w:lineRule="atLeast"/>
              <w:jc w:val="right"/>
              <w:rPr>
                <w:rFonts w:cs="Times New Roman"/>
                <w:color w:val="000000"/>
                <w:sz w:val="20"/>
                <w:szCs w:val="20"/>
                <w:lang w:val="cs-CZ" w:eastAsia="cs-CZ"/>
              </w:rPr>
            </w:pPr>
            <w:r w:rsidRPr="007434DA">
              <w:rPr>
                <w:rFonts w:cs="Times New Roman"/>
                <w:color w:val="000000"/>
                <w:sz w:val="20"/>
                <w:szCs w:val="20"/>
                <w:lang w:val="cs-CZ" w:eastAsia="cs-CZ"/>
              </w:rPr>
              <w:t>0</w:t>
            </w:r>
          </w:p>
        </w:tc>
        <w:tc>
          <w:tcPr>
            <w:tcW w:w="1305" w:type="dxa"/>
            <w:tcBorders>
              <w:top w:val="single" w:sz="8" w:space="0" w:color="auto"/>
              <w:left w:val="nil"/>
              <w:bottom w:val="single" w:sz="4" w:space="0" w:color="auto"/>
              <w:right w:val="double" w:sz="6" w:space="0" w:color="auto"/>
            </w:tcBorders>
            <w:tcMar>
              <w:top w:w="0" w:type="dxa"/>
              <w:left w:w="70" w:type="dxa"/>
              <w:bottom w:w="0" w:type="dxa"/>
              <w:right w:w="70" w:type="dxa"/>
            </w:tcMar>
            <w:vAlign w:val="center"/>
          </w:tcPr>
          <w:p w14:paraId="12D2B010" w14:textId="77777777" w:rsidR="00CB2594" w:rsidRPr="007434DA" w:rsidRDefault="00CB2594" w:rsidP="004A57B3">
            <w:pPr>
              <w:spacing w:line="240" w:lineRule="atLeast"/>
              <w:jc w:val="right"/>
              <w:rPr>
                <w:rFonts w:cs="Times New Roman"/>
                <w:color w:val="000000"/>
                <w:sz w:val="20"/>
                <w:szCs w:val="20"/>
                <w:lang w:val="cs-CZ" w:eastAsia="cs-CZ"/>
              </w:rPr>
            </w:pPr>
            <w:r w:rsidRPr="007434DA">
              <w:rPr>
                <w:rFonts w:cs="Times New Roman"/>
                <w:color w:val="000000"/>
                <w:sz w:val="20"/>
                <w:szCs w:val="20"/>
                <w:lang w:val="cs-CZ" w:eastAsia="cs-CZ"/>
              </w:rPr>
              <w:t>0</w:t>
            </w:r>
          </w:p>
        </w:tc>
      </w:tr>
      <w:tr w:rsidR="00CB2594" w:rsidRPr="007434DA" w14:paraId="1D5A522D" w14:textId="77777777" w:rsidTr="004A57B3">
        <w:trPr>
          <w:trHeight w:val="398"/>
        </w:trPr>
        <w:tc>
          <w:tcPr>
            <w:tcW w:w="2255" w:type="dxa"/>
            <w:tcBorders>
              <w:top w:val="single" w:sz="4" w:space="0" w:color="auto"/>
              <w:left w:val="double" w:sz="6" w:space="0" w:color="auto"/>
              <w:bottom w:val="single" w:sz="4" w:space="0" w:color="auto"/>
              <w:right w:val="single" w:sz="8" w:space="0" w:color="auto"/>
            </w:tcBorders>
            <w:tcMar>
              <w:top w:w="0" w:type="dxa"/>
              <w:left w:w="70" w:type="dxa"/>
              <w:bottom w:w="0" w:type="dxa"/>
              <w:right w:w="70" w:type="dxa"/>
            </w:tcMar>
            <w:vAlign w:val="center"/>
          </w:tcPr>
          <w:p w14:paraId="5377AD18" w14:textId="77777777" w:rsidR="00CB2594" w:rsidRPr="007434DA" w:rsidRDefault="00CB2594" w:rsidP="004A57B3">
            <w:pPr>
              <w:spacing w:line="220" w:lineRule="atLeast"/>
              <w:rPr>
                <w:rFonts w:cs="Times New Roman"/>
                <w:b/>
                <w:bCs/>
                <w:color w:val="000000"/>
                <w:sz w:val="20"/>
                <w:szCs w:val="20"/>
                <w:lang w:val="cs-CZ" w:eastAsia="cs-CZ"/>
              </w:rPr>
            </w:pPr>
            <w:r w:rsidRPr="007434DA">
              <w:rPr>
                <w:rFonts w:cs="Times New Roman"/>
                <w:b/>
                <w:bCs/>
                <w:color w:val="000000"/>
                <w:sz w:val="20"/>
                <w:szCs w:val="20"/>
                <w:lang w:val="cs-CZ" w:eastAsia="cs-CZ"/>
              </w:rPr>
              <w:t>Med</w:t>
            </w:r>
          </w:p>
        </w:tc>
        <w:tc>
          <w:tcPr>
            <w:tcW w:w="1312" w:type="dxa"/>
            <w:tcBorders>
              <w:top w:val="single" w:sz="4" w:space="0" w:color="auto"/>
              <w:left w:val="nil"/>
              <w:bottom w:val="single" w:sz="4" w:space="0" w:color="auto"/>
              <w:right w:val="single" w:sz="8" w:space="0" w:color="auto"/>
            </w:tcBorders>
            <w:tcMar>
              <w:top w:w="0" w:type="dxa"/>
              <w:left w:w="70" w:type="dxa"/>
              <w:bottom w:w="0" w:type="dxa"/>
              <w:right w:w="70" w:type="dxa"/>
            </w:tcMar>
            <w:vAlign w:val="center"/>
          </w:tcPr>
          <w:p w14:paraId="31384C88" w14:textId="77777777" w:rsidR="00CB2594" w:rsidRPr="007434DA" w:rsidRDefault="00CB2594" w:rsidP="004A57B3">
            <w:pPr>
              <w:spacing w:line="220" w:lineRule="atLeast"/>
              <w:jc w:val="right"/>
              <w:rPr>
                <w:rFonts w:cs="Times New Roman"/>
                <w:color w:val="000000"/>
                <w:sz w:val="20"/>
                <w:szCs w:val="20"/>
                <w:lang w:val="cs-CZ" w:eastAsia="cs-CZ"/>
              </w:rPr>
            </w:pPr>
            <w:r w:rsidRPr="007434DA">
              <w:rPr>
                <w:rFonts w:cs="Times New Roman"/>
                <w:color w:val="000000"/>
                <w:sz w:val="20"/>
                <w:szCs w:val="20"/>
                <w:lang w:val="cs-CZ" w:eastAsia="cs-CZ"/>
              </w:rPr>
              <w:t>16/7/1</w:t>
            </w:r>
          </w:p>
        </w:tc>
        <w:tc>
          <w:tcPr>
            <w:tcW w:w="1312" w:type="dxa"/>
            <w:tcBorders>
              <w:top w:val="single" w:sz="4" w:space="0" w:color="auto"/>
              <w:left w:val="nil"/>
              <w:bottom w:val="single" w:sz="4" w:space="0" w:color="auto"/>
              <w:right w:val="single" w:sz="8" w:space="0" w:color="auto"/>
            </w:tcBorders>
            <w:tcMar>
              <w:top w:w="0" w:type="dxa"/>
              <w:left w:w="70" w:type="dxa"/>
              <w:bottom w:w="0" w:type="dxa"/>
              <w:right w:w="70" w:type="dxa"/>
            </w:tcMar>
            <w:vAlign w:val="center"/>
          </w:tcPr>
          <w:p w14:paraId="57DCDCF0" w14:textId="77777777" w:rsidR="00CB2594" w:rsidRPr="007434DA" w:rsidRDefault="00CB2594" w:rsidP="004A57B3">
            <w:pPr>
              <w:spacing w:line="220" w:lineRule="atLeast"/>
              <w:jc w:val="right"/>
              <w:rPr>
                <w:rFonts w:cs="Times New Roman"/>
                <w:color w:val="000000"/>
                <w:sz w:val="20"/>
                <w:szCs w:val="20"/>
                <w:lang w:val="cs-CZ" w:eastAsia="cs-CZ"/>
              </w:rPr>
            </w:pPr>
            <w:r w:rsidRPr="007434DA">
              <w:rPr>
                <w:rFonts w:cs="Times New Roman"/>
                <w:color w:val="000000"/>
                <w:sz w:val="20"/>
                <w:szCs w:val="20"/>
                <w:lang w:val="cs-CZ" w:eastAsia="cs-CZ"/>
              </w:rPr>
              <w:t>16/10/0</w:t>
            </w:r>
          </w:p>
        </w:tc>
        <w:tc>
          <w:tcPr>
            <w:tcW w:w="1396" w:type="dxa"/>
            <w:tcBorders>
              <w:top w:val="single" w:sz="4" w:space="0" w:color="auto"/>
              <w:left w:val="nil"/>
              <w:bottom w:val="single" w:sz="4" w:space="0" w:color="auto"/>
              <w:right w:val="single" w:sz="8" w:space="0" w:color="auto"/>
            </w:tcBorders>
            <w:tcMar>
              <w:top w:w="0" w:type="dxa"/>
              <w:left w:w="70" w:type="dxa"/>
              <w:bottom w:w="0" w:type="dxa"/>
              <w:right w:w="70" w:type="dxa"/>
            </w:tcMar>
            <w:vAlign w:val="center"/>
          </w:tcPr>
          <w:p w14:paraId="4F14D3BB" w14:textId="77777777" w:rsidR="00CB2594" w:rsidRPr="007434DA" w:rsidRDefault="00CB2594" w:rsidP="004A57B3">
            <w:pPr>
              <w:spacing w:line="220" w:lineRule="atLeast"/>
              <w:jc w:val="right"/>
              <w:rPr>
                <w:rFonts w:cs="Times New Roman"/>
                <w:color w:val="000000"/>
                <w:sz w:val="20"/>
                <w:szCs w:val="20"/>
                <w:lang w:val="cs-CZ" w:eastAsia="cs-CZ"/>
              </w:rPr>
            </w:pPr>
            <w:r w:rsidRPr="007434DA">
              <w:rPr>
                <w:rFonts w:cs="Times New Roman"/>
                <w:color w:val="000000"/>
                <w:sz w:val="20"/>
                <w:szCs w:val="20"/>
                <w:lang w:val="cs-CZ" w:eastAsia="cs-CZ"/>
              </w:rPr>
              <w:t>15/4/0</w:t>
            </w:r>
          </w:p>
        </w:tc>
        <w:tc>
          <w:tcPr>
            <w:tcW w:w="1467" w:type="dxa"/>
            <w:tcBorders>
              <w:top w:val="single" w:sz="4" w:space="0" w:color="auto"/>
              <w:left w:val="nil"/>
              <w:bottom w:val="single" w:sz="4" w:space="0" w:color="auto"/>
              <w:right w:val="single" w:sz="8" w:space="0" w:color="auto"/>
            </w:tcBorders>
            <w:tcMar>
              <w:top w:w="0" w:type="dxa"/>
              <w:left w:w="70" w:type="dxa"/>
              <w:bottom w:w="0" w:type="dxa"/>
              <w:right w:w="70" w:type="dxa"/>
            </w:tcMar>
            <w:vAlign w:val="center"/>
          </w:tcPr>
          <w:p w14:paraId="6D0B8007" w14:textId="77777777" w:rsidR="00CB2594" w:rsidRPr="007434DA" w:rsidRDefault="00CB2594" w:rsidP="004A57B3">
            <w:pPr>
              <w:spacing w:line="220" w:lineRule="atLeast"/>
              <w:jc w:val="right"/>
              <w:rPr>
                <w:rFonts w:cs="Times New Roman"/>
                <w:color w:val="000000"/>
                <w:sz w:val="20"/>
                <w:szCs w:val="20"/>
                <w:lang w:val="cs-CZ" w:eastAsia="cs-CZ"/>
              </w:rPr>
            </w:pPr>
            <w:r w:rsidRPr="007434DA">
              <w:rPr>
                <w:rFonts w:cs="Times New Roman"/>
                <w:color w:val="000000"/>
                <w:sz w:val="20"/>
                <w:szCs w:val="20"/>
                <w:lang w:val="cs-CZ" w:eastAsia="cs-CZ"/>
              </w:rPr>
              <w:t>17/7/0</w:t>
            </w:r>
          </w:p>
        </w:tc>
        <w:tc>
          <w:tcPr>
            <w:tcW w:w="1305" w:type="dxa"/>
            <w:tcBorders>
              <w:top w:val="single" w:sz="4" w:space="0" w:color="auto"/>
              <w:left w:val="nil"/>
              <w:bottom w:val="single" w:sz="4" w:space="0" w:color="auto"/>
              <w:right w:val="double" w:sz="6" w:space="0" w:color="auto"/>
            </w:tcBorders>
            <w:tcMar>
              <w:top w:w="0" w:type="dxa"/>
              <w:left w:w="70" w:type="dxa"/>
              <w:bottom w:w="0" w:type="dxa"/>
              <w:right w:w="70" w:type="dxa"/>
            </w:tcMar>
            <w:vAlign w:val="center"/>
          </w:tcPr>
          <w:p w14:paraId="6D3B773D" w14:textId="77777777" w:rsidR="00CB2594" w:rsidRPr="007434DA" w:rsidRDefault="00CB2594" w:rsidP="004A57B3">
            <w:pPr>
              <w:spacing w:line="220" w:lineRule="atLeast"/>
              <w:jc w:val="right"/>
              <w:rPr>
                <w:rFonts w:cs="Times New Roman"/>
                <w:color w:val="000000"/>
                <w:sz w:val="20"/>
                <w:szCs w:val="20"/>
                <w:lang w:val="cs-CZ" w:eastAsia="cs-CZ"/>
              </w:rPr>
            </w:pPr>
            <w:r w:rsidRPr="007434DA">
              <w:rPr>
                <w:rFonts w:cs="Times New Roman"/>
                <w:color w:val="000000"/>
                <w:sz w:val="20"/>
                <w:szCs w:val="20"/>
                <w:lang w:val="cs-CZ" w:eastAsia="cs-CZ"/>
              </w:rPr>
              <w:t>17/5/0</w:t>
            </w:r>
          </w:p>
        </w:tc>
      </w:tr>
      <w:tr w:rsidR="00CB2594" w:rsidRPr="007434DA" w14:paraId="199590BA" w14:textId="77777777" w:rsidTr="004A57B3">
        <w:trPr>
          <w:trHeight w:val="417"/>
        </w:trPr>
        <w:tc>
          <w:tcPr>
            <w:tcW w:w="2255" w:type="dxa"/>
            <w:tcBorders>
              <w:top w:val="single" w:sz="4" w:space="0" w:color="auto"/>
              <w:left w:val="double" w:sz="6" w:space="0" w:color="auto"/>
              <w:bottom w:val="double" w:sz="6" w:space="0" w:color="auto"/>
              <w:right w:val="single" w:sz="8" w:space="0" w:color="auto"/>
            </w:tcBorders>
            <w:tcMar>
              <w:top w:w="0" w:type="dxa"/>
              <w:left w:w="70" w:type="dxa"/>
              <w:bottom w:w="0" w:type="dxa"/>
              <w:right w:w="70" w:type="dxa"/>
            </w:tcMar>
            <w:vAlign w:val="center"/>
          </w:tcPr>
          <w:p w14:paraId="2D0F5B4B" w14:textId="77777777" w:rsidR="00CB2594" w:rsidRPr="007434DA" w:rsidRDefault="00CB2594" w:rsidP="004A57B3">
            <w:pPr>
              <w:spacing w:line="220" w:lineRule="atLeast"/>
              <w:rPr>
                <w:rFonts w:cs="Times New Roman"/>
                <w:b/>
                <w:bCs/>
                <w:color w:val="000000"/>
                <w:sz w:val="20"/>
                <w:szCs w:val="20"/>
                <w:lang w:val="cs-CZ" w:eastAsia="cs-CZ"/>
              </w:rPr>
            </w:pPr>
            <w:r w:rsidRPr="007434DA">
              <w:rPr>
                <w:rFonts w:cs="Times New Roman"/>
                <w:b/>
                <w:bCs/>
                <w:color w:val="000000"/>
                <w:sz w:val="20"/>
                <w:szCs w:val="20"/>
                <w:lang w:val="cs-CZ" w:eastAsia="cs-CZ"/>
              </w:rPr>
              <w:t>CELKEM</w:t>
            </w:r>
          </w:p>
        </w:tc>
        <w:tc>
          <w:tcPr>
            <w:tcW w:w="1312" w:type="dxa"/>
            <w:tcBorders>
              <w:top w:val="single" w:sz="4" w:space="0" w:color="auto"/>
              <w:left w:val="nil"/>
              <w:bottom w:val="double" w:sz="6" w:space="0" w:color="auto"/>
              <w:right w:val="single" w:sz="8" w:space="0" w:color="auto"/>
            </w:tcBorders>
            <w:tcMar>
              <w:top w:w="0" w:type="dxa"/>
              <w:left w:w="70" w:type="dxa"/>
              <w:bottom w:w="0" w:type="dxa"/>
              <w:right w:w="70" w:type="dxa"/>
            </w:tcMar>
            <w:vAlign w:val="center"/>
          </w:tcPr>
          <w:p w14:paraId="412E2902" w14:textId="77777777" w:rsidR="00CB2594" w:rsidRPr="007434DA" w:rsidRDefault="00CB2594" w:rsidP="004A57B3">
            <w:pPr>
              <w:spacing w:line="220" w:lineRule="atLeast"/>
              <w:jc w:val="right"/>
              <w:rPr>
                <w:rFonts w:cs="Times New Roman"/>
                <w:b/>
                <w:color w:val="000000"/>
                <w:sz w:val="20"/>
                <w:szCs w:val="20"/>
                <w:lang w:val="cs-CZ" w:eastAsia="cs-CZ"/>
              </w:rPr>
            </w:pPr>
            <w:r w:rsidRPr="007434DA">
              <w:rPr>
                <w:rFonts w:cs="Times New Roman"/>
                <w:b/>
                <w:color w:val="000000"/>
                <w:sz w:val="20"/>
                <w:szCs w:val="20"/>
                <w:lang w:val="cs-CZ" w:eastAsia="cs-CZ"/>
              </w:rPr>
              <w:t>603/492/24</w:t>
            </w:r>
          </w:p>
        </w:tc>
        <w:tc>
          <w:tcPr>
            <w:tcW w:w="1312" w:type="dxa"/>
            <w:tcBorders>
              <w:top w:val="single" w:sz="4" w:space="0" w:color="auto"/>
              <w:left w:val="nil"/>
              <w:bottom w:val="double" w:sz="6" w:space="0" w:color="auto"/>
              <w:right w:val="single" w:sz="8" w:space="0" w:color="auto"/>
            </w:tcBorders>
            <w:tcMar>
              <w:top w:w="0" w:type="dxa"/>
              <w:left w:w="70" w:type="dxa"/>
              <w:bottom w:w="0" w:type="dxa"/>
              <w:right w:w="70" w:type="dxa"/>
            </w:tcMar>
            <w:vAlign w:val="center"/>
          </w:tcPr>
          <w:p w14:paraId="22E8069F" w14:textId="77777777" w:rsidR="00CB2594" w:rsidRPr="007434DA" w:rsidRDefault="00CB2594" w:rsidP="004A57B3">
            <w:pPr>
              <w:spacing w:line="220" w:lineRule="atLeast"/>
              <w:jc w:val="right"/>
              <w:rPr>
                <w:rFonts w:cs="Times New Roman"/>
                <w:b/>
                <w:color w:val="000000"/>
                <w:sz w:val="20"/>
                <w:szCs w:val="20"/>
                <w:lang w:val="cs-CZ" w:eastAsia="cs-CZ"/>
              </w:rPr>
            </w:pPr>
            <w:r w:rsidRPr="007434DA">
              <w:rPr>
                <w:rFonts w:cs="Times New Roman"/>
                <w:b/>
                <w:color w:val="000000"/>
                <w:sz w:val="20"/>
                <w:szCs w:val="20"/>
                <w:lang w:val="cs-CZ" w:eastAsia="cs-CZ"/>
              </w:rPr>
              <w:t>591/489/19</w:t>
            </w:r>
          </w:p>
        </w:tc>
        <w:tc>
          <w:tcPr>
            <w:tcW w:w="1396" w:type="dxa"/>
            <w:tcBorders>
              <w:top w:val="single" w:sz="4" w:space="0" w:color="auto"/>
              <w:left w:val="nil"/>
              <w:bottom w:val="double" w:sz="6" w:space="0" w:color="auto"/>
              <w:right w:val="single" w:sz="8" w:space="0" w:color="auto"/>
            </w:tcBorders>
            <w:tcMar>
              <w:top w:w="0" w:type="dxa"/>
              <w:left w:w="70" w:type="dxa"/>
              <w:bottom w:w="0" w:type="dxa"/>
              <w:right w:w="70" w:type="dxa"/>
            </w:tcMar>
            <w:vAlign w:val="center"/>
          </w:tcPr>
          <w:p w14:paraId="3A52D3E2" w14:textId="77777777" w:rsidR="00CB2594" w:rsidRPr="007434DA" w:rsidRDefault="00CB2594" w:rsidP="004A57B3">
            <w:pPr>
              <w:spacing w:line="220" w:lineRule="atLeast"/>
              <w:jc w:val="right"/>
              <w:rPr>
                <w:rFonts w:cs="Times New Roman"/>
                <w:b/>
                <w:color w:val="000000"/>
                <w:sz w:val="20"/>
                <w:szCs w:val="20"/>
                <w:lang w:val="cs-CZ" w:eastAsia="cs-CZ"/>
              </w:rPr>
            </w:pPr>
            <w:r w:rsidRPr="007434DA">
              <w:rPr>
                <w:rFonts w:cs="Times New Roman"/>
                <w:b/>
                <w:color w:val="000000"/>
                <w:sz w:val="20"/>
                <w:szCs w:val="20"/>
                <w:lang w:val="cs-CZ" w:eastAsia="cs-CZ"/>
              </w:rPr>
              <w:t>572/510/40</w:t>
            </w:r>
          </w:p>
        </w:tc>
        <w:tc>
          <w:tcPr>
            <w:tcW w:w="1467" w:type="dxa"/>
            <w:tcBorders>
              <w:top w:val="single" w:sz="4" w:space="0" w:color="auto"/>
              <w:left w:val="nil"/>
              <w:bottom w:val="double" w:sz="6" w:space="0" w:color="auto"/>
              <w:right w:val="single" w:sz="8" w:space="0" w:color="auto"/>
            </w:tcBorders>
            <w:tcMar>
              <w:top w:w="0" w:type="dxa"/>
              <w:left w:w="70" w:type="dxa"/>
              <w:bottom w:w="0" w:type="dxa"/>
              <w:right w:w="70" w:type="dxa"/>
            </w:tcMar>
            <w:vAlign w:val="center"/>
          </w:tcPr>
          <w:p w14:paraId="169761F1" w14:textId="77777777" w:rsidR="00CB2594" w:rsidRPr="007434DA" w:rsidRDefault="00CB2594" w:rsidP="004A57B3">
            <w:pPr>
              <w:spacing w:line="220" w:lineRule="atLeast"/>
              <w:jc w:val="right"/>
              <w:rPr>
                <w:rFonts w:cs="Times New Roman"/>
                <w:b/>
                <w:color w:val="000000"/>
                <w:sz w:val="20"/>
                <w:szCs w:val="20"/>
                <w:lang w:val="cs-CZ" w:eastAsia="cs-CZ"/>
              </w:rPr>
            </w:pPr>
            <w:r w:rsidRPr="007434DA">
              <w:rPr>
                <w:rFonts w:cs="Times New Roman"/>
                <w:b/>
                <w:color w:val="000000"/>
                <w:sz w:val="20"/>
                <w:szCs w:val="20"/>
                <w:lang w:val="cs-CZ" w:eastAsia="cs-CZ"/>
              </w:rPr>
              <w:t>566/474/4</w:t>
            </w:r>
          </w:p>
        </w:tc>
        <w:tc>
          <w:tcPr>
            <w:tcW w:w="1305" w:type="dxa"/>
            <w:tcBorders>
              <w:top w:val="single" w:sz="4" w:space="0" w:color="auto"/>
              <w:left w:val="nil"/>
              <w:bottom w:val="double" w:sz="6" w:space="0" w:color="auto"/>
              <w:right w:val="double" w:sz="6" w:space="0" w:color="auto"/>
            </w:tcBorders>
            <w:tcMar>
              <w:top w:w="0" w:type="dxa"/>
              <w:left w:w="70" w:type="dxa"/>
              <w:bottom w:w="0" w:type="dxa"/>
              <w:right w:w="70" w:type="dxa"/>
            </w:tcMar>
            <w:vAlign w:val="center"/>
          </w:tcPr>
          <w:p w14:paraId="4895100D" w14:textId="77777777" w:rsidR="00CB2594" w:rsidRPr="007434DA" w:rsidRDefault="00CB2594" w:rsidP="004A57B3">
            <w:pPr>
              <w:spacing w:line="220" w:lineRule="atLeast"/>
              <w:jc w:val="right"/>
              <w:rPr>
                <w:rFonts w:cs="Times New Roman"/>
                <w:b/>
                <w:color w:val="000000"/>
                <w:sz w:val="20"/>
                <w:szCs w:val="20"/>
                <w:lang w:val="cs-CZ" w:eastAsia="cs-CZ"/>
              </w:rPr>
            </w:pPr>
            <w:r w:rsidRPr="007434DA">
              <w:rPr>
                <w:rFonts w:cs="Times New Roman"/>
                <w:b/>
                <w:color w:val="000000"/>
                <w:sz w:val="20"/>
                <w:szCs w:val="20"/>
                <w:lang w:val="cs-CZ" w:eastAsia="cs-CZ"/>
              </w:rPr>
              <w:t>492/388/11</w:t>
            </w:r>
          </w:p>
        </w:tc>
      </w:tr>
    </w:tbl>
    <w:p w14:paraId="19DDE66C" w14:textId="77777777" w:rsidR="00CB2594" w:rsidRPr="007434DA" w:rsidRDefault="00CB2594" w:rsidP="00391AC2">
      <w:pPr>
        <w:pStyle w:val="UZEIZdroj"/>
        <w:rPr>
          <w:lang w:eastAsia="cs-CZ"/>
        </w:rPr>
      </w:pPr>
      <w:r w:rsidRPr="007434DA">
        <w:rPr>
          <w:lang w:eastAsia="cs-CZ"/>
        </w:rPr>
        <w:t>Pramen: SVS – Výsledky pravidelného sledování reziduí a kontaminantů prováděného v souladu se směrnicí Rady 96/23/ES</w:t>
      </w:r>
    </w:p>
    <w:bookmarkEnd w:id="137"/>
    <w:p w14:paraId="70DD6F35" w14:textId="77777777" w:rsidR="00CB2594" w:rsidRPr="007434DA" w:rsidRDefault="00CB2594" w:rsidP="00391AC2">
      <w:pPr>
        <w:pStyle w:val="UZEINormaln"/>
      </w:pPr>
      <w:r w:rsidRPr="007434DA">
        <w:t>Nadlimitní nálezy (nevyhovující vzorky) jsou hlášeny do Systému rychlého varování pro potraviny a krmiva (RASFF) a dochází ke stažení těchto potravin z trhu. Hlášení v systému RASFF a výroční zprávy EK jsou zveřejňována</w:t>
      </w:r>
      <w:r w:rsidRPr="007434DA">
        <w:footnoteReference w:id="22"/>
      </w:r>
      <w:r w:rsidRPr="007434DA">
        <w:rPr>
          <w:vertAlign w:val="superscript"/>
        </w:rPr>
        <w:t>.</w:t>
      </w:r>
      <w:r w:rsidRPr="007434DA">
        <w:t xml:space="preserve"> Ministerstvo zemědělství také každoročně zpracovává zprávu o činnosti Systému rychlého varování pro potraviny a krmiva (RASFF) v České republice. Informace ze systému RASFF a uvedené zprávy, jsou dostupné na internetových stránkách Informačního centra bezpečnosti potravin</w:t>
      </w:r>
      <w:r w:rsidRPr="007434DA">
        <w:footnoteReference w:id="23"/>
      </w:r>
      <w:r w:rsidRPr="007434DA">
        <w:t>. Za Českou republiku bylo v letech 2015-2017 do RASFF posláno celkem 76 hlášení. Největší počet byl zaznamenán v roce 2016, kdy bylo ohlášeno 30 nevyhovujících vzorků. V ČR provádí úřední kontroly MLR v potravinách rostlinného původu Státní zemědělská a potravinářská inspekce (SZPI), v potravinách živočišného původu Státní veterinární správa (SVS), v podzemních vodách ČHMÚ a pitné kohoutkové vody SZÚ. Výsledky těchto kontrol a monitoringu reziduí pesticidů v jednotlivých letech jsou pravidelně zveřejňovány na webových stránkách uvedených institucí</w:t>
      </w:r>
      <w:r w:rsidRPr="007434DA">
        <w:rPr>
          <w:vertAlign w:val="superscript"/>
        </w:rPr>
        <w:footnoteReference w:id="24"/>
      </w:r>
      <w:r w:rsidRPr="007434DA">
        <w:rPr>
          <w:vertAlign w:val="superscript"/>
        </w:rPr>
        <w:t xml:space="preserve"> </w:t>
      </w:r>
      <w:r w:rsidRPr="007434DA">
        <w:t>(Pepperný, 2015).</w:t>
      </w:r>
      <w:r w:rsidRPr="007434DA">
        <w:rPr>
          <w:vertAlign w:val="superscript"/>
        </w:rPr>
        <w:footnoteReference w:id="25"/>
      </w:r>
      <w:r w:rsidRPr="007434DA">
        <w:t xml:space="preserve"> </w:t>
      </w:r>
    </w:p>
    <w:p w14:paraId="2E6E42EA" w14:textId="39730175" w:rsidR="00CB2594" w:rsidRPr="007434DA" w:rsidRDefault="00391AC2" w:rsidP="0010602E">
      <w:pPr>
        <w:spacing w:after="160" w:line="259" w:lineRule="auto"/>
        <w:jc w:val="left"/>
        <w:rPr>
          <w:lang w:val="cs-CZ" w:eastAsia="cs-CZ"/>
        </w:rPr>
      </w:pPr>
      <w:r w:rsidRPr="007434DA">
        <w:rPr>
          <w:lang w:val="cs-CZ" w:eastAsia="cs-CZ"/>
        </w:rPr>
        <w:br w:type="page"/>
      </w:r>
    </w:p>
    <w:p w14:paraId="7832241B" w14:textId="637987F7" w:rsidR="00CB2594" w:rsidRPr="007434DA" w:rsidRDefault="00CB2594" w:rsidP="006B29E1">
      <w:pPr>
        <w:pStyle w:val="Nadpis1"/>
      </w:pPr>
      <w:bookmarkStart w:id="139" w:name="_Toc12613411"/>
      <w:bookmarkStart w:id="140" w:name="_Toc80877860"/>
      <w:bookmarkStart w:id="141" w:name="_Toc81755611"/>
      <w:bookmarkEnd w:id="86"/>
      <w:bookmarkEnd w:id="91"/>
      <w:r w:rsidRPr="007434DA">
        <w:t xml:space="preserve">Existence/neexistence možnosti efektivního řešení v rámci nástrojů </w:t>
      </w:r>
      <w:r w:rsidR="00DD1446" w:rsidRPr="007434DA">
        <w:t>SZP</w:t>
      </w:r>
      <w:r w:rsidRPr="007434DA">
        <w:t xml:space="preserve">, které lze uvažovat v nových návrzích </w:t>
      </w:r>
      <w:bookmarkEnd w:id="139"/>
      <w:bookmarkEnd w:id="140"/>
      <w:r w:rsidR="00DD1446" w:rsidRPr="007434DA">
        <w:t>SZP</w:t>
      </w:r>
      <w:bookmarkEnd w:id="141"/>
    </w:p>
    <w:p w14:paraId="36A01AEB" w14:textId="77777777" w:rsidR="00CB2594" w:rsidRPr="007434DA" w:rsidRDefault="00CB2594" w:rsidP="0010602E">
      <w:pPr>
        <w:pStyle w:val="UZEINormaln"/>
      </w:pPr>
      <w:r w:rsidRPr="007434DA">
        <w:t>Současná situace z pohledu výskytu PL v kohoutkové vodě ohrožuje důvěru spotřebitelů v kvalitu a nezávadnost pitné vody a je v rozporu s cíli nejen české, ale i evropské legislativy. Z hlediska ekonomického, ale i hygienického není řešením budovat na většině úpraven vod technologie na odstranění PL, neboť to nesměřuje k řešení příčiny problému, a navíc stávající technologie nejsou stejně účinné vůči všem PL nebo mají nežádoucí vedlejší účinky. Je nutné přistoupit k účinné, přímé nebo nepřímé regulaci používání nejvíce problematických PL (z hlediska jejich dopadu na zdroje vody) v životním prostředí.</w:t>
      </w:r>
    </w:p>
    <w:p w14:paraId="37356DA2" w14:textId="77777777" w:rsidR="00CB2594" w:rsidRPr="007434DA" w:rsidRDefault="00CB2594" w:rsidP="0010602E">
      <w:pPr>
        <w:pStyle w:val="UZEINormaln"/>
      </w:pPr>
      <w:r w:rsidRPr="007434DA">
        <w:t>Snížit frekvenci výskytu reziduí pesticidů v potravinách, zejména v ovoci a zelenině lze motivací zemědělců formou podpory k racionální aplikaci pesticidů. Pro snížení výskytu reziduí pesticidů v produktech je potřebné aktualizovat podmínky dotačních titulů pro podporu integrované produkce ovoce, zeleniny a révy vinné. Současně je možné rozšířit dotační titul 3.a (biologická ochrana) také pro pěstitele ovoce, zeleniny a révy vinné. Dále je možné podpořit pěstování těchto komodit v ekologickém zemědělství, zejména aktualizací dotačního titulu více zaměřeného na produkci. Snížení frekvence aplikací pesticidů v polních plodinách a omezení výskytu reziduí pesticidů v produktech a přírodních zdrojích (pitné vodě) je možné řešit novým dotačním titulem. Nezbytná je také podpora poradenství, včetně vytvoření nového dotačního titulu pro účast výzkumných pracovníků na odborném poradenství a aktualizace priorit zemědělského výzkumu k podpoře biologické a nechemické ochrany rostlin a pro regulaci reziduí pesticidů v produktech a přírodních zdrojích.</w:t>
      </w:r>
    </w:p>
    <w:p w14:paraId="17BBA58A" w14:textId="6B11A4D1" w:rsidR="0010602E" w:rsidRPr="007434DA" w:rsidRDefault="0010602E">
      <w:pPr>
        <w:spacing w:after="160" w:line="259" w:lineRule="auto"/>
        <w:jc w:val="left"/>
        <w:rPr>
          <w:lang w:val="cs-CZ" w:eastAsia="x-none"/>
        </w:rPr>
      </w:pPr>
      <w:r w:rsidRPr="007434DA">
        <w:rPr>
          <w:lang w:val="cs-CZ" w:eastAsia="x-none"/>
        </w:rPr>
        <w:br w:type="page"/>
      </w:r>
    </w:p>
    <w:p w14:paraId="1EECCD2E" w14:textId="77777777" w:rsidR="00CB2594" w:rsidRPr="007434DA" w:rsidRDefault="00CB2594" w:rsidP="00CB2594">
      <w:pPr>
        <w:rPr>
          <w:lang w:val="cs-CZ" w:eastAsia="x-none"/>
        </w:rPr>
      </w:pPr>
    </w:p>
    <w:p w14:paraId="3062C142" w14:textId="273604FF" w:rsidR="00CB2594" w:rsidRPr="007434DA" w:rsidRDefault="00CB2594" w:rsidP="006B29E1">
      <w:pPr>
        <w:pStyle w:val="Nadpis1"/>
      </w:pPr>
      <w:bookmarkStart w:id="142" w:name="_Toc12613412"/>
      <w:bookmarkStart w:id="143" w:name="_Toc80877861"/>
      <w:bookmarkStart w:id="144" w:name="_Toc81755612"/>
      <w:r w:rsidRPr="007434DA">
        <w:t>Míra stávajícího řešení problému</w:t>
      </w:r>
      <w:bookmarkEnd w:id="142"/>
      <w:bookmarkEnd w:id="143"/>
      <w:bookmarkEnd w:id="144"/>
    </w:p>
    <w:p w14:paraId="579CDD83" w14:textId="0459B0EA" w:rsidR="00CB2594" w:rsidRPr="007434DA" w:rsidRDefault="00CB2594" w:rsidP="0010602E">
      <w:pPr>
        <w:pStyle w:val="Nadpis2"/>
      </w:pPr>
      <w:bookmarkStart w:id="145" w:name="_Toc12613413"/>
      <w:bookmarkStart w:id="146" w:name="_Toc80877862"/>
      <w:bookmarkStart w:id="147" w:name="_Toc81755613"/>
      <w:r w:rsidRPr="007434DA">
        <w:t>Míra řešení ve stávající SZP (úspěšnost/neúspěšnost)</w:t>
      </w:r>
      <w:bookmarkEnd w:id="145"/>
      <w:bookmarkEnd w:id="146"/>
      <w:bookmarkEnd w:id="147"/>
    </w:p>
    <w:p w14:paraId="37EAD0F1" w14:textId="77777777" w:rsidR="00CB2594" w:rsidRPr="007434DA" w:rsidRDefault="00CB2594" w:rsidP="008C5529">
      <w:pPr>
        <w:pStyle w:val="UZEINormaln"/>
      </w:pPr>
      <w:bookmarkStart w:id="148" w:name="_Hlk522202362"/>
      <w:r w:rsidRPr="007434DA">
        <w:t>Ve stávající SZP (2014-2020) je problematika nakládání s pesticidy ve vztahu k potravinám, krmivům i přírodním zdrojům řešena jak požadavky na dodržování pravidel podmíněnosti (Cross Compliance), tak i prostřednictvím Agroenvironmentálně-klimatických opatření (AEKO) a ekologického zemědělství. V rámci AEKO, kam se řadí integrovaná produkce, ale i v ekologickém zemědělství je podmínkou pro přiznání dotace uzavření závazku na 5 let.</w:t>
      </w:r>
    </w:p>
    <w:p w14:paraId="465E8C09" w14:textId="77777777" w:rsidR="00CB2594" w:rsidRPr="007434DA" w:rsidRDefault="00CB2594" w:rsidP="008C5529">
      <w:pPr>
        <w:pStyle w:val="UZEINormaln"/>
      </w:pPr>
      <w:r w:rsidRPr="007434DA">
        <w:t>Povinné požadavky na hospodaření zemědělského subjektu (PPH) je propojeno s vyplácením přímých plateb, některých podpor z Programu rozvoje venkova (PRV) a některých podpor v rámci společné organizace trhu s vínem. Povinné požadavky jsou stanoveny vybranými články nařízení a směrnic Evropské Unie. Ustanovení daná evropskými nařízeními jsou přímo použitelná v rámci českého právního řádu, ustanovení uvedená směrnicemi EU jsou zapracována do platných národních právních předpisů. Kontrola dodržování stanovených požadavků je prováděna státními kontrolními orgány.</w:t>
      </w:r>
    </w:p>
    <w:p w14:paraId="342F10FC" w14:textId="77777777" w:rsidR="00CB2594" w:rsidRPr="007434DA" w:rsidRDefault="00CB2594" w:rsidP="008C5529">
      <w:pPr>
        <w:pStyle w:val="UZEINormaln"/>
      </w:pPr>
      <w:r w:rsidRPr="007434DA">
        <w:t xml:space="preserve">V rámci systému kontrol podmíněnosti jsou definovány celkem 3 oblasti pravidel (Životní prostředí, změna klimatu a dobrý zemědělský a environmentální stav; Veřejné zdraví, zdraví zvířat a rostlin; Dobré životní podmínky zvířat) obsahující požadavky 13 nařízení a směrnic EU dle témat: Voda, Biologická rozmanitost, Bezpečnost potravin, Identifikace a evidence zvířat. </w:t>
      </w:r>
    </w:p>
    <w:p w14:paraId="0CAB539D" w14:textId="77777777" w:rsidR="00CB2594" w:rsidRPr="007434DA" w:rsidRDefault="00CB2594" w:rsidP="008C5529">
      <w:pPr>
        <w:pStyle w:val="UZEINormaln"/>
      </w:pPr>
      <w:r w:rsidRPr="007434DA">
        <w:t>Cílem oblasti zaměřené na ochranu životního prostředí je chránit životní prostředí a jeho složky, zejména volně žijící ptáky, ostatní volně žijící živočichy, planě rostoucí rostliny a přírodní stanoviště, půdu a vodu. U oblasti veřejného zdraví, zdraví zvířat a rostlin je cíleno na plnění požadavků zajištění potravinové bezpečnosti, plnění řádné identifikace a evidence zvířat, opatření pro prevenci a tlumení nákaz zvířat a zacházení s přípravky na ochranu rostlin.</w:t>
      </w:r>
    </w:p>
    <w:p w14:paraId="23B36D20" w14:textId="77777777" w:rsidR="00CB2594" w:rsidRPr="007434DA" w:rsidRDefault="00CB2594" w:rsidP="008C5529">
      <w:pPr>
        <w:pStyle w:val="UZEINormaln"/>
      </w:pPr>
      <w:r w:rsidRPr="007434DA">
        <w:t>V rámci PRV 2014–2020 v rámci Opatření č. 10 Agroenvironmentální a klimatické opatření (NV č. 75/2015 Sb.) je cíleno na omezení používání POR prostřednictvím podpory na integrovanou produkci</w:t>
      </w:r>
      <w:r w:rsidRPr="00FA3A37">
        <w:rPr>
          <w:vertAlign w:val="superscript"/>
        </w:rPr>
        <w:footnoteReference w:id="26"/>
      </w:r>
      <w:r w:rsidRPr="007434DA">
        <w:t xml:space="preserve"> pěstovanou na standardní orné půdě. </w:t>
      </w:r>
    </w:p>
    <w:bookmarkEnd w:id="148"/>
    <w:p w14:paraId="6108F0C8" w14:textId="53FF690D" w:rsidR="00CB2594" w:rsidRPr="007434DA" w:rsidRDefault="00CB2594" w:rsidP="008C5529">
      <w:pPr>
        <w:pStyle w:val="UZEINormaln"/>
      </w:pPr>
      <w:r w:rsidRPr="007434DA">
        <w:t>V pitné vodě nebyl dosud v České republice problém nadlimitního výskytu reziduí pesticidů v rámci jiné politiky řešen. V současnosti je regulace rizikových pesticidů pro vodu založena na zákazu jejich použití v II. ochranných pásmech zdrojů pitné vody</w:t>
      </w:r>
      <w:r w:rsidRPr="007434DA">
        <w:rPr>
          <w:vertAlign w:val="superscript"/>
        </w:rPr>
        <w:footnoteReference w:id="27"/>
      </w:r>
      <w:r w:rsidRPr="007434DA">
        <w:t>. Nadlimitní výskyty nejvíce rizikových pesticidů v podzemní i pitné vodě jsou detekovány jak ve zdrojích v ochranných pásmech, tak ve zdrojích mimo tyto pásma. Z toho plyne, že ochranná pásma jsou stanovena nedostatečně, nebo že omezení v ochranných pásmech, i pokud jsou dodržována, jsou nedostačující. Úspěšné řešení je možné pouze komplexním přístupem, vedle úprav legislativy a opatřeními v rámci útvarů státní správy (ÚKZÚZ), zejména motivací zemědělců, například novým dotačním titulem v rámci nové SZP. Cílem takového dotačního titulu by bylo omezení dopadů používání přípravků na ochranu rostlin na složky životního prostředí, jako je voda, půda a biodiverzita. Takový dotační titul by zahrnoval využívání vodoochranných způsobů hospodaření a péče o půdu a krajinu nad rámec běžných zásad hospodaření, v rámci kterého by byly stanoveny podmínky pro používání rizikových přípravků na ochranu rostlin pro pitnou vodu. Za dodržování takových podmínek by v předem vymezených oblastech nezávislých na současných pásmech ochrany zdrojů pitné vody, mohl získat kompenzaci z veřejných zdrojů (SZP). Tato kompenzace by odpovídala vícenákladům za změny v technologiích pěstování a v systému hospodaření a za ztráty na produkci v důsledku používání méně účinnost prostředků a metod regulace plevelů.</w:t>
      </w:r>
    </w:p>
    <w:p w14:paraId="2F0A0A97" w14:textId="5E9BC298" w:rsidR="00CB2594" w:rsidRPr="007434DA" w:rsidRDefault="00CB2594" w:rsidP="008C5529">
      <w:pPr>
        <w:pStyle w:val="Nadpis2"/>
      </w:pPr>
      <w:bookmarkStart w:id="149" w:name="_Toc12613414"/>
      <w:bookmarkStart w:id="150" w:name="_Toc80877863"/>
      <w:bookmarkStart w:id="151" w:name="_Toc81755614"/>
      <w:r w:rsidRPr="007434DA">
        <w:t>Míra současného řešení problému jinými politikami</w:t>
      </w:r>
      <w:bookmarkEnd w:id="149"/>
      <w:bookmarkEnd w:id="150"/>
      <w:bookmarkEnd w:id="151"/>
    </w:p>
    <w:p w14:paraId="2F4505D8" w14:textId="77777777" w:rsidR="00CB2594" w:rsidRPr="007434DA" w:rsidRDefault="00CB2594" w:rsidP="00377134">
      <w:pPr>
        <w:pStyle w:val="UZEINormaln"/>
      </w:pPr>
      <w:r w:rsidRPr="007434DA">
        <w:t xml:space="preserve">V ČR existuje několik nástrojů národní politiky, kde je řešena problematika pesticidů ve vztahu k zemědělským produktům, potravinám, přírodním zdrojům nebo životnímu prostředí: </w:t>
      </w:r>
    </w:p>
    <w:p w14:paraId="05FDF1C9" w14:textId="77777777" w:rsidR="00CB2594" w:rsidRPr="007434DA" w:rsidRDefault="00CB2594" w:rsidP="00377134">
      <w:pPr>
        <w:pStyle w:val="UZEINormaln"/>
      </w:pPr>
      <w:bookmarkStart w:id="152" w:name="_Hlk522199388"/>
      <w:r w:rsidRPr="007434DA">
        <w:t xml:space="preserve">1) </w:t>
      </w:r>
      <w:r w:rsidRPr="007434DA">
        <w:rPr>
          <w:b/>
        </w:rPr>
        <w:t>Národní dotace</w:t>
      </w:r>
      <w:r w:rsidRPr="007434DA">
        <w:t xml:space="preserve"> (v režimu state aid)</w:t>
      </w:r>
      <w:r w:rsidRPr="007434DA">
        <w:rPr>
          <w:vertAlign w:val="superscript"/>
        </w:rPr>
        <w:footnoteReference w:id="28"/>
      </w:r>
      <w:r w:rsidRPr="007434DA">
        <w:t xml:space="preserve">. V rámci těchto dotací je cíleno např. na </w:t>
      </w:r>
      <w:bookmarkEnd w:id="152"/>
      <w:r w:rsidRPr="007434DA">
        <w:t>zvýšení kvality rostlinné produkce cestou náhrady chemického ošetření a prevence proti šíření hospodářsky závažných virových a bakteriálních chorob a chorob přenosných osivem a sadbou. Zásady zahrnují v této oblasti tyto dotační tituly</w:t>
      </w:r>
    </w:p>
    <w:p w14:paraId="7A3155FA" w14:textId="77777777" w:rsidR="00CB2594" w:rsidRPr="007434DA" w:rsidRDefault="00CB2594" w:rsidP="00377134">
      <w:pPr>
        <w:pStyle w:val="UZEINormaln"/>
        <w:ind w:firstLine="720"/>
      </w:pPr>
      <w:r w:rsidRPr="007434DA">
        <w:rPr>
          <w:b/>
        </w:rPr>
        <w:t>Dotační titul</w:t>
      </w:r>
      <w:r w:rsidRPr="007434DA">
        <w:t xml:space="preserve"> 3.a. biologická ochrana jako náhrada chemické ochrany rostlin, 9.A.b. Speciální poradenství pro rostlinnou výrobu a 9.F. Podpora poradenství v zemědělství. Dotační titul 3.a je velmi významným nástrojem umožňující snižování frekvence aplikací pesticidů v polní výrobě. Nedostatkem tohoto titulu je v současném období nemožnost jeho využití pro komodity ovoce, zeleninu a révu vinnou v důsledku údajné duplicity s podporou Integrované produkce. Dotační titul 9.F. má omezenou účinnost a je účelné jej doplnit o další dotační titul podporují odborné poradenství ze strany výzkumných organizací. </w:t>
      </w:r>
    </w:p>
    <w:p w14:paraId="51BC4D3B" w14:textId="77777777" w:rsidR="00CB2594" w:rsidRPr="007434DA" w:rsidRDefault="00CB2594" w:rsidP="00377134">
      <w:pPr>
        <w:pStyle w:val="UZEINormaln"/>
      </w:pPr>
      <w:r w:rsidRPr="007434DA">
        <w:rPr>
          <w:b/>
        </w:rPr>
        <w:t>2) Akční plán pro rozvoj ekologického zemědělství v letech 2016–2020</w:t>
      </w:r>
      <w:r w:rsidRPr="007434DA">
        <w:t xml:space="preserve">, jehož autorem je MZe, které při jeho tvorbě dlouhodobě spolupracovalo jak se zástupci z řad ekologických podnikatelů, tak se zástupci odbytových organizací, svazů, kontrolních organizací a řady dalších subjektů působících v sektoru ekologického zemědělství. Akční plán je v souladu s Programem rozvoje venkova ČR na období 2014–2020. Vzhledem k tom, že zastřešujícím cílem ekologického zemědělství je ochrana životního prostředí, je tento akční plán přínosem k plnění Národního akčního plánu k bezpečnému užívání pesticidů a dalších strategií. </w:t>
      </w:r>
    </w:p>
    <w:p w14:paraId="3FEBC28D" w14:textId="77777777" w:rsidR="00CB2594" w:rsidRPr="007434DA" w:rsidRDefault="00CB2594" w:rsidP="00377134">
      <w:pPr>
        <w:pStyle w:val="UZEINormaln"/>
      </w:pPr>
      <w:r w:rsidRPr="007434DA">
        <w:rPr>
          <w:b/>
        </w:rPr>
        <w:t>3) Národní akční plán ke snížení používání pesticidů v České republice.</w:t>
      </w:r>
      <w:r w:rsidRPr="007434DA">
        <w:t xml:space="preserve"> Problematiku reziduí pesticidů ve vodě a možnostmi jejich regulace je významným problémem, který byl řešen v rámci tohoto Národního akčního plánu ke snížení používání pesticidů. V příloze A2 jsou uvedena plnění opatření v rámci NAP z předchozího období a cíle a opatření aktualizovaném NAP pro období 2018 až 2022. Navrhovaná opatření v rámci NAP nejsou podpořena jinými politikami a dosažení plánovaných cílů je tak problematické. Regulace výskytu reziduí ve vodě je řešena pouze dílčím způsobem národní legislativou, která vychází z implementace Rámcové směrnice o vodách 2000/60/ES do české legislativy. Bez synergie mezi politikami v zemědělském a vodohospodářském, popřípadě zdravotnickém sektoru nelze dosáhnout významného zlepšení stavu ve výskytu reziduí pesticidů ve vodě. Navrhované řešení v oblasti prevence kontaminace vody pesticidy ze zemědělských vstupů je nezbytnou podmínkou řešení problému.</w:t>
      </w:r>
    </w:p>
    <w:p w14:paraId="52936733" w14:textId="77777777" w:rsidR="00CB2594" w:rsidRPr="007434DA" w:rsidRDefault="00CB2594" w:rsidP="00377134">
      <w:pPr>
        <w:pStyle w:val="UZEINormaln"/>
        <w:rPr>
          <w:b/>
        </w:rPr>
      </w:pPr>
      <w:r w:rsidRPr="007434DA">
        <w:rPr>
          <w:b/>
        </w:rPr>
        <w:t>4) Implementace Rámcové směrnice o vodách 2000/60/ES do české legislativy</w:t>
      </w:r>
    </w:p>
    <w:p w14:paraId="7BEAF068" w14:textId="1CB5FFED" w:rsidR="00CB2594" w:rsidRPr="007434DA" w:rsidRDefault="00CB2594" w:rsidP="00377134">
      <w:pPr>
        <w:pStyle w:val="UZEINormaln"/>
        <w:rPr>
          <w:rFonts w:cs="Times New Roman"/>
          <w:color w:val="333333"/>
        </w:rPr>
      </w:pPr>
      <w:r w:rsidRPr="007434DA">
        <w:t xml:space="preserve">Tato směrnice byla do české legislativy implementována těmito zákony: </w:t>
      </w:r>
      <w:r w:rsidRPr="007434DA">
        <w:rPr>
          <w:b/>
        </w:rPr>
        <w:t>Zákon 254/2001 Sb. o vodách</w:t>
      </w:r>
      <w:r w:rsidRPr="007434DA">
        <w:t xml:space="preserve"> (Vodní zákon) – řeší problematiku ochrany vod, nikoliv ve vazbě na zemědělství. </w:t>
      </w:r>
      <w:r w:rsidRPr="007434DA">
        <w:rPr>
          <w:b/>
        </w:rPr>
        <w:t>Vyhláška 98/2001 Sb</w:t>
      </w:r>
      <w:r w:rsidRPr="007434DA">
        <w:t xml:space="preserve">. o způsobu hodnocení stavu útvarů povrchových vod, způsobu hodnocení ekologického potenciálu silně ovlivněných a umělých útvarů povrchových vod a náležitostech programů zjišťování a hodnocení stavu povrchových vod – mimo jiné řeší problematiku monitoringu povrchových vod, nikoliv ve vazbě na zemědělství. </w:t>
      </w:r>
      <w:r w:rsidRPr="007434DA">
        <w:rPr>
          <w:b/>
        </w:rPr>
        <w:t>Vyhláška 5/2011 Sb.</w:t>
      </w:r>
      <w:r w:rsidRPr="007434DA">
        <w:t xml:space="preserve"> o vymezení hydrogeologických rajonů a útvarů podzemních vod, způsobu hodnocení stavu podzemních vod a náležitostech programů zjišťování a hodnocení stavu podzemních vod – mimo jiné řeší problematiku monitoringu podzemních vod, nikoliv ve vazbě na zemědělství. </w:t>
      </w:r>
      <w:r w:rsidRPr="007434DA">
        <w:rPr>
          <w:b/>
        </w:rPr>
        <w:t>Vyhláška 24/2011 Sb</w:t>
      </w:r>
      <w:r w:rsidRPr="007434DA">
        <w:t xml:space="preserve">. o plánech povodí a plánech pro zvládání povodňových rizik ve znění pozdějších předpisů – mimo jiné řeší problematiku opatření např. omezení negativních </w:t>
      </w:r>
      <w:r w:rsidRPr="007434DA">
        <w:rPr>
          <w:rFonts w:cs="Times New Roman"/>
        </w:rPr>
        <w:t xml:space="preserve">vlivů </w:t>
      </w:r>
      <w:r w:rsidRPr="007434DA">
        <w:rPr>
          <w:rFonts w:cs="Times New Roman"/>
          <w:i/>
          <w:iCs/>
        </w:rPr>
        <w:t>pesticidů</w:t>
      </w:r>
      <w:r w:rsidRPr="007434DA">
        <w:rPr>
          <w:rFonts w:cs="Times New Roman"/>
        </w:rPr>
        <w:t xml:space="preserve"> na povrchové a podzemní vody prostřednictvím Národních plánů oblastí všech tří povodí</w:t>
      </w:r>
      <w:r w:rsidRPr="007434DA">
        <w:rPr>
          <w:rStyle w:val="Znakapoznpodarou"/>
        </w:rPr>
        <w:footnoteReference w:id="29"/>
      </w:r>
      <w:r w:rsidRPr="007434DA">
        <w:rPr>
          <w:rFonts w:cs="Times New Roman"/>
        </w:rPr>
        <w:t xml:space="preserve"> nacházejících se na území ČR. </w:t>
      </w:r>
      <w:r w:rsidRPr="007434DA">
        <w:rPr>
          <w:rStyle w:val="Siln"/>
          <w:rFonts w:cs="Times New Roman"/>
        </w:rPr>
        <w:t xml:space="preserve">Národní plány povodí pořizuje MZe a MŽP ve spolupráci s příslušnými správci povodí a místně příslušnými krajskými úřady. Jedná se o </w:t>
      </w:r>
      <w:r w:rsidRPr="007434DA">
        <w:rPr>
          <w:rFonts w:cs="Times New Roman"/>
        </w:rPr>
        <w:t>Národní plán povodí Labe, Národní plán povodí Dunaje a Národní plán povodí Odry. Všechny uvedené plány jsou zpracovány na období 2015-2021 a jsou doplněny celkem o 10</w:t>
      </w:r>
      <w:r w:rsidRPr="007434DA">
        <w:rPr>
          <w:rFonts w:cs="Times New Roman"/>
          <w:color w:val="333333"/>
        </w:rPr>
        <w:t xml:space="preserve"> plánů dílčích povodí.</w:t>
      </w:r>
    </w:p>
    <w:p w14:paraId="717E34C6" w14:textId="5311F84B" w:rsidR="000E05D6" w:rsidRPr="007434DA" w:rsidRDefault="000E05D6" w:rsidP="000E05D6">
      <w:pPr>
        <w:spacing w:after="160" w:line="259" w:lineRule="auto"/>
        <w:jc w:val="left"/>
        <w:rPr>
          <w:rFonts w:eastAsia="Times New Roman" w:cs="Times New Roman"/>
          <w:color w:val="333333"/>
          <w:szCs w:val="24"/>
          <w:lang w:val="cs-CZ" w:eastAsia="cs-CZ"/>
        </w:rPr>
      </w:pPr>
      <w:r w:rsidRPr="007434DA">
        <w:rPr>
          <w:rFonts w:cs="Times New Roman"/>
          <w:color w:val="333333"/>
          <w:lang w:val="cs-CZ"/>
        </w:rPr>
        <w:br w:type="page"/>
      </w:r>
    </w:p>
    <w:p w14:paraId="7F15C0A9" w14:textId="77777777" w:rsidR="00CB2594" w:rsidRPr="007434DA" w:rsidRDefault="00CB2594" w:rsidP="006B29E1">
      <w:pPr>
        <w:pStyle w:val="Nadpis1"/>
      </w:pPr>
      <w:bookmarkStart w:id="153" w:name="_Toc519497848"/>
      <w:bookmarkStart w:id="154" w:name="_Toc520197038"/>
      <w:bookmarkStart w:id="155" w:name="_Toc520197115"/>
      <w:bookmarkStart w:id="156" w:name="_Toc12613415"/>
      <w:bookmarkStart w:id="157" w:name="_Toc80877864"/>
      <w:bookmarkStart w:id="158" w:name="_Toc81755615"/>
      <w:r w:rsidRPr="007434DA">
        <w:t>D</w:t>
      </w:r>
      <w:bookmarkEnd w:id="153"/>
      <w:bookmarkEnd w:id="154"/>
      <w:bookmarkEnd w:id="155"/>
      <w:r w:rsidRPr="007434DA">
        <w:t>etailnější posouzení vlivu předpisů</w:t>
      </w:r>
      <w:bookmarkEnd w:id="156"/>
      <w:bookmarkEnd w:id="157"/>
      <w:bookmarkEnd w:id="158"/>
    </w:p>
    <w:p w14:paraId="008D0F68" w14:textId="5D8F131E" w:rsidR="00CB2594" w:rsidRPr="007434DA" w:rsidRDefault="00CB2594" w:rsidP="000E05D6">
      <w:pPr>
        <w:pStyle w:val="UZEINormaln"/>
      </w:pPr>
      <w:r w:rsidRPr="007434DA">
        <w:t xml:space="preserve">Ve Svazu pro integrované systémy pěstování ovoce, jehož známka garantuje, že ovoce bylo vyprodukováno za výrazného omezení používání pesticidů a umělých </w:t>
      </w:r>
      <w:r w:rsidR="00F90F35">
        <w:t xml:space="preserve">hnojiv, bylo v roce 2018 </w:t>
      </w:r>
      <w:r w:rsidRPr="007434DA">
        <w:t>zaregistrováno 353 členů s celkovou výměrou ovocných sadů a školek 9,9 tis. ha. V roce 2018 byla známka SISPO udělena 219  členům, kteří pěstují ovoce na 8,3  tis. ha. Ochranná známka nebyla udělena nebo byla odebrána 67 producentům s plochou 1 023  ha</w:t>
      </w:r>
      <w:r w:rsidRPr="007434DA">
        <w:rPr>
          <w:vertAlign w:val="superscript"/>
        </w:rPr>
        <w:footnoteReference w:id="30"/>
      </w:r>
      <w:r w:rsidRPr="007434DA">
        <w:t xml:space="preserve">. </w:t>
      </w:r>
    </w:p>
    <w:p w14:paraId="3E94AD92" w14:textId="5F44283D" w:rsidR="00CB2594" w:rsidRPr="007434DA" w:rsidRDefault="00CB2594" w:rsidP="000E05D6">
      <w:pPr>
        <w:pStyle w:val="UZEINormaln"/>
      </w:pPr>
      <w:r w:rsidRPr="007434DA">
        <w:t>Ve Svazu pro integrovaný systém pěstování zeleniny (Svaz pro IPZ), kde jsou při pěstování zeleniny uplatňovány ekologicky přijatelné metody a minimalizace nežádoucích vedlejších účinků agrochemikálií při jejich používání, bylo v </w:t>
      </w:r>
      <w:r w:rsidR="00F90F35">
        <w:t>roce 2018 registrováno 99 členů s celkovou výměrou 7 011</w:t>
      </w:r>
      <w:r w:rsidRPr="007434DA">
        <w:t xml:space="preserve"> ha orné půdy což bylo 65 % z celkové pěstební ploch tržní zeleniny v ČR. Ochranná známka IPZ byla, v roce 2018, udělena 69 pěst</w:t>
      </w:r>
      <w:r w:rsidR="00F90F35">
        <w:t>itelům s celkovou výměrou 6 278</w:t>
      </w:r>
      <w:r w:rsidRPr="007434DA">
        <w:t xml:space="preserve"> ha. V přechodném období pak byli zařazeni 2 pěstitelé s výměrou 101 ha</w:t>
      </w:r>
      <w:r w:rsidRPr="007434DA">
        <w:rPr>
          <w:rStyle w:val="Znakapoznpodarou"/>
          <w:rFonts w:ascii="Arial" w:hAnsi="Arial" w:cs="Arial"/>
          <w:sz w:val="20"/>
          <w:szCs w:val="20"/>
        </w:rPr>
        <w:footnoteReference w:id="31"/>
      </w:r>
      <w:r w:rsidRPr="007434DA">
        <w:t xml:space="preserve">. </w:t>
      </w:r>
    </w:p>
    <w:p w14:paraId="68D39AFF" w14:textId="19432708" w:rsidR="00CB2594" w:rsidRPr="007434DA" w:rsidRDefault="00CB2594" w:rsidP="000E05D6">
      <w:pPr>
        <w:pStyle w:val="UZEINormaln"/>
      </w:pPr>
      <w:r w:rsidRPr="007434DA">
        <w:t xml:space="preserve">Také pěstování révy vinné je v rámci PRV 2014-2020 podporováno agroenvironmentálně-klimatickými opatřeními (AEKO), a to podopatřením Integrovaná produkce révy vinné s tituly základní a nadstavbová ochrana vinic. V rámci AEKO bylo v roce 2018 podáno 170 žádostí o dotaci na titul IP révy vinné – základní ochrana </w:t>
      </w:r>
      <w:r w:rsidR="00F90F35">
        <w:t>vinic, na celkovou výměru 2 416</w:t>
      </w:r>
      <w:r w:rsidRPr="007434DA">
        <w:t xml:space="preserve"> ha. V titulu IP révy vinné   nadstavbová ochrana vinic bylo v roce 2018 podáno 513 žádostí o </w:t>
      </w:r>
      <w:r w:rsidR="00F90F35">
        <w:t>dotaci na celkovou výměru 9 610</w:t>
      </w:r>
      <w:r w:rsidRPr="007434DA">
        <w:t xml:space="preserve"> ha</w:t>
      </w:r>
      <w:r w:rsidRPr="007434DA">
        <w:rPr>
          <w:vertAlign w:val="superscript"/>
        </w:rPr>
        <w:footnoteReference w:id="32"/>
      </w:r>
      <w:r w:rsidRPr="007434DA">
        <w:t>.</w:t>
      </w:r>
    </w:p>
    <w:p w14:paraId="18EE0F97" w14:textId="3DEF92D1" w:rsidR="00CB2594" w:rsidRPr="007434DA" w:rsidRDefault="00CB2594" w:rsidP="000E05D6">
      <w:pPr>
        <w:pStyle w:val="UZEINormaln"/>
        <w:rPr>
          <w:color w:val="000000" w:themeColor="text1"/>
        </w:rPr>
      </w:pPr>
      <w:r w:rsidRPr="007434DA">
        <w:rPr>
          <w:color w:val="000000" w:themeColor="text1"/>
        </w:rPr>
        <w:t>V systému ekologického zemědělstv</w:t>
      </w:r>
      <w:r w:rsidR="00F90F35">
        <w:rPr>
          <w:color w:val="000000" w:themeColor="text1"/>
        </w:rPr>
        <w:t>í bylo v roce 2018 zařazeno 116</w:t>
      </w:r>
      <w:r w:rsidRPr="007434DA">
        <w:rPr>
          <w:color w:val="000000" w:themeColor="text1"/>
        </w:rPr>
        <w:t xml:space="preserve"> pěstitelů ze</w:t>
      </w:r>
      <w:r w:rsidR="00F90F35">
        <w:rPr>
          <w:color w:val="000000" w:themeColor="text1"/>
        </w:rPr>
        <w:t>leniny s celkovou výměrou 265,7</w:t>
      </w:r>
      <w:r w:rsidRPr="007434DA">
        <w:rPr>
          <w:color w:val="000000" w:themeColor="text1"/>
        </w:rPr>
        <w:t xml:space="preserve"> ha orné půdy. Výměra ovocných sadů zařazených v systému ekologického zemědělství byla, dle LPIS, 3 189,2 ha. V této kategorii jsou zahrnuty intenzivní a extenzivní ovocné sady. Dále byl</w:t>
      </w:r>
      <w:r w:rsidR="00F90F35">
        <w:rPr>
          <w:color w:val="000000" w:themeColor="text1"/>
        </w:rPr>
        <w:t>o v systému EZ zařazeno 1 242,1</w:t>
      </w:r>
      <w:r w:rsidRPr="007434DA">
        <w:rPr>
          <w:color w:val="000000" w:themeColor="text1"/>
        </w:rPr>
        <w:t xml:space="preserve"> ha sadů krajinotvorných, u kterých není základním účelem produkce ovoce, ale zachování odrůdové rozmanitosti a krajinného rázu. Ve Statistickém šetření ekologického zemědělství, které je každoročně pro</w:t>
      </w:r>
      <w:r w:rsidR="00F90F35">
        <w:rPr>
          <w:color w:val="000000" w:themeColor="text1"/>
        </w:rPr>
        <w:t>váděno ÚZEI, je u ovocných sadů</w:t>
      </w:r>
      <w:r w:rsidRPr="007434DA">
        <w:rPr>
          <w:color w:val="000000" w:themeColor="text1"/>
        </w:rPr>
        <w:t xml:space="preserve"> sledována také plocha skutečně produkční</w:t>
      </w:r>
      <w:r w:rsidRPr="007434DA">
        <w:rPr>
          <w:rStyle w:val="Znakapoznpodarou"/>
          <w:rFonts w:ascii="Arial" w:hAnsi="Arial" w:cs="Arial"/>
          <w:color w:val="000000" w:themeColor="text1"/>
          <w:sz w:val="20"/>
          <w:szCs w:val="20"/>
        </w:rPr>
        <w:footnoteReference w:id="33"/>
      </w:r>
      <w:r w:rsidRPr="007434DA">
        <w:rPr>
          <w:color w:val="000000" w:themeColor="text1"/>
        </w:rPr>
        <w:t>, k</w:t>
      </w:r>
      <w:r w:rsidR="00F90F35">
        <w:rPr>
          <w:color w:val="000000" w:themeColor="text1"/>
        </w:rPr>
        <w:t>terá v roce 2018 činila 3 270,5</w:t>
      </w:r>
      <w:r w:rsidRPr="007434DA">
        <w:rPr>
          <w:color w:val="000000" w:themeColor="text1"/>
        </w:rPr>
        <w:t xml:space="preserve"> ha. V systému ekologického zemědělství bylo v</w:t>
      </w:r>
      <w:r w:rsidR="00F90F35">
        <w:rPr>
          <w:color w:val="000000" w:themeColor="text1"/>
        </w:rPr>
        <w:t> témže roce zařazeno celkem 540</w:t>
      </w:r>
      <w:r w:rsidRPr="007434DA">
        <w:rPr>
          <w:color w:val="000000" w:themeColor="text1"/>
        </w:rPr>
        <w:t xml:space="preserve"> farem s plochou ovocných sadů. V případě vin</w:t>
      </w:r>
      <w:r w:rsidR="00F90F35">
        <w:rPr>
          <w:color w:val="000000" w:themeColor="text1"/>
        </w:rPr>
        <w:t xml:space="preserve">ic bylo v roce 2018 podáno 90 </w:t>
      </w:r>
      <w:r w:rsidRPr="007434DA">
        <w:rPr>
          <w:color w:val="000000" w:themeColor="text1"/>
        </w:rPr>
        <w:t>žádostí do opatření ekologické zemědělství s kulturou vinice v režimu certifikovaném EZ. Dle LPIS byla celková plocha vinic zařazená v EZ 840,6 ha, plocha skute</w:t>
      </w:r>
      <w:r w:rsidR="00F90F35">
        <w:rPr>
          <w:color w:val="000000" w:themeColor="text1"/>
        </w:rPr>
        <w:t xml:space="preserve">čně produkční pak činila 837,4 </w:t>
      </w:r>
      <w:r w:rsidRPr="007434DA">
        <w:rPr>
          <w:color w:val="000000" w:themeColor="text1"/>
        </w:rPr>
        <w:t>ha</w:t>
      </w:r>
      <w:r w:rsidRPr="007434DA">
        <w:rPr>
          <w:rStyle w:val="Znakapoznpodarou"/>
          <w:rFonts w:ascii="Arial" w:hAnsi="Arial" w:cs="Arial"/>
          <w:color w:val="000000" w:themeColor="text1"/>
          <w:sz w:val="20"/>
          <w:szCs w:val="20"/>
        </w:rPr>
        <w:footnoteReference w:id="34"/>
      </w:r>
      <w:r w:rsidRPr="007434DA">
        <w:rPr>
          <w:color w:val="000000" w:themeColor="text1"/>
        </w:rPr>
        <w:t>.</w:t>
      </w:r>
    </w:p>
    <w:p w14:paraId="7FD8DD5B" w14:textId="421F430D" w:rsidR="00CB2594" w:rsidRPr="007434DA" w:rsidRDefault="00CB2594" w:rsidP="000E05D6">
      <w:pPr>
        <w:pStyle w:val="UZEINormaln"/>
        <w:rPr>
          <w:color w:val="000000" w:themeColor="text1"/>
        </w:rPr>
      </w:pPr>
      <w:r w:rsidRPr="007434DA">
        <w:rPr>
          <w:color w:val="000000" w:themeColor="text1"/>
        </w:rPr>
        <w:t xml:space="preserve">V případě pesticidů byla zjišťována při kontrolách porušení při nakládání s přípravky na ochranu rostlin. V rámci plnění požadavků cross compliance bylo v této oblasti provedeno </w:t>
      </w:r>
      <w:r w:rsidR="00F90F35">
        <w:rPr>
          <w:color w:val="000000" w:themeColor="text1"/>
        </w:rPr>
        <w:t xml:space="preserve">za období 2014-2018 celkem 2,1 </w:t>
      </w:r>
      <w:r w:rsidRPr="007434DA">
        <w:rPr>
          <w:color w:val="000000" w:themeColor="text1"/>
        </w:rPr>
        <w:t>tis. kontrol, z toho u 5,4  % byly zjištěny závady. V případě ostatních kontrol, tj. národní a kontroly SZIF, kte</w:t>
      </w:r>
      <w:r w:rsidR="00F90F35">
        <w:rPr>
          <w:color w:val="000000" w:themeColor="text1"/>
        </w:rPr>
        <w:t xml:space="preserve">rých bylo provedeno celkem 5,1 </w:t>
      </w:r>
      <w:r w:rsidRPr="007434DA">
        <w:rPr>
          <w:color w:val="000000" w:themeColor="text1"/>
        </w:rPr>
        <w:t xml:space="preserve">tis., resp. 2,2  tis. byl podíl závad nižší, tj. 4,1  % a 1  %). </w:t>
      </w:r>
    </w:p>
    <w:p w14:paraId="3DB0F388" w14:textId="0B279D9C" w:rsidR="00CB2594" w:rsidRPr="007434DA" w:rsidRDefault="00CB2594" w:rsidP="00CB2594">
      <w:pPr>
        <w:spacing w:before="120" w:line="360" w:lineRule="atLeast"/>
        <w:ind w:firstLine="567"/>
        <w:rPr>
          <w:rFonts w:ascii="Arial" w:eastAsia="Times New Roman" w:hAnsi="Arial" w:cs="Arial"/>
          <w:color w:val="000000" w:themeColor="text1"/>
          <w:sz w:val="20"/>
          <w:szCs w:val="20"/>
          <w:lang w:val="cs-CZ" w:eastAsia="cs-CZ"/>
        </w:rPr>
      </w:pPr>
    </w:p>
    <w:p w14:paraId="09D61549" w14:textId="74FB3A0E" w:rsidR="003673CC" w:rsidRPr="007434DA" w:rsidRDefault="003673CC" w:rsidP="00CB2594">
      <w:pPr>
        <w:spacing w:before="120" w:line="360" w:lineRule="atLeast"/>
        <w:ind w:firstLine="567"/>
        <w:rPr>
          <w:rFonts w:ascii="Arial" w:eastAsia="Times New Roman" w:hAnsi="Arial" w:cs="Arial"/>
          <w:color w:val="000000" w:themeColor="text1"/>
          <w:sz w:val="20"/>
          <w:szCs w:val="20"/>
          <w:lang w:val="cs-CZ" w:eastAsia="cs-CZ"/>
        </w:rPr>
      </w:pPr>
    </w:p>
    <w:p w14:paraId="64EF0F30" w14:textId="77777777" w:rsidR="003673CC" w:rsidRPr="007434DA" w:rsidRDefault="003673CC" w:rsidP="00CB2594">
      <w:pPr>
        <w:spacing w:before="120" w:line="360" w:lineRule="atLeast"/>
        <w:ind w:firstLine="567"/>
        <w:rPr>
          <w:rFonts w:ascii="Arial" w:eastAsia="Times New Roman" w:hAnsi="Arial" w:cs="Arial"/>
          <w:color w:val="000000" w:themeColor="text1"/>
          <w:sz w:val="20"/>
          <w:szCs w:val="20"/>
          <w:lang w:val="cs-CZ" w:eastAsia="cs-CZ"/>
        </w:rPr>
      </w:pPr>
    </w:p>
    <w:p w14:paraId="487B6B78" w14:textId="07A0CFC8" w:rsidR="00CB2594" w:rsidRPr="007434DA" w:rsidRDefault="00CB2594" w:rsidP="002622E7">
      <w:pPr>
        <w:pStyle w:val="UZEITaB"/>
        <w:ind w:left="1134" w:hanging="1134"/>
      </w:pPr>
      <w:bookmarkStart w:id="159" w:name="_Toc94095288"/>
      <w:r w:rsidRPr="007434DA">
        <w:t>Přehled výsledků kontrol nakládání s POR dle typu kontroly</w:t>
      </w:r>
      <w:bookmarkEnd w:id="159"/>
    </w:p>
    <w:tbl>
      <w:tblPr>
        <w:tblStyle w:val="Mkatabulky"/>
        <w:tblW w:w="0" w:type="auto"/>
        <w:tblLayout w:type="fixed"/>
        <w:tblLook w:val="04A0" w:firstRow="1" w:lastRow="0" w:firstColumn="1" w:lastColumn="0" w:noHBand="0" w:noVBand="1"/>
      </w:tblPr>
      <w:tblGrid>
        <w:gridCol w:w="2939"/>
        <w:gridCol w:w="1304"/>
        <w:gridCol w:w="1274"/>
        <w:gridCol w:w="1139"/>
        <w:gridCol w:w="1274"/>
        <w:gridCol w:w="1139"/>
      </w:tblGrid>
      <w:tr w:rsidR="00CB2594" w:rsidRPr="007434DA" w14:paraId="21A5C131" w14:textId="77777777" w:rsidTr="004A57B3">
        <w:trPr>
          <w:trHeight w:val="300"/>
        </w:trPr>
        <w:tc>
          <w:tcPr>
            <w:tcW w:w="2939" w:type="dxa"/>
            <w:vMerge w:val="restart"/>
            <w:tcBorders>
              <w:top w:val="single" w:sz="8" w:space="0" w:color="auto"/>
              <w:left w:val="single" w:sz="8" w:space="0" w:color="auto"/>
              <w:bottom w:val="single" w:sz="8" w:space="0" w:color="000000" w:themeColor="text1"/>
              <w:right w:val="single" w:sz="8" w:space="0" w:color="auto"/>
            </w:tcBorders>
            <w:vAlign w:val="center"/>
          </w:tcPr>
          <w:p w14:paraId="41D6A3E0" w14:textId="77777777" w:rsidR="00CB2594" w:rsidRPr="007434DA" w:rsidRDefault="00CB2594" w:rsidP="004A57B3">
            <w:pPr>
              <w:rPr>
                <w:sz w:val="20"/>
              </w:rPr>
            </w:pPr>
            <w:r w:rsidRPr="007434DA">
              <w:rPr>
                <w:rFonts w:cs="Calibri"/>
                <w:b/>
                <w:bCs/>
                <w:color w:val="000000" w:themeColor="text1"/>
                <w:sz w:val="20"/>
              </w:rPr>
              <w:t>Typ kontroly používání POR</w:t>
            </w:r>
          </w:p>
        </w:tc>
        <w:tc>
          <w:tcPr>
            <w:tcW w:w="6130" w:type="dxa"/>
            <w:gridSpan w:val="5"/>
            <w:tcBorders>
              <w:top w:val="single" w:sz="8" w:space="0" w:color="auto"/>
              <w:left w:val="single" w:sz="8" w:space="0" w:color="auto"/>
              <w:bottom w:val="single" w:sz="8" w:space="0" w:color="auto"/>
              <w:right w:val="single" w:sz="8" w:space="0" w:color="auto"/>
            </w:tcBorders>
            <w:vAlign w:val="center"/>
          </w:tcPr>
          <w:p w14:paraId="62599493" w14:textId="77777777" w:rsidR="00CB2594" w:rsidRPr="007434DA" w:rsidRDefault="00CB2594" w:rsidP="004A57B3">
            <w:pPr>
              <w:jc w:val="center"/>
              <w:rPr>
                <w:rFonts w:cs="Calibri"/>
                <w:b/>
                <w:bCs/>
                <w:color w:val="000000" w:themeColor="text1"/>
                <w:sz w:val="20"/>
              </w:rPr>
            </w:pPr>
            <w:r w:rsidRPr="007434DA">
              <w:rPr>
                <w:rFonts w:cs="Calibri"/>
                <w:b/>
                <w:bCs/>
                <w:color w:val="000000" w:themeColor="text1"/>
                <w:sz w:val="20"/>
              </w:rPr>
              <w:t>Počet kontrol celkem/počet závad</w:t>
            </w:r>
          </w:p>
        </w:tc>
      </w:tr>
      <w:tr w:rsidR="00CB2594" w:rsidRPr="007434DA" w14:paraId="32A0606B" w14:textId="77777777" w:rsidTr="004A57B3">
        <w:trPr>
          <w:trHeight w:val="300"/>
        </w:trPr>
        <w:tc>
          <w:tcPr>
            <w:tcW w:w="2939" w:type="dxa"/>
            <w:vMerge/>
            <w:tcBorders>
              <w:left w:val="single" w:sz="0" w:space="0" w:color="auto"/>
              <w:bottom w:val="single" w:sz="0" w:space="0" w:color="000000" w:themeColor="text1"/>
              <w:right w:val="single" w:sz="0" w:space="0" w:color="auto"/>
            </w:tcBorders>
            <w:vAlign w:val="center"/>
          </w:tcPr>
          <w:p w14:paraId="6EF13CF4" w14:textId="77777777" w:rsidR="00CB2594" w:rsidRPr="007434DA" w:rsidRDefault="00CB2594" w:rsidP="004A57B3">
            <w:pPr>
              <w:rPr>
                <w:sz w:val="20"/>
              </w:rPr>
            </w:pPr>
          </w:p>
        </w:tc>
        <w:tc>
          <w:tcPr>
            <w:tcW w:w="1304" w:type="dxa"/>
            <w:tcBorders>
              <w:top w:val="single" w:sz="8" w:space="0" w:color="auto"/>
              <w:left w:val="nil"/>
              <w:bottom w:val="single" w:sz="8" w:space="0" w:color="auto"/>
              <w:right w:val="single" w:sz="8" w:space="0" w:color="auto"/>
            </w:tcBorders>
            <w:vAlign w:val="center"/>
          </w:tcPr>
          <w:p w14:paraId="37BC59C6" w14:textId="77777777" w:rsidR="00CB2594" w:rsidRPr="007434DA" w:rsidRDefault="00CB2594" w:rsidP="004A57B3">
            <w:pPr>
              <w:jc w:val="center"/>
              <w:rPr>
                <w:rFonts w:cs="Calibri"/>
                <w:b/>
                <w:bCs/>
                <w:color w:val="000000" w:themeColor="text1"/>
                <w:sz w:val="20"/>
              </w:rPr>
            </w:pPr>
            <w:r w:rsidRPr="007434DA">
              <w:rPr>
                <w:rFonts w:cs="Calibri"/>
                <w:b/>
                <w:bCs/>
                <w:color w:val="000000" w:themeColor="text1"/>
                <w:sz w:val="20"/>
              </w:rPr>
              <w:t>2014</w:t>
            </w:r>
          </w:p>
        </w:tc>
        <w:tc>
          <w:tcPr>
            <w:tcW w:w="1274" w:type="dxa"/>
            <w:tcBorders>
              <w:top w:val="nil"/>
              <w:left w:val="single" w:sz="8" w:space="0" w:color="auto"/>
              <w:bottom w:val="single" w:sz="8" w:space="0" w:color="auto"/>
              <w:right w:val="single" w:sz="8" w:space="0" w:color="auto"/>
            </w:tcBorders>
            <w:vAlign w:val="center"/>
          </w:tcPr>
          <w:p w14:paraId="4FCCC198" w14:textId="77777777" w:rsidR="00CB2594" w:rsidRPr="007434DA" w:rsidRDefault="00CB2594" w:rsidP="004A57B3">
            <w:pPr>
              <w:jc w:val="center"/>
              <w:rPr>
                <w:rFonts w:cs="Calibri"/>
                <w:b/>
                <w:bCs/>
                <w:color w:val="000000" w:themeColor="text1"/>
                <w:sz w:val="20"/>
              </w:rPr>
            </w:pPr>
            <w:r w:rsidRPr="007434DA">
              <w:rPr>
                <w:rFonts w:cs="Calibri"/>
                <w:b/>
                <w:bCs/>
                <w:color w:val="000000" w:themeColor="text1"/>
                <w:sz w:val="20"/>
              </w:rPr>
              <w:t>2015</w:t>
            </w:r>
          </w:p>
        </w:tc>
        <w:tc>
          <w:tcPr>
            <w:tcW w:w="1139" w:type="dxa"/>
            <w:tcBorders>
              <w:top w:val="nil"/>
              <w:left w:val="single" w:sz="8" w:space="0" w:color="auto"/>
              <w:bottom w:val="single" w:sz="8" w:space="0" w:color="auto"/>
              <w:right w:val="single" w:sz="8" w:space="0" w:color="auto"/>
            </w:tcBorders>
            <w:vAlign w:val="center"/>
          </w:tcPr>
          <w:p w14:paraId="7D2BB4B0" w14:textId="77777777" w:rsidR="00CB2594" w:rsidRPr="007434DA" w:rsidRDefault="00CB2594" w:rsidP="004A57B3">
            <w:pPr>
              <w:jc w:val="center"/>
              <w:rPr>
                <w:rFonts w:cs="Calibri"/>
                <w:b/>
                <w:bCs/>
                <w:color w:val="000000" w:themeColor="text1"/>
                <w:sz w:val="20"/>
              </w:rPr>
            </w:pPr>
            <w:r w:rsidRPr="007434DA">
              <w:rPr>
                <w:rFonts w:cs="Calibri"/>
                <w:b/>
                <w:bCs/>
                <w:color w:val="000000" w:themeColor="text1"/>
                <w:sz w:val="20"/>
              </w:rPr>
              <w:t>2016</w:t>
            </w:r>
          </w:p>
        </w:tc>
        <w:tc>
          <w:tcPr>
            <w:tcW w:w="1274" w:type="dxa"/>
            <w:tcBorders>
              <w:top w:val="nil"/>
              <w:left w:val="single" w:sz="8" w:space="0" w:color="auto"/>
              <w:bottom w:val="single" w:sz="8" w:space="0" w:color="auto"/>
              <w:right w:val="single" w:sz="8" w:space="0" w:color="auto"/>
            </w:tcBorders>
            <w:vAlign w:val="center"/>
          </w:tcPr>
          <w:p w14:paraId="10BFC74A" w14:textId="77777777" w:rsidR="00CB2594" w:rsidRPr="007434DA" w:rsidRDefault="00CB2594" w:rsidP="004A57B3">
            <w:pPr>
              <w:jc w:val="center"/>
              <w:rPr>
                <w:rFonts w:cs="Calibri"/>
                <w:b/>
                <w:bCs/>
                <w:color w:val="000000" w:themeColor="text1"/>
                <w:sz w:val="20"/>
              </w:rPr>
            </w:pPr>
            <w:r w:rsidRPr="007434DA">
              <w:rPr>
                <w:rFonts w:cs="Calibri"/>
                <w:b/>
                <w:bCs/>
                <w:color w:val="000000" w:themeColor="text1"/>
                <w:sz w:val="20"/>
              </w:rPr>
              <w:t>2017</w:t>
            </w:r>
          </w:p>
        </w:tc>
        <w:tc>
          <w:tcPr>
            <w:tcW w:w="1139" w:type="dxa"/>
            <w:tcBorders>
              <w:top w:val="nil"/>
              <w:left w:val="single" w:sz="8" w:space="0" w:color="auto"/>
              <w:bottom w:val="single" w:sz="8" w:space="0" w:color="auto"/>
              <w:right w:val="single" w:sz="8" w:space="0" w:color="auto"/>
            </w:tcBorders>
            <w:vAlign w:val="center"/>
          </w:tcPr>
          <w:p w14:paraId="284D2565" w14:textId="77777777" w:rsidR="00CB2594" w:rsidRPr="007434DA" w:rsidRDefault="00CB2594" w:rsidP="004A57B3">
            <w:pPr>
              <w:jc w:val="center"/>
              <w:rPr>
                <w:rFonts w:cs="Calibri"/>
                <w:b/>
                <w:bCs/>
                <w:color w:val="000000" w:themeColor="text1"/>
                <w:sz w:val="20"/>
              </w:rPr>
            </w:pPr>
            <w:r w:rsidRPr="007434DA">
              <w:rPr>
                <w:rFonts w:cs="Calibri"/>
                <w:b/>
                <w:bCs/>
                <w:color w:val="000000" w:themeColor="text1"/>
                <w:sz w:val="20"/>
              </w:rPr>
              <w:t>2018</w:t>
            </w:r>
          </w:p>
        </w:tc>
      </w:tr>
      <w:tr w:rsidR="00CB2594" w:rsidRPr="007434DA" w14:paraId="3F2EEC05" w14:textId="77777777" w:rsidTr="004A57B3">
        <w:trPr>
          <w:trHeight w:val="300"/>
        </w:trPr>
        <w:tc>
          <w:tcPr>
            <w:tcW w:w="2939" w:type="dxa"/>
            <w:tcBorders>
              <w:top w:val="nil"/>
              <w:left w:val="single" w:sz="8" w:space="0" w:color="auto"/>
              <w:bottom w:val="single" w:sz="8" w:space="0" w:color="auto"/>
              <w:right w:val="single" w:sz="8" w:space="0" w:color="auto"/>
            </w:tcBorders>
            <w:vAlign w:val="center"/>
          </w:tcPr>
          <w:p w14:paraId="4D9FC2B6" w14:textId="77777777" w:rsidR="00CB2594" w:rsidRPr="007434DA" w:rsidRDefault="00CB2594" w:rsidP="004A57B3">
            <w:pPr>
              <w:rPr>
                <w:sz w:val="20"/>
              </w:rPr>
            </w:pPr>
            <w:r w:rsidRPr="007434DA">
              <w:rPr>
                <w:rFonts w:cs="Calibri"/>
                <w:b/>
                <w:bCs/>
                <w:color w:val="000000" w:themeColor="text1"/>
                <w:sz w:val="20"/>
              </w:rPr>
              <w:t>Kontroly podmíněnosti (CC)</w:t>
            </w:r>
          </w:p>
        </w:tc>
        <w:tc>
          <w:tcPr>
            <w:tcW w:w="1304" w:type="dxa"/>
            <w:tcBorders>
              <w:top w:val="single" w:sz="8" w:space="0" w:color="auto"/>
              <w:left w:val="single" w:sz="8" w:space="0" w:color="auto"/>
              <w:bottom w:val="single" w:sz="8" w:space="0" w:color="auto"/>
              <w:right w:val="single" w:sz="8" w:space="0" w:color="auto"/>
            </w:tcBorders>
            <w:vAlign w:val="center"/>
          </w:tcPr>
          <w:p w14:paraId="04FD91CB" w14:textId="77777777" w:rsidR="00CB2594" w:rsidRPr="007434DA" w:rsidRDefault="00CB2594" w:rsidP="004A57B3">
            <w:pPr>
              <w:jc w:val="right"/>
              <w:rPr>
                <w:rFonts w:cs="Calibri"/>
                <w:color w:val="000000" w:themeColor="text1"/>
                <w:sz w:val="20"/>
              </w:rPr>
            </w:pPr>
            <w:r w:rsidRPr="007434DA">
              <w:rPr>
                <w:rFonts w:cs="Calibri"/>
                <w:color w:val="000000" w:themeColor="text1"/>
                <w:sz w:val="20"/>
              </w:rPr>
              <w:t>522/27</w:t>
            </w:r>
          </w:p>
        </w:tc>
        <w:tc>
          <w:tcPr>
            <w:tcW w:w="1274" w:type="dxa"/>
            <w:tcBorders>
              <w:top w:val="single" w:sz="8" w:space="0" w:color="auto"/>
              <w:left w:val="single" w:sz="8" w:space="0" w:color="auto"/>
              <w:bottom w:val="single" w:sz="8" w:space="0" w:color="auto"/>
              <w:right w:val="single" w:sz="8" w:space="0" w:color="auto"/>
            </w:tcBorders>
            <w:vAlign w:val="center"/>
          </w:tcPr>
          <w:p w14:paraId="0ECECBC7" w14:textId="77777777" w:rsidR="00CB2594" w:rsidRPr="007434DA" w:rsidRDefault="00CB2594" w:rsidP="004A57B3">
            <w:pPr>
              <w:jc w:val="right"/>
              <w:rPr>
                <w:rFonts w:cs="Calibri"/>
                <w:color w:val="000000" w:themeColor="text1"/>
                <w:sz w:val="20"/>
              </w:rPr>
            </w:pPr>
            <w:r w:rsidRPr="007434DA">
              <w:rPr>
                <w:rFonts w:cs="Calibri"/>
                <w:color w:val="000000" w:themeColor="text1"/>
                <w:sz w:val="20"/>
              </w:rPr>
              <w:t>390/28</w:t>
            </w:r>
          </w:p>
        </w:tc>
        <w:tc>
          <w:tcPr>
            <w:tcW w:w="1139" w:type="dxa"/>
            <w:tcBorders>
              <w:top w:val="single" w:sz="8" w:space="0" w:color="auto"/>
              <w:left w:val="single" w:sz="8" w:space="0" w:color="auto"/>
              <w:bottom w:val="single" w:sz="8" w:space="0" w:color="auto"/>
              <w:right w:val="single" w:sz="8" w:space="0" w:color="auto"/>
            </w:tcBorders>
            <w:vAlign w:val="center"/>
          </w:tcPr>
          <w:p w14:paraId="2E6C3928" w14:textId="77777777" w:rsidR="00CB2594" w:rsidRPr="007434DA" w:rsidRDefault="00CB2594" w:rsidP="004A57B3">
            <w:pPr>
              <w:jc w:val="right"/>
              <w:rPr>
                <w:rFonts w:cs="Calibri"/>
                <w:color w:val="000000" w:themeColor="text1"/>
                <w:sz w:val="20"/>
              </w:rPr>
            </w:pPr>
            <w:r w:rsidRPr="007434DA">
              <w:rPr>
                <w:rFonts w:cs="Calibri"/>
                <w:color w:val="000000" w:themeColor="text1"/>
                <w:sz w:val="20"/>
              </w:rPr>
              <w:t>421/21</w:t>
            </w:r>
          </w:p>
        </w:tc>
        <w:tc>
          <w:tcPr>
            <w:tcW w:w="1274" w:type="dxa"/>
            <w:tcBorders>
              <w:top w:val="single" w:sz="8" w:space="0" w:color="auto"/>
              <w:left w:val="single" w:sz="8" w:space="0" w:color="auto"/>
              <w:bottom w:val="single" w:sz="8" w:space="0" w:color="auto"/>
              <w:right w:val="single" w:sz="8" w:space="0" w:color="auto"/>
            </w:tcBorders>
            <w:vAlign w:val="center"/>
          </w:tcPr>
          <w:p w14:paraId="08D97F4A" w14:textId="77777777" w:rsidR="00CB2594" w:rsidRPr="007434DA" w:rsidRDefault="00CB2594" w:rsidP="004A57B3">
            <w:pPr>
              <w:jc w:val="right"/>
              <w:rPr>
                <w:rFonts w:cs="Calibri"/>
                <w:color w:val="000000" w:themeColor="text1"/>
                <w:sz w:val="20"/>
              </w:rPr>
            </w:pPr>
            <w:r w:rsidRPr="007434DA">
              <w:rPr>
                <w:rFonts w:cs="Calibri"/>
                <w:color w:val="000000" w:themeColor="text1"/>
                <w:sz w:val="20"/>
              </w:rPr>
              <w:t>396/27</w:t>
            </w:r>
          </w:p>
        </w:tc>
        <w:tc>
          <w:tcPr>
            <w:tcW w:w="1139" w:type="dxa"/>
            <w:tcBorders>
              <w:top w:val="single" w:sz="8" w:space="0" w:color="auto"/>
              <w:left w:val="single" w:sz="8" w:space="0" w:color="auto"/>
              <w:bottom w:val="single" w:sz="8" w:space="0" w:color="auto"/>
              <w:right w:val="single" w:sz="8" w:space="0" w:color="auto"/>
            </w:tcBorders>
            <w:vAlign w:val="center"/>
          </w:tcPr>
          <w:p w14:paraId="1AF4DF80" w14:textId="77777777" w:rsidR="00CB2594" w:rsidRPr="007434DA" w:rsidRDefault="00CB2594" w:rsidP="004A57B3">
            <w:pPr>
              <w:jc w:val="right"/>
              <w:rPr>
                <w:rFonts w:cs="Calibri"/>
                <w:color w:val="000000" w:themeColor="text1"/>
                <w:sz w:val="20"/>
              </w:rPr>
            </w:pPr>
            <w:r w:rsidRPr="007434DA">
              <w:rPr>
                <w:rFonts w:cs="Calibri"/>
                <w:color w:val="000000" w:themeColor="text1"/>
                <w:sz w:val="20"/>
              </w:rPr>
              <w:t>394/17</w:t>
            </w:r>
          </w:p>
        </w:tc>
      </w:tr>
      <w:tr w:rsidR="00CB2594" w:rsidRPr="007434DA" w14:paraId="18339AC3" w14:textId="77777777" w:rsidTr="004A57B3">
        <w:trPr>
          <w:trHeight w:val="300"/>
        </w:trPr>
        <w:tc>
          <w:tcPr>
            <w:tcW w:w="2939" w:type="dxa"/>
            <w:tcBorders>
              <w:top w:val="single" w:sz="8" w:space="0" w:color="auto"/>
              <w:left w:val="single" w:sz="8" w:space="0" w:color="auto"/>
              <w:bottom w:val="single" w:sz="8" w:space="0" w:color="000000" w:themeColor="text1"/>
              <w:right w:val="single" w:sz="8" w:space="0" w:color="auto"/>
            </w:tcBorders>
            <w:vAlign w:val="center"/>
          </w:tcPr>
          <w:p w14:paraId="06215057" w14:textId="77777777" w:rsidR="00CB2594" w:rsidRPr="007434DA" w:rsidRDefault="00CB2594" w:rsidP="004A57B3">
            <w:pPr>
              <w:rPr>
                <w:sz w:val="20"/>
              </w:rPr>
            </w:pPr>
            <w:r w:rsidRPr="007434DA">
              <w:rPr>
                <w:rFonts w:cs="Calibri"/>
                <w:b/>
                <w:bCs/>
                <w:color w:val="000000" w:themeColor="text1"/>
                <w:sz w:val="20"/>
              </w:rPr>
              <w:t>Národní kontroly</w:t>
            </w:r>
          </w:p>
        </w:tc>
        <w:tc>
          <w:tcPr>
            <w:tcW w:w="1304" w:type="dxa"/>
            <w:tcBorders>
              <w:top w:val="single" w:sz="8" w:space="0" w:color="auto"/>
              <w:left w:val="single" w:sz="8" w:space="0" w:color="auto"/>
              <w:bottom w:val="single" w:sz="8" w:space="0" w:color="auto"/>
              <w:right w:val="single" w:sz="8" w:space="0" w:color="auto"/>
            </w:tcBorders>
            <w:vAlign w:val="center"/>
          </w:tcPr>
          <w:p w14:paraId="4713C8E3" w14:textId="77777777" w:rsidR="00CB2594" w:rsidRPr="007434DA" w:rsidRDefault="00CB2594" w:rsidP="004A57B3">
            <w:pPr>
              <w:jc w:val="right"/>
              <w:rPr>
                <w:rFonts w:cs="Calibri"/>
                <w:color w:val="000000" w:themeColor="text1"/>
                <w:sz w:val="20"/>
              </w:rPr>
            </w:pPr>
            <w:r w:rsidRPr="007434DA">
              <w:rPr>
                <w:rFonts w:cs="Calibri"/>
                <w:color w:val="000000" w:themeColor="text1"/>
                <w:sz w:val="20"/>
              </w:rPr>
              <w:t>1 246/74</w:t>
            </w:r>
          </w:p>
        </w:tc>
        <w:tc>
          <w:tcPr>
            <w:tcW w:w="1274" w:type="dxa"/>
            <w:tcBorders>
              <w:top w:val="single" w:sz="8" w:space="0" w:color="auto"/>
              <w:left w:val="single" w:sz="8" w:space="0" w:color="auto"/>
              <w:bottom w:val="single" w:sz="8" w:space="0" w:color="auto"/>
              <w:right w:val="single" w:sz="8" w:space="0" w:color="auto"/>
            </w:tcBorders>
            <w:vAlign w:val="center"/>
          </w:tcPr>
          <w:p w14:paraId="5D0E778B" w14:textId="77777777" w:rsidR="00CB2594" w:rsidRPr="007434DA" w:rsidRDefault="00CB2594" w:rsidP="004A57B3">
            <w:pPr>
              <w:jc w:val="right"/>
              <w:rPr>
                <w:rFonts w:cs="Calibri"/>
                <w:color w:val="000000" w:themeColor="text1"/>
                <w:sz w:val="20"/>
              </w:rPr>
            </w:pPr>
            <w:r w:rsidRPr="007434DA">
              <w:rPr>
                <w:rFonts w:cs="Calibri"/>
                <w:color w:val="000000" w:themeColor="text1"/>
                <w:sz w:val="20"/>
              </w:rPr>
              <w:t>1 145/55</w:t>
            </w:r>
          </w:p>
        </w:tc>
        <w:tc>
          <w:tcPr>
            <w:tcW w:w="1139" w:type="dxa"/>
            <w:tcBorders>
              <w:top w:val="single" w:sz="8" w:space="0" w:color="auto"/>
              <w:left w:val="single" w:sz="8" w:space="0" w:color="auto"/>
              <w:bottom w:val="single" w:sz="8" w:space="0" w:color="auto"/>
              <w:right w:val="single" w:sz="8" w:space="0" w:color="auto"/>
            </w:tcBorders>
            <w:vAlign w:val="center"/>
          </w:tcPr>
          <w:p w14:paraId="0F0CE97D" w14:textId="77777777" w:rsidR="00CB2594" w:rsidRPr="007434DA" w:rsidRDefault="00CB2594" w:rsidP="004A57B3">
            <w:pPr>
              <w:jc w:val="right"/>
              <w:rPr>
                <w:rFonts w:cs="Calibri"/>
                <w:color w:val="000000" w:themeColor="text1"/>
                <w:sz w:val="20"/>
              </w:rPr>
            </w:pPr>
            <w:r w:rsidRPr="007434DA">
              <w:rPr>
                <w:rFonts w:cs="Calibri"/>
                <w:color w:val="000000" w:themeColor="text1"/>
                <w:sz w:val="20"/>
              </w:rPr>
              <w:t>1 197/50</w:t>
            </w:r>
          </w:p>
        </w:tc>
        <w:tc>
          <w:tcPr>
            <w:tcW w:w="1274" w:type="dxa"/>
            <w:tcBorders>
              <w:top w:val="single" w:sz="8" w:space="0" w:color="auto"/>
              <w:left w:val="single" w:sz="8" w:space="0" w:color="auto"/>
              <w:bottom w:val="single" w:sz="8" w:space="0" w:color="auto"/>
              <w:right w:val="single" w:sz="8" w:space="0" w:color="auto"/>
            </w:tcBorders>
            <w:vAlign w:val="center"/>
          </w:tcPr>
          <w:p w14:paraId="7D6619A7" w14:textId="77777777" w:rsidR="00CB2594" w:rsidRPr="007434DA" w:rsidRDefault="00CB2594" w:rsidP="004A57B3">
            <w:pPr>
              <w:jc w:val="right"/>
              <w:rPr>
                <w:rFonts w:cs="Calibri"/>
                <w:color w:val="000000" w:themeColor="text1"/>
                <w:sz w:val="20"/>
              </w:rPr>
            </w:pPr>
            <w:r w:rsidRPr="007434DA">
              <w:rPr>
                <w:rFonts w:cs="Calibri"/>
                <w:color w:val="000000" w:themeColor="text1"/>
                <w:sz w:val="20"/>
              </w:rPr>
              <w:t>878/18</w:t>
            </w:r>
          </w:p>
        </w:tc>
        <w:tc>
          <w:tcPr>
            <w:tcW w:w="1139" w:type="dxa"/>
            <w:tcBorders>
              <w:top w:val="single" w:sz="8" w:space="0" w:color="auto"/>
              <w:left w:val="single" w:sz="8" w:space="0" w:color="auto"/>
              <w:bottom w:val="single" w:sz="8" w:space="0" w:color="auto"/>
              <w:right w:val="single" w:sz="8" w:space="0" w:color="auto"/>
            </w:tcBorders>
            <w:vAlign w:val="center"/>
          </w:tcPr>
          <w:p w14:paraId="50F3132E" w14:textId="77777777" w:rsidR="00CB2594" w:rsidRPr="007434DA" w:rsidRDefault="00CB2594" w:rsidP="004A57B3">
            <w:pPr>
              <w:jc w:val="right"/>
              <w:rPr>
                <w:rFonts w:cs="Calibri"/>
                <w:color w:val="000000" w:themeColor="text1"/>
                <w:sz w:val="20"/>
              </w:rPr>
            </w:pPr>
            <w:r w:rsidRPr="007434DA">
              <w:rPr>
                <w:rFonts w:cs="Calibri"/>
                <w:color w:val="000000" w:themeColor="text1"/>
                <w:sz w:val="20"/>
              </w:rPr>
              <w:t>650/14</w:t>
            </w:r>
          </w:p>
        </w:tc>
      </w:tr>
      <w:tr w:rsidR="00CB2594" w:rsidRPr="007434DA" w14:paraId="68F2000B" w14:textId="77777777" w:rsidTr="004A57B3">
        <w:trPr>
          <w:trHeight w:val="300"/>
        </w:trPr>
        <w:tc>
          <w:tcPr>
            <w:tcW w:w="2939" w:type="dxa"/>
            <w:tcBorders>
              <w:top w:val="single" w:sz="8" w:space="0" w:color="auto"/>
              <w:left w:val="single" w:sz="8" w:space="0" w:color="auto"/>
              <w:bottom w:val="single" w:sz="8" w:space="0" w:color="auto"/>
              <w:right w:val="single" w:sz="8" w:space="0" w:color="auto"/>
            </w:tcBorders>
            <w:vAlign w:val="center"/>
          </w:tcPr>
          <w:p w14:paraId="0EC4F685" w14:textId="77777777" w:rsidR="00CB2594" w:rsidRPr="007434DA" w:rsidRDefault="00CB2594" w:rsidP="004A57B3">
            <w:pPr>
              <w:rPr>
                <w:sz w:val="20"/>
              </w:rPr>
            </w:pPr>
            <w:r w:rsidRPr="007434DA">
              <w:rPr>
                <w:rFonts w:cs="Calibri"/>
                <w:b/>
                <w:bCs/>
                <w:color w:val="000000" w:themeColor="text1"/>
                <w:sz w:val="20"/>
              </w:rPr>
              <w:t>Kontroly delegované SZIF</w:t>
            </w:r>
          </w:p>
        </w:tc>
        <w:tc>
          <w:tcPr>
            <w:tcW w:w="1304" w:type="dxa"/>
            <w:tcBorders>
              <w:top w:val="single" w:sz="8" w:space="0" w:color="auto"/>
              <w:left w:val="single" w:sz="8" w:space="0" w:color="auto"/>
              <w:bottom w:val="single" w:sz="8" w:space="0" w:color="auto"/>
              <w:right w:val="single" w:sz="8" w:space="0" w:color="auto"/>
            </w:tcBorders>
            <w:vAlign w:val="center"/>
          </w:tcPr>
          <w:p w14:paraId="35321154" w14:textId="77777777" w:rsidR="00CB2594" w:rsidRPr="007434DA" w:rsidRDefault="00CB2594" w:rsidP="004A57B3">
            <w:pPr>
              <w:jc w:val="right"/>
              <w:rPr>
                <w:rFonts w:cs="Calibri"/>
                <w:color w:val="000000" w:themeColor="text1"/>
                <w:sz w:val="20"/>
              </w:rPr>
            </w:pPr>
            <w:r w:rsidRPr="007434DA">
              <w:rPr>
                <w:rFonts w:cs="Calibri"/>
                <w:color w:val="000000" w:themeColor="text1"/>
                <w:sz w:val="20"/>
              </w:rPr>
              <w:t>289/3</w:t>
            </w:r>
          </w:p>
        </w:tc>
        <w:tc>
          <w:tcPr>
            <w:tcW w:w="1274" w:type="dxa"/>
            <w:tcBorders>
              <w:top w:val="single" w:sz="8" w:space="0" w:color="auto"/>
              <w:left w:val="single" w:sz="8" w:space="0" w:color="auto"/>
              <w:bottom w:val="single" w:sz="8" w:space="0" w:color="auto"/>
              <w:right w:val="single" w:sz="8" w:space="0" w:color="auto"/>
            </w:tcBorders>
            <w:vAlign w:val="center"/>
          </w:tcPr>
          <w:p w14:paraId="5CCF8227" w14:textId="77777777" w:rsidR="00CB2594" w:rsidRPr="007434DA" w:rsidRDefault="00CB2594" w:rsidP="004A57B3">
            <w:pPr>
              <w:jc w:val="right"/>
              <w:rPr>
                <w:rFonts w:cs="Calibri"/>
                <w:color w:val="000000" w:themeColor="text1"/>
                <w:sz w:val="20"/>
              </w:rPr>
            </w:pPr>
            <w:r w:rsidRPr="007434DA">
              <w:rPr>
                <w:rFonts w:cs="Calibri"/>
                <w:color w:val="000000" w:themeColor="text1"/>
                <w:sz w:val="20"/>
              </w:rPr>
              <w:t>613/3</w:t>
            </w:r>
          </w:p>
        </w:tc>
        <w:tc>
          <w:tcPr>
            <w:tcW w:w="1139" w:type="dxa"/>
            <w:tcBorders>
              <w:top w:val="single" w:sz="8" w:space="0" w:color="auto"/>
              <w:left w:val="single" w:sz="8" w:space="0" w:color="auto"/>
              <w:bottom w:val="single" w:sz="8" w:space="0" w:color="auto"/>
              <w:right w:val="single" w:sz="8" w:space="0" w:color="auto"/>
            </w:tcBorders>
            <w:vAlign w:val="center"/>
          </w:tcPr>
          <w:p w14:paraId="1FC10CAE" w14:textId="77777777" w:rsidR="00CB2594" w:rsidRPr="007434DA" w:rsidRDefault="00CB2594" w:rsidP="004A57B3">
            <w:pPr>
              <w:jc w:val="right"/>
              <w:rPr>
                <w:rFonts w:cs="Calibri"/>
                <w:color w:val="000000" w:themeColor="text1"/>
                <w:sz w:val="20"/>
              </w:rPr>
            </w:pPr>
            <w:r w:rsidRPr="007434DA">
              <w:rPr>
                <w:rFonts w:cs="Calibri"/>
                <w:color w:val="000000" w:themeColor="text1"/>
                <w:sz w:val="20"/>
              </w:rPr>
              <w:t>532/5</w:t>
            </w:r>
          </w:p>
        </w:tc>
        <w:tc>
          <w:tcPr>
            <w:tcW w:w="1274" w:type="dxa"/>
            <w:tcBorders>
              <w:top w:val="single" w:sz="8" w:space="0" w:color="auto"/>
              <w:left w:val="single" w:sz="8" w:space="0" w:color="auto"/>
              <w:bottom w:val="single" w:sz="8" w:space="0" w:color="auto"/>
              <w:right w:val="single" w:sz="8" w:space="0" w:color="auto"/>
            </w:tcBorders>
            <w:vAlign w:val="center"/>
          </w:tcPr>
          <w:p w14:paraId="4C102203" w14:textId="77777777" w:rsidR="00CB2594" w:rsidRPr="007434DA" w:rsidRDefault="00CB2594" w:rsidP="004A57B3">
            <w:pPr>
              <w:jc w:val="right"/>
              <w:rPr>
                <w:rFonts w:cs="Calibri"/>
                <w:color w:val="000000" w:themeColor="text1"/>
                <w:sz w:val="20"/>
              </w:rPr>
            </w:pPr>
            <w:r w:rsidRPr="007434DA">
              <w:rPr>
                <w:rFonts w:cs="Calibri"/>
                <w:color w:val="000000" w:themeColor="text1"/>
                <w:sz w:val="20"/>
              </w:rPr>
              <w:t>515/11</w:t>
            </w:r>
          </w:p>
        </w:tc>
        <w:tc>
          <w:tcPr>
            <w:tcW w:w="1139" w:type="dxa"/>
            <w:tcBorders>
              <w:top w:val="single" w:sz="8" w:space="0" w:color="auto"/>
              <w:left w:val="single" w:sz="8" w:space="0" w:color="auto"/>
              <w:bottom w:val="single" w:sz="8" w:space="0" w:color="auto"/>
              <w:right w:val="single" w:sz="8" w:space="0" w:color="auto"/>
            </w:tcBorders>
            <w:vAlign w:val="center"/>
          </w:tcPr>
          <w:p w14:paraId="21F5ACC7" w14:textId="77777777" w:rsidR="00CB2594" w:rsidRPr="007434DA" w:rsidRDefault="00CB2594" w:rsidP="004A57B3">
            <w:pPr>
              <w:jc w:val="right"/>
              <w:rPr>
                <w:rFonts w:cs="Calibri"/>
                <w:color w:val="000000" w:themeColor="text1"/>
                <w:sz w:val="20"/>
              </w:rPr>
            </w:pPr>
            <w:r w:rsidRPr="007434DA">
              <w:rPr>
                <w:rFonts w:cs="Calibri"/>
                <w:color w:val="000000" w:themeColor="text1"/>
                <w:sz w:val="20"/>
              </w:rPr>
              <w:t>293/1</w:t>
            </w:r>
          </w:p>
        </w:tc>
      </w:tr>
    </w:tbl>
    <w:p w14:paraId="26F89737" w14:textId="77777777" w:rsidR="00CB2594" w:rsidRPr="007434DA" w:rsidRDefault="00CB2594" w:rsidP="003673CC">
      <w:pPr>
        <w:pStyle w:val="UZEIZdroj"/>
      </w:pPr>
      <w:r w:rsidRPr="007434DA">
        <w:t>Pramen: MZe Sekce potravinářských výrob – Úřad pro potraviny: Výroční zpráva z úředních kontrol ČR za rok 2014-2018</w:t>
      </w:r>
    </w:p>
    <w:p w14:paraId="29CDDE11" w14:textId="77777777" w:rsidR="00CB2594" w:rsidRPr="007434DA" w:rsidRDefault="00CB2594" w:rsidP="00CB2594">
      <w:pPr>
        <w:spacing w:before="120" w:line="360" w:lineRule="atLeast"/>
        <w:rPr>
          <w:b/>
          <w:bCs/>
          <w:color w:val="000000" w:themeColor="text1"/>
          <w:lang w:val="cs-CZ" w:eastAsia="cs-CZ"/>
        </w:rPr>
      </w:pPr>
    </w:p>
    <w:p w14:paraId="59CCF7C8" w14:textId="77777777" w:rsidR="00CB2594" w:rsidRPr="007434DA" w:rsidRDefault="00CB2594" w:rsidP="00CB2594">
      <w:pPr>
        <w:spacing w:before="120" w:line="360" w:lineRule="atLeast"/>
        <w:ind w:firstLine="567"/>
        <w:rPr>
          <w:rFonts w:ascii="Arial" w:eastAsia="Times New Roman" w:hAnsi="Arial" w:cs="Arial"/>
          <w:color w:val="2E74B5" w:themeColor="accent5" w:themeShade="BF"/>
          <w:sz w:val="20"/>
          <w:szCs w:val="20"/>
          <w:lang w:val="cs-CZ" w:eastAsia="cs-CZ"/>
        </w:rPr>
      </w:pPr>
    </w:p>
    <w:p w14:paraId="766A4188" w14:textId="39D019B3" w:rsidR="00CB2594" w:rsidRPr="007434DA" w:rsidRDefault="00CB2594" w:rsidP="006B29E1">
      <w:pPr>
        <w:pStyle w:val="Nadpis1"/>
      </w:pPr>
      <w:bookmarkStart w:id="160" w:name="_Toc12613416"/>
      <w:bookmarkStart w:id="161" w:name="_Toc80877865"/>
      <w:bookmarkStart w:id="162" w:name="_Toc81755616"/>
      <w:r w:rsidRPr="007434DA">
        <w:t>Jak by se situace vyvíjela bez zavedení příslušných intervencí?</w:t>
      </w:r>
      <w:bookmarkEnd w:id="160"/>
      <w:bookmarkEnd w:id="161"/>
      <w:bookmarkEnd w:id="162"/>
    </w:p>
    <w:p w14:paraId="556D947C" w14:textId="77777777" w:rsidR="00CB2594" w:rsidRPr="007434DA" w:rsidRDefault="00CB2594" w:rsidP="00F24665">
      <w:pPr>
        <w:pStyle w:val="UZEINormaln"/>
      </w:pPr>
      <w:r w:rsidRPr="007434DA">
        <w:t>Ekologická produkce je spojená s vyššími produkčními náklady, neboť dodržováním všech podmínek (např. omezení používání POR, umělých hnojiv apod.) se snižuje také výkonnost komodity (výnosnost plodin). Bez podpor, s přihlédnutím k dosud marginálnímu významu trhu v této oblasti, by patrně nebyl o tento způsob výroby již tak výrazný zájem. Frekvence ošetření polních plodin pesticidy by stagnovala nebo se zvyšovala. Frekvence výskytu reziduí pesticidů v potravinách a přírodních zdrojích (vodě) by stagnovala nebo se dokonce mírně zvyšovala, a to i v systémech integrované produkce. V oblasti integrované produkce ovoce a zeleniny by v případě ukončení podpor opouštění systému směrem ke konvenčnímu nebylo patrně tak výrazné jako v případě EZ, Tento systém výroby je již zaveden u většiny prvovýrobců a je možné očekávat, že by se přechodem na konvenční způsob hospodaření zhoršila konkurenceschopnost tuzemských pěstitelů, neboť odběratelé (převážně velkoobchod) mají stále vyšší nároky na kvalitu produkce.</w:t>
      </w:r>
    </w:p>
    <w:p w14:paraId="67E633B5" w14:textId="77777777" w:rsidR="00CB2594" w:rsidRPr="007434DA" w:rsidRDefault="00CB2594" w:rsidP="00F24665">
      <w:pPr>
        <w:pStyle w:val="UZEINormaln"/>
      </w:pPr>
      <w:r w:rsidRPr="007434DA">
        <w:t>V případě kvality spodní vody, pokud na současný stav nebude reagovat žádná politika, by pokračovala a její kontaminace pesticidy. Následně by docházelo ke zhoršování kvality podzemní a dále i pitné (kohoutkové vody). Nutno upozornit, že neexistují žádné metody k odstranění těchto PL v kolektoru podzemní vody (kontaminace ve vodě dobře rozpustnými látkami na velkém území) na rozdíl od metod, které se rutinně využívají pro sanaci podzemních vod zasažených průmyslovými kontaminanty (lokální znečištění). V tomto případě zbývají pouze technická opatření na straně provozovatelů vodárenských zdrojů. Z pohledu ochrany vodních zdrojů, které jsou v současnosti ohrožovány jak zemědělskou činností, tak změnou klimatu se tedy jeví jako nanejvýš vhodné přijmout preventivní opatření zamezující vstupu pesticidů do vod a nespoléhat se pouze čistě na technologická řešení.</w:t>
      </w:r>
    </w:p>
    <w:p w14:paraId="055A9EB8" w14:textId="77777777" w:rsidR="00CB2594" w:rsidRPr="007434DA" w:rsidRDefault="00CB2594" w:rsidP="00F24665">
      <w:pPr>
        <w:pStyle w:val="UZEINormaln"/>
      </w:pPr>
      <w:r w:rsidRPr="007434DA">
        <w:t xml:space="preserve">Pro snížení frekvence výskytu reziduí pesticidů ve vodě bude tedy nutné motivovat zemědělce především k omezení spotřeby „kritických“ POR v oblastech (jedná se zejména herbicidy užívané při pěstovaní řepky a kukuřice), zamezit, aby docházelo ke splachům půdy ošetřené těmito přípravky, a to prostřednictvím úprav osevního postupu, především snížením četnosti plodin, na které je daný POR aplikován (kukuřice a řepka). Vhodné by rovněž bylo zacílit novou SZP na zlepšení péče o dobrý stav půdy – kladná bilance organické hmoty, statková hnojiva (především hnůj), komposty, zelené hnojení. </w:t>
      </w:r>
    </w:p>
    <w:p w14:paraId="0087A4E8" w14:textId="77777777" w:rsidR="00CB2594" w:rsidRPr="007434DA" w:rsidRDefault="00CB2594" w:rsidP="00F24665">
      <w:pPr>
        <w:pStyle w:val="UZEINormaln"/>
      </w:pPr>
      <w:r w:rsidRPr="007434DA">
        <w:t>Nezbytnou součástí opatření by měla být v oblasti aplikace POR také podpora poradenství, včetně vytvoření nového dotačního titulu pro účast výzkumných pracovníků na odborném poradenství a aktualizace priorit zemědělského výzkumu k podpoře biologické a nechemické ochrany rostlin a pro regulaci reziduí pesticidů v produktech a přírodních zdrojích (půda, voda).</w:t>
      </w:r>
    </w:p>
    <w:p w14:paraId="6ECE0443" w14:textId="77777777" w:rsidR="00CB2594" w:rsidRPr="007434DA" w:rsidRDefault="00CB2594" w:rsidP="00F24665">
      <w:pPr>
        <w:pStyle w:val="UZEINormaln"/>
      </w:pPr>
    </w:p>
    <w:p w14:paraId="7A345E45" w14:textId="7B5911DD" w:rsidR="00CB2594" w:rsidRPr="007434DA" w:rsidRDefault="00CB2594" w:rsidP="006B29E1">
      <w:pPr>
        <w:pStyle w:val="Nadpis1"/>
      </w:pPr>
      <w:bookmarkStart w:id="163" w:name="_Toc519497853"/>
      <w:bookmarkStart w:id="164" w:name="_Toc520197043"/>
      <w:bookmarkStart w:id="165" w:name="_Toc520197120"/>
      <w:bookmarkStart w:id="166" w:name="_Toc12613417"/>
      <w:bookmarkStart w:id="167" w:name="_Toc80877866"/>
      <w:bookmarkStart w:id="168" w:name="_Toc81755617"/>
      <w:r w:rsidRPr="007434DA">
        <w:t>SWOT ANALÝZA</w:t>
      </w:r>
      <w:bookmarkEnd w:id="163"/>
      <w:bookmarkEnd w:id="164"/>
      <w:bookmarkEnd w:id="165"/>
      <w:bookmarkEnd w:id="166"/>
      <w:bookmarkEnd w:id="167"/>
      <w:bookmarkEnd w:id="168"/>
    </w:p>
    <w:p w14:paraId="4611684A" w14:textId="77777777" w:rsidR="00CB2594" w:rsidRPr="007434DA" w:rsidRDefault="00CB2594" w:rsidP="00F24665">
      <w:pPr>
        <w:pStyle w:val="UZEINormaln"/>
        <w:rPr>
          <w:b/>
          <w:bCs/>
        </w:rPr>
      </w:pPr>
      <w:bookmarkStart w:id="169" w:name="_Hlk523327444"/>
      <w:bookmarkStart w:id="170" w:name="_Hlk7449881"/>
      <w:r w:rsidRPr="007434DA">
        <w:rPr>
          <w:b/>
          <w:bCs/>
        </w:rPr>
        <w:t>Silné stránky</w:t>
      </w:r>
    </w:p>
    <w:p w14:paraId="24DAB607" w14:textId="4D5C9C68" w:rsidR="00CB2594" w:rsidRPr="007434DA" w:rsidRDefault="00F24665" w:rsidP="00F24665">
      <w:pPr>
        <w:pStyle w:val="UZEIOdrky"/>
      </w:pPr>
      <w:r w:rsidRPr="007434DA">
        <w:t xml:space="preserve">S1: </w:t>
      </w:r>
      <w:r w:rsidR="00CB2594" w:rsidRPr="007434DA">
        <w:t>Existence nástrojů politiky (např. systém kontrol podmíněnosti (cross compliance), PRV, ochranná pásma vodních zdrojů, Národní akční plán ke snížení používání pesticidů</w:t>
      </w:r>
      <w:r w:rsidR="00CB2594" w:rsidRPr="007434DA">
        <w:rPr>
          <w:b/>
          <w:bCs/>
        </w:rPr>
        <w:t xml:space="preserve"> </w:t>
      </w:r>
      <w:r w:rsidR="00CB2594" w:rsidRPr="007434DA">
        <w:rPr>
          <w:bCs/>
        </w:rPr>
        <w:t>2018-2020</w:t>
      </w:r>
      <w:r w:rsidR="00CB2594" w:rsidRPr="007434DA">
        <w:rPr>
          <w:b/>
          <w:bCs/>
        </w:rPr>
        <w:t xml:space="preserve">, </w:t>
      </w:r>
      <w:r w:rsidR="00CB2594" w:rsidRPr="007434DA">
        <w:t>Národní plány povodí)</w:t>
      </w:r>
    </w:p>
    <w:p w14:paraId="7585E788" w14:textId="61FDC4F7" w:rsidR="00CB2594" w:rsidRPr="007434DA" w:rsidRDefault="00F24665" w:rsidP="00F24665">
      <w:pPr>
        <w:pStyle w:val="UZEIOdrky"/>
      </w:pPr>
      <w:r w:rsidRPr="007434DA">
        <w:t xml:space="preserve">S2: </w:t>
      </w:r>
      <w:r w:rsidR="00CB2594" w:rsidRPr="007434DA">
        <w:t>Snižování spotřeby POR v důsledku efektivnějšího využívání</w:t>
      </w:r>
    </w:p>
    <w:p w14:paraId="2D104711" w14:textId="619D19E7" w:rsidR="00CB2594" w:rsidRPr="007434DA" w:rsidRDefault="00F24665" w:rsidP="00F24665">
      <w:pPr>
        <w:pStyle w:val="UZEIOdrky"/>
      </w:pPr>
      <w:r w:rsidRPr="007434DA">
        <w:t xml:space="preserve">S3: </w:t>
      </w:r>
      <w:r w:rsidR="00CB2594" w:rsidRPr="007434DA">
        <w:t>Kvalitní institucionální zajištění: evidence používání prostředků na ochranu rostlin (SRS)</w:t>
      </w:r>
    </w:p>
    <w:p w14:paraId="648317FD" w14:textId="741644FE" w:rsidR="00CB2594" w:rsidRPr="007434DA" w:rsidRDefault="00F24665" w:rsidP="00F24665">
      <w:pPr>
        <w:pStyle w:val="UZEIOdrky"/>
      </w:pPr>
      <w:r w:rsidRPr="007434DA">
        <w:t xml:space="preserve">S4: </w:t>
      </w:r>
      <w:r w:rsidR="00CB2594" w:rsidRPr="007434DA">
        <w:t>Dobrá dostupnost alternativních POR používaných v Evropě pro ekologické zemědělství a možnost jejich využití i v systémech integrované produkce</w:t>
      </w:r>
    </w:p>
    <w:p w14:paraId="143C2353" w14:textId="48F2467B" w:rsidR="00CB2594" w:rsidRPr="007434DA" w:rsidRDefault="00F24665" w:rsidP="00F24665">
      <w:pPr>
        <w:pStyle w:val="UZEIOdrky"/>
      </w:pPr>
      <w:r w:rsidRPr="007434DA">
        <w:t xml:space="preserve">S5: </w:t>
      </w:r>
      <w:r w:rsidR="00CB2594" w:rsidRPr="007434DA">
        <w:t>Velmi nízký podíl nadlimitních výskytů reziduí pesticidů v potravinách rostlinného původu a téměř zanedbatelný v potravinách živočišného původu</w:t>
      </w:r>
      <w:r w:rsidR="00CB2594" w:rsidRPr="007434DA">
        <w:rPr>
          <w:i/>
          <w:iCs/>
          <w:color w:val="000000" w:themeColor="text1"/>
          <w:sz w:val="18"/>
          <w:szCs w:val="18"/>
        </w:rPr>
        <w:t>.</w:t>
      </w:r>
    </w:p>
    <w:p w14:paraId="13C3ACF5" w14:textId="15494A6D" w:rsidR="00CB2594" w:rsidRPr="007434DA" w:rsidRDefault="00F24665" w:rsidP="00F24665">
      <w:pPr>
        <w:pStyle w:val="UZEIOdrky"/>
      </w:pPr>
      <w:r w:rsidRPr="007434DA">
        <w:rPr>
          <w:color w:val="000000" w:themeColor="text1"/>
        </w:rPr>
        <w:t xml:space="preserve">S6: </w:t>
      </w:r>
      <w:r w:rsidR="00CB2594" w:rsidRPr="007434DA">
        <w:rPr>
          <w:color w:val="000000" w:themeColor="text1"/>
        </w:rPr>
        <w:t>Roste zájem zemědělců o hospodaření v systému integrované produkce a ekologického zemědělství (</w:t>
      </w:r>
      <w:r w:rsidR="00CB2594" w:rsidRPr="007434DA">
        <w:t>vysoký podíl pěstitelů a produkčních ploch ovoce, zeleniny i révy vinné v obou systémech)</w:t>
      </w:r>
    </w:p>
    <w:p w14:paraId="54CEF1B8" w14:textId="77777777" w:rsidR="00CB2594" w:rsidRPr="007434DA" w:rsidRDefault="00CB2594" w:rsidP="00F24665">
      <w:pPr>
        <w:pStyle w:val="UZEINormaln"/>
        <w:rPr>
          <w:b/>
          <w:bCs/>
        </w:rPr>
      </w:pPr>
      <w:r w:rsidRPr="007434DA">
        <w:rPr>
          <w:b/>
          <w:bCs/>
        </w:rPr>
        <w:t>Slabé stránky</w:t>
      </w:r>
    </w:p>
    <w:p w14:paraId="221BFAF5" w14:textId="2C20AD63" w:rsidR="00CB2594" w:rsidRPr="007434DA" w:rsidRDefault="00F24665" w:rsidP="00F24665">
      <w:pPr>
        <w:pStyle w:val="UZEIOdrky"/>
      </w:pPr>
      <w:r w:rsidRPr="007434DA">
        <w:t xml:space="preserve">W1: </w:t>
      </w:r>
      <w:r w:rsidR="00CB2594" w:rsidRPr="007434DA">
        <w:t>Značná kontaminace povrchových a podzemních vod pesticidy a jejich metabolity používaných především při pěstování řepky a kukuřice (zejména metolachlorem, metazachlorem )</w:t>
      </w:r>
    </w:p>
    <w:p w14:paraId="26775E0D" w14:textId="2DF03C4A" w:rsidR="00CB2594" w:rsidRPr="007434DA" w:rsidRDefault="00F24665" w:rsidP="00F24665">
      <w:pPr>
        <w:pStyle w:val="UZEIOdrky"/>
      </w:pPr>
      <w:r w:rsidRPr="007434DA">
        <w:t>W2: V</w:t>
      </w:r>
      <w:r w:rsidR="00CB2594" w:rsidRPr="007434DA">
        <w:t xml:space="preserve">ysoká frekvence výskytu reziduí pesticidů a jejich metabolitů nad legislativně stanovenými limity v pitné vodě </w:t>
      </w:r>
    </w:p>
    <w:p w14:paraId="4C5FD26B" w14:textId="47C79BA8" w:rsidR="00CB2594" w:rsidRPr="007434DA" w:rsidRDefault="00F24665" w:rsidP="00F24665">
      <w:pPr>
        <w:pStyle w:val="UZEIOdrky"/>
      </w:pPr>
      <w:r w:rsidRPr="007434DA">
        <w:t xml:space="preserve">W3: </w:t>
      </w:r>
      <w:r w:rsidR="00CB2594" w:rsidRPr="007434DA">
        <w:t>PL jsou nyní hlavní příčinou „výjimek“ z kvality pitné vody.</w:t>
      </w:r>
      <w:r w:rsidR="00CB2594" w:rsidRPr="007434DA">
        <w:rPr>
          <w:color w:val="56646F"/>
          <w:sz w:val="21"/>
          <w:szCs w:val="21"/>
        </w:rPr>
        <w:t xml:space="preserve"> </w:t>
      </w:r>
    </w:p>
    <w:p w14:paraId="13182778" w14:textId="77B3F3EB" w:rsidR="00CB2594" w:rsidRPr="007434DA" w:rsidRDefault="00F24665" w:rsidP="00F24665">
      <w:pPr>
        <w:pStyle w:val="UZEIOdrky"/>
      </w:pPr>
      <w:r w:rsidRPr="007434DA">
        <w:t xml:space="preserve">W4: </w:t>
      </w:r>
      <w:r w:rsidR="00CB2594" w:rsidRPr="007434DA">
        <w:t>Nevhodný způsob hospodaření v intenzivním zemědělství (nízká pestrost osevních postupů, omezená struktura plodin, nízký obsah organické hmoty v půdě, používané technologie pěstování, nevhodné aplikace POR)</w:t>
      </w:r>
    </w:p>
    <w:p w14:paraId="20AEDCD8" w14:textId="293B4DE2" w:rsidR="00CB2594" w:rsidRPr="007434DA" w:rsidRDefault="00F24665" w:rsidP="00F24665">
      <w:pPr>
        <w:pStyle w:val="UZEIOdrky"/>
      </w:pPr>
      <w:r w:rsidRPr="007434DA">
        <w:t xml:space="preserve">W5: </w:t>
      </w:r>
      <w:r w:rsidR="00CB2594" w:rsidRPr="007434DA">
        <w:t>Nevhodně nastavená greeningová opatření (nízký tlak na vyšší diversifikaci plodin v osevních postupech – pouze tři plodiny)</w:t>
      </w:r>
    </w:p>
    <w:p w14:paraId="6F5B116C" w14:textId="6AA9D744" w:rsidR="00CB2594" w:rsidRPr="007434DA" w:rsidRDefault="00F24665" w:rsidP="00F24665">
      <w:pPr>
        <w:pStyle w:val="UZEIOdrky"/>
      </w:pPr>
      <w:r w:rsidRPr="007434DA">
        <w:t xml:space="preserve">W6: </w:t>
      </w:r>
      <w:r w:rsidR="00CB2594" w:rsidRPr="007434DA">
        <w:t>Nízká úroveň uplatňování preventivních metod ochrany</w:t>
      </w:r>
    </w:p>
    <w:p w14:paraId="13B85CF7" w14:textId="7E7CAFE7" w:rsidR="00CB2594" w:rsidRPr="007434DA" w:rsidRDefault="00F24665" w:rsidP="00F24665">
      <w:pPr>
        <w:pStyle w:val="UZEIOdrky"/>
      </w:pPr>
      <w:r w:rsidRPr="007434DA">
        <w:t xml:space="preserve">W7: </w:t>
      </w:r>
      <w:r w:rsidR="00CB2594" w:rsidRPr="007434DA">
        <w:t>Nedostatečné odborné poradenství v rostlinolékařství</w:t>
      </w:r>
    </w:p>
    <w:p w14:paraId="22D3259B" w14:textId="35E1A0DC" w:rsidR="00CB2594" w:rsidRPr="007434DA" w:rsidRDefault="00F24665" w:rsidP="00F24665">
      <w:pPr>
        <w:pStyle w:val="UZEIOdrky"/>
      </w:pPr>
      <w:r w:rsidRPr="007434DA">
        <w:t xml:space="preserve">W8: </w:t>
      </w:r>
      <w:r w:rsidR="00CB2594" w:rsidRPr="007434DA">
        <w:t>Nedostatečné formulování priorit výzkumu zaměřených na regulaci pesticidů, dynamiku reziduí a vývoj a ověřování alternativních prostředků ochrany</w:t>
      </w:r>
    </w:p>
    <w:p w14:paraId="195675CA" w14:textId="637FB8CE" w:rsidR="00CB2594" w:rsidRPr="007434DA" w:rsidRDefault="00F24665" w:rsidP="00F24665">
      <w:pPr>
        <w:pStyle w:val="UZEIOdrky"/>
      </w:pPr>
      <w:r w:rsidRPr="007434DA">
        <w:t xml:space="preserve">W9: </w:t>
      </w:r>
      <w:r w:rsidR="00CB2594" w:rsidRPr="007434DA">
        <w:t>Nedostatečná provázanost NAP se zemědělskou politikou a environmentální politikou</w:t>
      </w:r>
    </w:p>
    <w:p w14:paraId="62075A1F" w14:textId="1A86BEA4" w:rsidR="00CB2594" w:rsidRPr="007434DA" w:rsidRDefault="00CB2594" w:rsidP="00F24665">
      <w:pPr>
        <w:pStyle w:val="UZEINormaln"/>
        <w:rPr>
          <w:b/>
          <w:bCs/>
          <w:sz w:val="20"/>
          <w:szCs w:val="20"/>
        </w:rPr>
      </w:pPr>
      <w:r w:rsidRPr="007434DA">
        <w:rPr>
          <w:b/>
          <w:bCs/>
        </w:rPr>
        <w:t>Příležitosti</w:t>
      </w:r>
    </w:p>
    <w:p w14:paraId="4F194BC6" w14:textId="707F9D8E" w:rsidR="00CB2594" w:rsidRPr="007434DA" w:rsidRDefault="00F24665" w:rsidP="00F24665">
      <w:pPr>
        <w:pStyle w:val="UZEIOdrky"/>
      </w:pPr>
      <w:r w:rsidRPr="007434DA">
        <w:t xml:space="preserve">O1: </w:t>
      </w:r>
      <w:r w:rsidR="00CB2594" w:rsidRPr="007434DA">
        <w:t>Rostoucí zájem spotřebitelů a společnosti po potravinách s vyššími standardy kvality (po bezreziduálních a nízkoreziduálních potravin ve vztahu k obsahu reziduí POR)</w:t>
      </w:r>
    </w:p>
    <w:p w14:paraId="187CD614" w14:textId="04E83585" w:rsidR="00CB2594" w:rsidRPr="007434DA" w:rsidRDefault="00F24665" w:rsidP="00F24665">
      <w:pPr>
        <w:pStyle w:val="UZEIOdrky"/>
      </w:pPr>
      <w:r w:rsidRPr="007434DA">
        <w:t xml:space="preserve">O2: </w:t>
      </w:r>
      <w:r w:rsidR="00CB2594" w:rsidRPr="007434DA">
        <w:t>Rostoucí požadavky společnosti na kvalitu vody podzemní i kohoutkové (z pohledu snížení obsahu PL a jejich metabolitů)</w:t>
      </w:r>
    </w:p>
    <w:p w14:paraId="082D8D5E" w14:textId="63D0C32F" w:rsidR="00CB2594" w:rsidRPr="007434DA" w:rsidRDefault="00F24665" w:rsidP="00F24665">
      <w:pPr>
        <w:pStyle w:val="UZEIOdrky"/>
      </w:pPr>
      <w:r w:rsidRPr="007434DA">
        <w:t xml:space="preserve">O3: </w:t>
      </w:r>
      <w:r w:rsidR="00CB2594" w:rsidRPr="007434DA">
        <w:t>Rostoucí požadavky obchodních řetězců na kvalitu potravin pocházejících z rostlinné produkce z hlediska užívání pesticidů (zejména u ovoce, zeleniny, a pod)</w:t>
      </w:r>
    </w:p>
    <w:p w14:paraId="5695094B" w14:textId="5649D471" w:rsidR="00CB2594" w:rsidRPr="007434DA" w:rsidRDefault="00F24665" w:rsidP="00F24665">
      <w:pPr>
        <w:pStyle w:val="UZEIOdrky"/>
      </w:pPr>
      <w:r w:rsidRPr="007434DA">
        <w:rPr>
          <w:color w:val="000000" w:themeColor="text1"/>
        </w:rPr>
        <w:t xml:space="preserve">O4: </w:t>
      </w:r>
      <w:r w:rsidR="00CB2594" w:rsidRPr="007434DA">
        <w:rPr>
          <w:color w:val="000000" w:themeColor="text1"/>
        </w:rPr>
        <w:t>Další stupeň regulace pesticidů ze strany EK a SZP a další snižování maximálních limitů účinných látek pesticidů v potravinách a pitné vodě)</w:t>
      </w:r>
    </w:p>
    <w:p w14:paraId="2E925A4A" w14:textId="3B33863B" w:rsidR="00CB2594" w:rsidRPr="007434DA" w:rsidRDefault="00F24665" w:rsidP="00F24665">
      <w:pPr>
        <w:pStyle w:val="UZEIOdrky"/>
      </w:pPr>
      <w:r w:rsidRPr="007434DA">
        <w:t xml:space="preserve">O5: </w:t>
      </w:r>
      <w:r w:rsidR="00CB2594" w:rsidRPr="007434DA">
        <w:t>Legislativně stanovená celoevropsky jednotná regulace používání pesticidů v ochranných pásmech zdrojů pitné vody</w:t>
      </w:r>
    </w:p>
    <w:p w14:paraId="408B2AC6" w14:textId="7C558088" w:rsidR="00CB2594" w:rsidRPr="007434DA" w:rsidRDefault="00F24665" w:rsidP="00F24665">
      <w:pPr>
        <w:pStyle w:val="UZEIOdrky"/>
      </w:pPr>
      <w:r w:rsidRPr="007434DA">
        <w:t xml:space="preserve">O6: </w:t>
      </w:r>
      <w:r w:rsidR="00CB2594" w:rsidRPr="007434DA">
        <w:t>Rostoucí požadavky EK na snižování spotřeby POR</w:t>
      </w:r>
    </w:p>
    <w:p w14:paraId="35F4B32A" w14:textId="77777777" w:rsidR="00CB2594" w:rsidRPr="007434DA" w:rsidRDefault="00CB2594" w:rsidP="00F24665">
      <w:pPr>
        <w:pStyle w:val="UZEINormaln"/>
        <w:rPr>
          <w:b/>
          <w:bCs/>
        </w:rPr>
      </w:pPr>
      <w:r w:rsidRPr="007434DA">
        <w:rPr>
          <w:b/>
          <w:bCs/>
        </w:rPr>
        <w:t>Rizika</w:t>
      </w:r>
    </w:p>
    <w:p w14:paraId="078A25CE" w14:textId="560BB6F7" w:rsidR="00CB2594" w:rsidRPr="007434DA" w:rsidRDefault="00F24665" w:rsidP="00F24665">
      <w:pPr>
        <w:pStyle w:val="UZEIOdrky"/>
      </w:pPr>
      <w:r w:rsidRPr="007434DA">
        <w:t xml:space="preserve">T1: </w:t>
      </w:r>
      <w:r w:rsidR="00CB2594" w:rsidRPr="007434DA">
        <w:t>Zastavení progresivního vývoje integrované produkce ovoce v důsledku nízké motivace v důsledku podmínek podpor dotačního titulu, ale zejména v důsledku selhávání marketingu této produkce na trhu</w:t>
      </w:r>
    </w:p>
    <w:p w14:paraId="59D9179E" w14:textId="450291CD" w:rsidR="00CB2594" w:rsidRPr="007434DA" w:rsidRDefault="00F24665" w:rsidP="00F24665">
      <w:pPr>
        <w:pStyle w:val="UZEIOdrky"/>
      </w:pPr>
      <w:r w:rsidRPr="007434DA">
        <w:t xml:space="preserve">T2: </w:t>
      </w:r>
      <w:r w:rsidR="00CB2594" w:rsidRPr="007434DA">
        <w:t>Pokračující zátěže reziduí pesticidů v půdě a ve vodě z minulých období</w:t>
      </w:r>
    </w:p>
    <w:p w14:paraId="786BE2AF" w14:textId="213AB5C5" w:rsidR="00CB2594" w:rsidRPr="007434DA" w:rsidRDefault="00F24665" w:rsidP="00F24665">
      <w:pPr>
        <w:pStyle w:val="UZEIOdrky"/>
      </w:pPr>
      <w:r w:rsidRPr="007434DA">
        <w:t xml:space="preserve">T3: </w:t>
      </w:r>
      <w:r w:rsidR="00CB2594" w:rsidRPr="007434DA">
        <w:t>Nedostatečný výzkum a vývoj: Absence nových, dostatečně účinných látek šetrných pro životní prostředí</w:t>
      </w:r>
    </w:p>
    <w:p w14:paraId="5DE44F0E" w14:textId="595ECA4F" w:rsidR="00CB2594" w:rsidRPr="007434DA" w:rsidRDefault="00F24665" w:rsidP="00F24665">
      <w:pPr>
        <w:pStyle w:val="UZEIOdrky"/>
      </w:pPr>
      <w:r w:rsidRPr="007434DA">
        <w:t xml:space="preserve">T4: </w:t>
      </w:r>
      <w:r w:rsidR="00CB2594" w:rsidRPr="007434DA">
        <w:t xml:space="preserve">Zvyšující se výskyt extrémních klimatických jevů (mrazy, kroupy, sucho) jejichž negativní dopady do zemědělství budou eliminovány zvyšováním dávek pesticidů </w:t>
      </w:r>
    </w:p>
    <w:p w14:paraId="1AB9B31D" w14:textId="1B3EF58C" w:rsidR="00CB2594" w:rsidRPr="007434DA" w:rsidRDefault="00F24665" w:rsidP="00F24665">
      <w:pPr>
        <w:pStyle w:val="UZEIOdrky"/>
      </w:pPr>
      <w:r w:rsidRPr="007434DA">
        <w:t xml:space="preserve">T5: </w:t>
      </w:r>
      <w:r w:rsidR="00CB2594" w:rsidRPr="007434DA">
        <w:t>Prohlubující se nedostupnost odborné i neodborné pracovní síly v zemědělství</w:t>
      </w:r>
    </w:p>
    <w:p w14:paraId="61193002" w14:textId="42889357" w:rsidR="00CB2594" w:rsidRPr="007434DA" w:rsidRDefault="00F24665" w:rsidP="00F24665">
      <w:pPr>
        <w:pStyle w:val="UZEIOdrky"/>
      </w:pPr>
      <w:r w:rsidRPr="007434DA">
        <w:t xml:space="preserve">T6: </w:t>
      </w:r>
      <w:r w:rsidR="00CB2594" w:rsidRPr="007434DA">
        <w:t>Ohrožení konkurenceschopnosti na jednotném trhu EU z důvodu rozdílnosti registrací a cen POR v jednotlivých členských státech</w:t>
      </w:r>
    </w:p>
    <w:p w14:paraId="1E5399B7" w14:textId="68BED4FA" w:rsidR="00CB2594" w:rsidRPr="007434DA" w:rsidRDefault="00F24665" w:rsidP="00F24665">
      <w:pPr>
        <w:pStyle w:val="UZEIOdrky"/>
      </w:pPr>
      <w:r w:rsidRPr="007434DA">
        <w:t xml:space="preserve">T7: </w:t>
      </w:r>
      <w:r w:rsidR="00CB2594" w:rsidRPr="007434DA">
        <w:t>Neexistující metody pro odstranění PL látek v kolektoru podzemních vod</w:t>
      </w:r>
    </w:p>
    <w:p w14:paraId="4D21814D" w14:textId="77777777" w:rsidR="00F0019C" w:rsidRPr="007434DA" w:rsidRDefault="00F24665" w:rsidP="00D12EB3">
      <w:pPr>
        <w:pStyle w:val="UZEIOdrky"/>
      </w:pPr>
      <w:r w:rsidRPr="007434DA">
        <w:t xml:space="preserve">T8: </w:t>
      </w:r>
      <w:r w:rsidR="00CB2594" w:rsidRPr="007434DA">
        <w:t>Ohrožení kvality pitné vody v důsledku používání POR v budoucnosti v případě absence zásahů politiky.</w:t>
      </w:r>
      <w:r w:rsidR="00D12EB3" w:rsidRPr="007434DA">
        <w:t xml:space="preserve"> </w:t>
      </w:r>
    </w:p>
    <w:p w14:paraId="798BE35E" w14:textId="77777777" w:rsidR="00BF53EE" w:rsidRPr="007434DA" w:rsidRDefault="00BF53EE" w:rsidP="00BF53EE">
      <w:pPr>
        <w:pStyle w:val="UZEIOdrky"/>
        <w:numPr>
          <w:ilvl w:val="0"/>
          <w:numId w:val="0"/>
        </w:numPr>
        <w:ind w:left="720" w:hanging="360"/>
      </w:pPr>
    </w:p>
    <w:p w14:paraId="0ACCD104" w14:textId="77777777" w:rsidR="00BF53EE" w:rsidRPr="007434DA" w:rsidRDefault="00BF53EE" w:rsidP="00BF53EE">
      <w:pPr>
        <w:pStyle w:val="UZEIOdrky"/>
        <w:numPr>
          <w:ilvl w:val="0"/>
          <w:numId w:val="0"/>
        </w:numPr>
        <w:ind w:left="720" w:hanging="360"/>
      </w:pPr>
    </w:p>
    <w:p w14:paraId="0919893F" w14:textId="77777777" w:rsidR="00BF53EE" w:rsidRPr="007434DA" w:rsidRDefault="00BF53EE" w:rsidP="00BF53EE">
      <w:pPr>
        <w:pStyle w:val="UZEIOdrky"/>
        <w:numPr>
          <w:ilvl w:val="0"/>
          <w:numId w:val="0"/>
        </w:numPr>
        <w:ind w:left="720" w:hanging="360"/>
      </w:pPr>
    </w:p>
    <w:p w14:paraId="07129FD3" w14:textId="283F6961" w:rsidR="00BF53EE" w:rsidRPr="007434DA" w:rsidRDefault="00BF53EE" w:rsidP="00BF53EE">
      <w:pPr>
        <w:spacing w:after="160" w:line="259" w:lineRule="auto"/>
        <w:jc w:val="left"/>
        <w:rPr>
          <w:rFonts w:eastAsia="Times New Roman" w:cs="Calibri"/>
          <w:color w:val="000000"/>
          <w:szCs w:val="24"/>
          <w:lang w:val="cs-CZ"/>
        </w:rPr>
      </w:pPr>
      <w:r w:rsidRPr="007434DA">
        <w:rPr>
          <w:lang w:val="cs-CZ"/>
        </w:rPr>
        <w:br w:type="page"/>
      </w:r>
    </w:p>
    <w:p w14:paraId="2B789CF3" w14:textId="77777777" w:rsidR="00CB2594" w:rsidRPr="007434DA" w:rsidRDefault="00CB2594" w:rsidP="006B29E1">
      <w:pPr>
        <w:pStyle w:val="UZEINadpis1stbezsla"/>
      </w:pPr>
      <w:bookmarkStart w:id="171" w:name="_Toc12613418"/>
      <w:bookmarkStart w:id="172" w:name="_Toc80877867"/>
      <w:bookmarkStart w:id="173" w:name="_Toc81755618"/>
      <w:bookmarkEnd w:id="169"/>
      <w:bookmarkEnd w:id="170"/>
      <w:r w:rsidRPr="007434DA">
        <w:t>B. ANTIMIKROBIÁLNÍ REZISTENCE</w:t>
      </w:r>
      <w:bookmarkEnd w:id="171"/>
      <w:bookmarkEnd w:id="172"/>
      <w:bookmarkEnd w:id="173"/>
    </w:p>
    <w:p w14:paraId="4D29E793" w14:textId="375584E4" w:rsidR="00CB2594" w:rsidRPr="007434DA" w:rsidRDefault="00CB2594" w:rsidP="00B1703F">
      <w:pPr>
        <w:pStyle w:val="Nadpis1"/>
        <w:numPr>
          <w:ilvl w:val="0"/>
          <w:numId w:val="28"/>
        </w:numPr>
      </w:pPr>
      <w:bookmarkStart w:id="174" w:name="_Toc524093557"/>
      <w:bookmarkStart w:id="175" w:name="_Toc12613419"/>
      <w:bookmarkStart w:id="176" w:name="_Toc80877868"/>
      <w:bookmarkStart w:id="177" w:name="_Toc81755619"/>
      <w:r w:rsidRPr="007434DA">
        <w:t>Analýza stávajících/navrhovaných právních předpisů EK/ČR a pravděpodobné nastavení směrů a cílů SZP</w:t>
      </w:r>
      <w:bookmarkEnd w:id="174"/>
      <w:bookmarkEnd w:id="175"/>
      <w:bookmarkEnd w:id="176"/>
      <w:bookmarkEnd w:id="177"/>
    </w:p>
    <w:p w14:paraId="030F12E6" w14:textId="40CCD10D" w:rsidR="00CB2594" w:rsidRPr="007434DA" w:rsidRDefault="00CB2594" w:rsidP="00FA1DE2">
      <w:pPr>
        <w:pStyle w:val="UZEINormaln"/>
      </w:pPr>
      <w:r w:rsidRPr="007434DA">
        <w:t>V roce 2006 bylo v rámci EU zakázáno používat antibiotické růstové stimulátory, které vedly k rozvoji některých závažných typů rezistence (například vankomycin rezistentní enterokoky (VRE) u drůbeže). Tyto látky jsou dosud používány v řadě regionů mimo EU.</w:t>
      </w:r>
    </w:p>
    <w:p w14:paraId="7454A511" w14:textId="77777777" w:rsidR="00CB2594" w:rsidRPr="00284643" w:rsidRDefault="00CB2594" w:rsidP="00284643">
      <w:pPr>
        <w:pStyle w:val="UZEINormaln"/>
        <w:rPr>
          <w:b/>
          <w:bCs/>
        </w:rPr>
      </w:pPr>
      <w:r w:rsidRPr="00284643">
        <w:rPr>
          <w:b/>
          <w:bCs/>
        </w:rPr>
        <w:t>Legislativa EU</w:t>
      </w:r>
    </w:p>
    <w:p w14:paraId="6E4D8120" w14:textId="77777777" w:rsidR="00CB2594" w:rsidRPr="007434DA" w:rsidRDefault="00CB2594" w:rsidP="00FA1DE2">
      <w:pPr>
        <w:pStyle w:val="UZEIOdrky"/>
      </w:pPr>
      <w:r w:rsidRPr="007434DA">
        <w:t>Nařízení evropského parlamentu a rady (EU) 2019/4 ze dne 11. prosince 2018 o výrobě, uvádění na trh a používání medikovaných krmiv, kterým se mění nařízení Evropského parlamentu a Rady (ES) č. 183/2005 a zrušuje směrnice Rady 90/167 (pozn. do roku 2022 platí výše uvedená směrnice, kterou toto nařízení nahradí)</w:t>
      </w:r>
    </w:p>
    <w:p w14:paraId="2E5F9473" w14:textId="77777777" w:rsidR="00CB2594" w:rsidRPr="007434DA" w:rsidRDefault="00CB2594" w:rsidP="00FA1DE2">
      <w:pPr>
        <w:pStyle w:val="UZEIOdrky"/>
      </w:pPr>
      <w:r w:rsidRPr="007434DA">
        <w:t xml:space="preserve">Nařízení Evropského parlamentu a Rady (EU) 2016/429 ze dne 9. března 2016 o přenosných nákazách zvířat a o změně a zrušení některých aktů v oblasti zdraví zvířat („Animal Health Law“) </w:t>
      </w:r>
    </w:p>
    <w:p w14:paraId="23CEC1F1" w14:textId="77777777" w:rsidR="00CB2594" w:rsidRPr="007434DA" w:rsidRDefault="00CB2594" w:rsidP="00FA1DE2">
      <w:pPr>
        <w:pStyle w:val="UZEIOdrky"/>
      </w:pPr>
      <w:r w:rsidRPr="007434DA">
        <w:t>Nařízení Evropského parlamentu a Rady (ES) č. 1831/2003 ze dne 22. září 2003 o doplňkových látkách určených pro použití ve výživě zvířat</w:t>
      </w:r>
    </w:p>
    <w:p w14:paraId="4DF2FCF0" w14:textId="77777777" w:rsidR="00CB2594" w:rsidRPr="007434DA" w:rsidRDefault="00CB2594" w:rsidP="00FA1DE2">
      <w:pPr>
        <w:pStyle w:val="UZEIOdrky"/>
      </w:pPr>
      <w:r w:rsidRPr="007434DA">
        <w:t xml:space="preserve">Pro veterinární léčivé přípravky – směrnice 2001/82/ES v platném znění </w:t>
      </w:r>
    </w:p>
    <w:p w14:paraId="7DDE5A7A" w14:textId="77777777" w:rsidR="00CB2594" w:rsidRPr="007434DA" w:rsidRDefault="00CB2594" w:rsidP="00FA1DE2">
      <w:pPr>
        <w:pStyle w:val="UZEIOdrky"/>
      </w:pPr>
      <w:r w:rsidRPr="007434DA">
        <w:t xml:space="preserve">Směrnice 2009/9/ES, kterou se stanoví technické požadavky na veterinární léčivé přípravky (VLP), které jsou doplněny pokyny EK a Evropské lékové agentury v oblasti hodnocení veterinárních léčivých přípravků a jejich reziduí v potravinách živočišného původu stanoví požadavky na registraci VLP, pravidla pro jejich uvádění do oběhu, používání a dozor nad nimi. Integrální součástí těchto opatření jsou i všechny relevantní otázky související s problematikou AMR. </w:t>
      </w:r>
    </w:p>
    <w:p w14:paraId="5641EB9C" w14:textId="77777777" w:rsidR="00CB2594" w:rsidRPr="007434DA" w:rsidRDefault="00CB2594" w:rsidP="00FA1DE2">
      <w:pPr>
        <w:pStyle w:val="UZEIOdrky"/>
      </w:pPr>
      <w:r w:rsidRPr="007434DA">
        <w:t>Právní předpisy EU v oblasti hodnocení bezpečnosti reziduí farmakologicky účinných látek v živočišných produktech – nařízení 470/2009 řeší především problematiku reziduí antimikrobik, problematiku mikrobiologické bezpečnosti, i dopady reziduí antimikrobik na zdraví veřejnosti, včetně problematiky šíření AMR v důsledku přítomnosti zbytků antimikrobních veterinárních léčiv v potravinách živočišného původu.</w:t>
      </w:r>
    </w:p>
    <w:p w14:paraId="39F8B217" w14:textId="77777777" w:rsidR="00CB2594" w:rsidRPr="007434DA" w:rsidRDefault="00CB2594" w:rsidP="00FA1DE2">
      <w:pPr>
        <w:pStyle w:val="UZEIOdrky"/>
      </w:pPr>
      <w:r w:rsidRPr="007434DA">
        <w:t>Nařízení 37/2010, v platném znění obsahuje v tabulce I hodnoty maximálních limitů reziduí pro komodity živočišného původu a v Tabulce II definuje látky zakázané pro použití u zvířat produkujících potraviny</w:t>
      </w:r>
    </w:p>
    <w:p w14:paraId="14D4DDD9" w14:textId="77777777" w:rsidR="00CB2594" w:rsidRPr="007434DA" w:rsidRDefault="00CB2594" w:rsidP="00FA1DE2">
      <w:pPr>
        <w:pStyle w:val="UZEIOdrky"/>
      </w:pPr>
      <w:r w:rsidRPr="007434DA">
        <w:t>Směrnice 2003/99/ES o monitorování zoonóz a původců zoonóz (zahrnuje i problematiku AMR a na základě které přijala Evropská komise prováděcí rozhodnutí č. 2013/652/EU upravující podmínky pro monitoring a reportování AMR bakterií do které je Česká republika plně zapojena a jehož výsledky zpracovává Evropský úřad pro bezpečnost potravin do pravidelných zpráv (viz </w:t>
      </w:r>
      <w:hyperlink r:id="rId24" w:history="1">
        <w:r w:rsidRPr="007434DA">
          <w:rPr>
            <w:rStyle w:val="Hypertextovodkaz"/>
            <w:rFonts w:cs="Arial"/>
          </w:rPr>
          <w:t>https://www.efsa.europa.eu/en/topics/topic/antimicrobial-resistance</w:t>
        </w:r>
      </w:hyperlink>
      <w:r w:rsidRPr="007434DA">
        <w:t xml:space="preserve"> ). </w:t>
      </w:r>
    </w:p>
    <w:p w14:paraId="454F77DE" w14:textId="77777777" w:rsidR="00CB2594" w:rsidRPr="00FA3A37" w:rsidRDefault="00CB2594" w:rsidP="00851714">
      <w:pPr>
        <w:pStyle w:val="UZEIOdrky"/>
        <w:rPr>
          <w:bCs/>
        </w:rPr>
      </w:pPr>
      <w:r w:rsidRPr="00FA3A37">
        <w:rPr>
          <w:bCs/>
        </w:rPr>
        <w:t>Nařízení Evropského parlamentu a Rady (EU) č. 1169/2011 ze dne 25. října 2011 o poskytování informací o potravinách spotřebitelům</w:t>
      </w:r>
    </w:p>
    <w:p w14:paraId="14B655AB" w14:textId="77777777" w:rsidR="00CB2594" w:rsidRPr="007434DA" w:rsidRDefault="00CB2594" w:rsidP="00851714">
      <w:pPr>
        <w:pStyle w:val="UZEIOdrky"/>
      </w:pPr>
      <w:r w:rsidRPr="007434DA">
        <w:t xml:space="preserve">EU v souladu s opatřeními stanovenými v prvním akčním plánu k tlumení AMR z roku 2011 předložila v září roku 2014 balíček tří návrhů právních předpisů – nařízení, které zrušuje a nahrazuje stávající směrnici 2001/82/ES, nařízení, které zrušuje a nahrazuje stávající směrnici 90/167/EHs pro medikovaná krmiva a nařízení, které upravuje a doplňuje nařízení 726/2004, který se ustanovuje Evropská léková agentura a stanoví některé postupy v oblasti registrace léčivých přípravků. Návrhy těchto předpisů byly v prvním pololetí 2018 projednány v rámci trialogu (ER, EK, EP), přičemž Coreper návrhy odsouhlasil v červnu 2018. Zveřejnění právních předpisů se předpokládá na počátku roku 2019 a účinnost s tříletým odkladem. </w:t>
      </w:r>
    </w:p>
    <w:p w14:paraId="320148AE" w14:textId="414E8040" w:rsidR="00CB2594" w:rsidRPr="007434DA" w:rsidRDefault="00CB2594" w:rsidP="00851714">
      <w:pPr>
        <w:pStyle w:val="UZEINormaln"/>
      </w:pPr>
      <w:r w:rsidRPr="007434DA">
        <w:t xml:space="preserve">Nová právní úprava v oblasti VLP </w:t>
      </w:r>
      <w:r w:rsidR="00007304">
        <w:t>byla</w:t>
      </w:r>
      <w:r w:rsidR="00007304" w:rsidRPr="007434DA">
        <w:t xml:space="preserve"> </w:t>
      </w:r>
      <w:r w:rsidRPr="007434DA">
        <w:t>schválena během roku 2018</w:t>
      </w:r>
      <w:r w:rsidR="00007304">
        <w:t xml:space="preserve"> a </w:t>
      </w:r>
      <w:r w:rsidRPr="007434DA">
        <w:t xml:space="preserve"> přines</w:t>
      </w:r>
      <w:r w:rsidR="00007304">
        <w:t>la</w:t>
      </w:r>
      <w:r w:rsidRPr="007434DA">
        <w:t xml:space="preserve"> následující hlavní změny: </w:t>
      </w:r>
    </w:p>
    <w:p w14:paraId="764E0097" w14:textId="77777777" w:rsidR="00CB2594" w:rsidRPr="007434DA" w:rsidRDefault="00CB2594" w:rsidP="00851714">
      <w:pPr>
        <w:pStyle w:val="UZEINormaln"/>
      </w:pPr>
      <w:r w:rsidRPr="007434DA">
        <w:t>Restrikce, které mohou způsobit sníženou dostupnost/nedostupnost některých antimikrobik pro veterinární medicínu – některá antimikrobika budou nově vyhrazena pouze pro použití v humánní medicíně (viz kategorie 3 glycylcykliny, lipopeptidy, monobaktamy, oxazolidinony, karboxy a ureidopeniciliny, riminofenaziny, sulfony, vybraná antituberkulotika). Teoreticky se však takové omezení může dotknout i léčiv, která jsou dnes ve veterinární medicíně registrovaná a používaná (např. kolistin, cefalosporiny 3./4. generace či fluorochinolony);</w:t>
      </w:r>
    </w:p>
    <w:p w14:paraId="2979A8B4" w14:textId="77777777" w:rsidR="00CB2594" w:rsidRPr="007434DA" w:rsidRDefault="00CB2594" w:rsidP="00851714">
      <w:pPr>
        <w:pStyle w:val="UZEINormaln"/>
      </w:pPr>
      <w:r w:rsidRPr="007434DA">
        <w:t>restrikce používání mimo rozhodnutí o registraci („kaskáda“) – některá antimikrobika nebude možno používat „off-label“ v rámci kaskády. Lze předpokládat, že může jít o všechny molekuly, z pohledu rizika klasifikované do skupiny „2“ (v ČR antibiotika s indikačním omezením), tedy molekuly s vysokým rizikem, tedy cefalosporiny 3./4. generace či fluorochinolony, kolistin do budoucna možná i amoxicilin (zejména v kombinaci s kyselinou klavulanovou) či gentamicin;</w:t>
      </w:r>
    </w:p>
    <w:p w14:paraId="3B49C101" w14:textId="77777777" w:rsidR="00CB2594" w:rsidRPr="007434DA" w:rsidRDefault="00CB2594" w:rsidP="00851714">
      <w:pPr>
        <w:pStyle w:val="UZEINormaln"/>
      </w:pPr>
      <w:r w:rsidRPr="007434DA">
        <w:t>vyšší požadavky na registrace antimikrobik;</w:t>
      </w:r>
    </w:p>
    <w:p w14:paraId="177E255F" w14:textId="77777777" w:rsidR="00CB2594" w:rsidRPr="007434DA" w:rsidRDefault="00CB2594" w:rsidP="00851714">
      <w:pPr>
        <w:pStyle w:val="UZEINormaln"/>
      </w:pPr>
      <w:r w:rsidRPr="007434DA">
        <w:t>vyšší pozornost otázkám ochrany životního prostředí;</w:t>
      </w:r>
    </w:p>
    <w:p w14:paraId="5D6C7777" w14:textId="77777777" w:rsidR="00CB2594" w:rsidRPr="007434DA" w:rsidRDefault="00CB2594" w:rsidP="00851714">
      <w:pPr>
        <w:pStyle w:val="UZEINormaln"/>
      </w:pPr>
      <w:r w:rsidRPr="007434DA">
        <w:t>zákaz používat antimikrobika k růstově stimulačním účelům;</w:t>
      </w:r>
    </w:p>
    <w:p w14:paraId="252FF4C9" w14:textId="77777777" w:rsidR="00CB2594" w:rsidRPr="007434DA" w:rsidRDefault="00CB2594" w:rsidP="00851714">
      <w:pPr>
        <w:pStyle w:val="UZEINormaln"/>
      </w:pPr>
      <w:r w:rsidRPr="007434DA">
        <w:t>prakticky zákaz preventivního (profylaxe) používání antimikrobik ve veterinární medicíně;</w:t>
      </w:r>
    </w:p>
    <w:p w14:paraId="3BCE93B8" w14:textId="77777777" w:rsidR="00CB2594" w:rsidRPr="007434DA" w:rsidRDefault="00CB2594" w:rsidP="00851714">
      <w:pPr>
        <w:pStyle w:val="UZEINormaln"/>
      </w:pPr>
      <w:r w:rsidRPr="007434DA">
        <w:t xml:space="preserve">silné omezení pro metafylaktické použití antimikrobik, ale také </w:t>
      </w:r>
    </w:p>
    <w:p w14:paraId="7F05C55E" w14:textId="77777777" w:rsidR="00CB2594" w:rsidRPr="007434DA" w:rsidRDefault="00CB2594" w:rsidP="00851714">
      <w:pPr>
        <w:pStyle w:val="UZEINormaln"/>
      </w:pPr>
      <w:r w:rsidRPr="007434DA">
        <w:t>možnost pro členské státy, aby si v odůvodněných případech nastavily přísnější pravidla pro použití antimikrobik na svých územích;</w:t>
      </w:r>
    </w:p>
    <w:p w14:paraId="1B71AAF3" w14:textId="77777777" w:rsidR="00CB2594" w:rsidRPr="007434DA" w:rsidRDefault="00CB2594" w:rsidP="00851714">
      <w:pPr>
        <w:pStyle w:val="UZEINormaln"/>
      </w:pPr>
      <w:r w:rsidRPr="007434DA">
        <w:t xml:space="preserve">návrh rovněž obsahuje ustanovení, které ukládá, aby do EU nebyly povoleny dovozy pro produkty, které byly získávány za použití antibiotických růstových stimulátorů; bohužel, do návrhu se nepodařilo prosadit, aby – podobně jako je tomu v případě hormonálních látek a beta-agonistů – bylo omezení stanoveno na celou problematiku AMR, tedy včetně používání v EU nepovolených antimikrobik, omezení používání antimikrobik pro účely profylaxe a metafylaxe a další restrikce, které jsou pro producenty v EU v návrhu nařízení stanoveny. </w:t>
      </w:r>
    </w:p>
    <w:p w14:paraId="72B7F33B" w14:textId="77777777" w:rsidR="00CB2594" w:rsidRPr="007434DA" w:rsidRDefault="00CB2594" w:rsidP="00851714">
      <w:pPr>
        <w:pStyle w:val="UZEINormaln"/>
      </w:pPr>
      <w:r w:rsidRPr="007434DA">
        <w:t xml:space="preserve">V rámci EU byla dále nově ustanovena platforma „One Health Network on Antimicrobial Resistance“, která by měla zajistit, aby byla na úrovni EU byla problematika AMR řešena v souladu s principem „Jedno zdraví“. </w:t>
      </w:r>
    </w:p>
    <w:p w14:paraId="0C2D96D5" w14:textId="77777777" w:rsidR="00CB2594" w:rsidRPr="00284643" w:rsidRDefault="00CB2594" w:rsidP="00284643">
      <w:pPr>
        <w:pStyle w:val="UZEINormaln"/>
        <w:rPr>
          <w:b/>
          <w:bCs/>
        </w:rPr>
      </w:pPr>
      <w:r w:rsidRPr="00284643">
        <w:rPr>
          <w:b/>
          <w:bCs/>
        </w:rPr>
        <w:t>Legislativa ČR</w:t>
      </w:r>
    </w:p>
    <w:p w14:paraId="4C0031FC" w14:textId="7F655073" w:rsidR="00CB2594" w:rsidRPr="007434DA" w:rsidRDefault="00CB2594" w:rsidP="0051595F">
      <w:pPr>
        <w:pStyle w:val="UZEIOdrky"/>
      </w:pPr>
      <w:r w:rsidRPr="007434DA">
        <w:t xml:space="preserve">Zákon č.166/1999 Sb., o veterinární péči, ve znění pozdějších předpisů – </w:t>
      </w:r>
    </w:p>
    <w:p w14:paraId="3E8A6AC3" w14:textId="5AD03EA5" w:rsidR="00CB2594" w:rsidRPr="007434DA" w:rsidRDefault="00CB2594" w:rsidP="0051595F">
      <w:pPr>
        <w:pStyle w:val="UZEIOdrky"/>
      </w:pPr>
      <w:r w:rsidRPr="007434DA">
        <w:t xml:space="preserve">Zákon č. 378/2007 Sb., o léčivech a o změnách některých souvisejících zákonů , ve znění pozdějších předpisů </w:t>
      </w:r>
    </w:p>
    <w:p w14:paraId="5F2E88FD" w14:textId="5A4E4F4A" w:rsidR="00CB2594" w:rsidRPr="007434DA" w:rsidRDefault="00CB2594" w:rsidP="0051595F">
      <w:pPr>
        <w:pStyle w:val="UZEIOdrky"/>
      </w:pPr>
      <w:r w:rsidRPr="007434DA">
        <w:t>Zákon č. 91/1996 Sb., o krmivech, ve znění pozdějších předpisů</w:t>
      </w:r>
    </w:p>
    <w:p w14:paraId="174A3D0F" w14:textId="0944BD5A" w:rsidR="00CB2594" w:rsidRPr="007434DA" w:rsidRDefault="00CB2594" w:rsidP="0051595F">
      <w:pPr>
        <w:pStyle w:val="UZEIOdrky"/>
      </w:pPr>
      <w:r w:rsidRPr="007434DA">
        <w:t>Zákon č. 110/1997 Sb., o potravinách a tabákových výrobcích ve znění pozdějších předpisů</w:t>
      </w:r>
    </w:p>
    <w:p w14:paraId="1615388D" w14:textId="2D20ECA7" w:rsidR="00CB2594" w:rsidRPr="007434DA" w:rsidRDefault="00CB2594" w:rsidP="0051595F">
      <w:pPr>
        <w:pStyle w:val="UZEIOdrky"/>
      </w:pPr>
      <w:r w:rsidRPr="007434DA">
        <w:t>Zákon č. 350/2011 Sb., o chemických látkách a chemických přípravcích a o změně některých zákonů, ve znění pozdějších předpisů</w:t>
      </w:r>
    </w:p>
    <w:p w14:paraId="4727335E" w14:textId="77777777" w:rsidR="00CB2594" w:rsidRPr="007434DA" w:rsidRDefault="00CB2594" w:rsidP="0051595F">
      <w:pPr>
        <w:pStyle w:val="UZEIOdrky"/>
      </w:pPr>
      <w:r w:rsidRPr="007434DA">
        <w:t xml:space="preserve">Zákon č. 242/2000 Sb., o ekologickém zemědělství a o změně zákona č. 368/1992 Sb., o správních poplatcích, ve znění pozdějších předpisů </w:t>
      </w:r>
    </w:p>
    <w:p w14:paraId="4E9E9CAF" w14:textId="4A414E2E" w:rsidR="00CB2594" w:rsidRDefault="00CB2594" w:rsidP="00007304">
      <w:pPr>
        <w:pStyle w:val="UZEIOdrky"/>
      </w:pPr>
    </w:p>
    <w:p w14:paraId="4488EB1D" w14:textId="4EEEC004" w:rsidR="00DD41FC" w:rsidRPr="007434DA" w:rsidRDefault="00DD41FC" w:rsidP="00DD41FC">
      <w:pPr>
        <w:pStyle w:val="UZEIOdrky"/>
      </w:pPr>
      <w:r>
        <w:t>Nařízení</w:t>
      </w:r>
      <w:r w:rsidRPr="00DD41FC">
        <w:t xml:space="preserve"> vlády č. 48/2017 Sb., o stanovení požadavků podle aktů a standardů dobrého zemědělského a environmentálního stavu pro oblasti pravidel podmíněnosti a důsledků jejich porušení pro poskytování některých zemědělských podpor, ve znění pozdějších předpisů</w:t>
      </w:r>
    </w:p>
    <w:p w14:paraId="35EDD525" w14:textId="296B25B4" w:rsidR="00CB2594" w:rsidRPr="007434DA" w:rsidRDefault="00DD41FC" w:rsidP="0051595F">
      <w:pPr>
        <w:pStyle w:val="UZEIOdrky"/>
      </w:pPr>
      <w:r>
        <w:t>V</w:t>
      </w:r>
      <w:r w:rsidR="00CB2594" w:rsidRPr="007434DA">
        <w:t>yhláška č. 375/2006 Sb., kterou se mění některé vyhlášky v oblasti veterinární péče</w:t>
      </w:r>
      <w:r>
        <w:t>, ve znění pozdějších předpisů</w:t>
      </w:r>
      <w:r w:rsidR="00CB2594" w:rsidRPr="007434DA">
        <w:t xml:space="preserve"> </w:t>
      </w:r>
    </w:p>
    <w:p w14:paraId="0016B1AE" w14:textId="1995DC89" w:rsidR="00CB2594" w:rsidRPr="007434DA" w:rsidRDefault="00DD41FC" w:rsidP="0051595F">
      <w:pPr>
        <w:pStyle w:val="UZEIOdrky"/>
      </w:pPr>
      <w:r>
        <w:t>V</w:t>
      </w:r>
      <w:r w:rsidR="00CB2594" w:rsidRPr="007434DA">
        <w:t xml:space="preserve">yhláška č. 291/2003 Sb., o zákazu podávání některých látek zvířatům, jejichž produkty jsou určeny k výživě lidí, a o sledování (monitoringu) přítomnosti nepovolených látek, reziduí a látek kontaminujících, pro něž by živočišné produkty mohly být škodlivé pro zdraví lidí, u zvířat a v jejich produktech, ve znění pozdějších předpisů </w:t>
      </w:r>
    </w:p>
    <w:p w14:paraId="01AB0D66" w14:textId="4387877B" w:rsidR="00CB2594" w:rsidRPr="007434DA" w:rsidRDefault="00CB2594" w:rsidP="0051595F">
      <w:pPr>
        <w:pStyle w:val="UZEIOdrky"/>
      </w:pPr>
      <w:r w:rsidRPr="007434DA">
        <w:t>Vyhláška č. 342/2012 Sb.,  o zdraví zvířat a jeho ochraně, o přemisťování a přepravě zvířat a o oprávnění a odborné způsobilosti k výkonu některých veterinárních činností</w:t>
      </w:r>
      <w:r w:rsidR="00DD41FC">
        <w:t>, ve znění pozdějších předpisů</w:t>
      </w:r>
      <w:r w:rsidRPr="007434DA">
        <w:t xml:space="preserve"> </w:t>
      </w:r>
    </w:p>
    <w:p w14:paraId="63E540E6" w14:textId="3EEE54A8" w:rsidR="00CB2594" w:rsidRPr="007434DA" w:rsidRDefault="00CB2594" w:rsidP="0051595F">
      <w:pPr>
        <w:pStyle w:val="UZEIOdrky"/>
      </w:pPr>
      <w:r w:rsidRPr="007434DA">
        <w:t>Vyhláška č. 295/2015 Sb., o provedení některých ustanovení zákona o krmivech, ve znění pozdějších předpisů</w:t>
      </w:r>
    </w:p>
    <w:p w14:paraId="6CF7AD6F" w14:textId="77777777" w:rsidR="00CB2594" w:rsidRPr="007434DA" w:rsidRDefault="00CB2594" w:rsidP="0051595F">
      <w:pPr>
        <w:pStyle w:val="UZEIOdrky"/>
      </w:pPr>
      <w:r w:rsidRPr="007434DA">
        <w:t xml:space="preserve">Vyhláška č. 69/2016 Sb., o požadavcích na maso, masné výrobky, produkty rybolovu a akvakultury a výrobky z nich, vejce a výrobky z nich </w:t>
      </w:r>
    </w:p>
    <w:p w14:paraId="5457DBDD" w14:textId="77777777" w:rsidR="00CB2594" w:rsidRPr="007434DA" w:rsidRDefault="00CB2594" w:rsidP="0051595F">
      <w:pPr>
        <w:pStyle w:val="UZEIOdrky"/>
      </w:pPr>
      <w:r w:rsidRPr="007434DA">
        <w:t>Vyhláška č. 289/2007 Sb., o veterinárních a hygienických požadavcích na živočišné produkty, které nejsou upraveny přímo použitelnými předpisy ES, ve znění pozdějších předpisů.</w:t>
      </w:r>
    </w:p>
    <w:p w14:paraId="499A7FEE" w14:textId="77777777" w:rsidR="00CB2594" w:rsidRPr="007434DA" w:rsidRDefault="00CB2594" w:rsidP="0051595F">
      <w:pPr>
        <w:pStyle w:val="UZEIOdrky"/>
      </w:pPr>
      <w:r w:rsidRPr="007434DA">
        <w:t>Vyhláška č. 344/2008 Sb., o používání, předepisování a výdeji léčivých přípravků při poskytování veterinární péče, ve znění pozdějších předpisů.</w:t>
      </w:r>
    </w:p>
    <w:p w14:paraId="472AB4B6" w14:textId="699A0208" w:rsidR="00CB2594" w:rsidRPr="007434DA" w:rsidRDefault="00CB2594" w:rsidP="0051595F">
      <w:pPr>
        <w:pStyle w:val="UZEIOdrky"/>
      </w:pPr>
      <w:r w:rsidRPr="007434DA">
        <w:t>Vyhláška č. 448/2006 Sb., o provedení některých ustanovení</w:t>
      </w:r>
      <w:r w:rsidR="007E341C">
        <w:t xml:space="preserve"> plemenářského zákona</w:t>
      </w:r>
    </w:p>
    <w:p w14:paraId="5B89BC66" w14:textId="77777777" w:rsidR="00CB2594" w:rsidRPr="00284643" w:rsidRDefault="00CB2594" w:rsidP="00284643">
      <w:pPr>
        <w:pStyle w:val="UZEINormaln"/>
        <w:rPr>
          <w:b/>
          <w:bCs/>
        </w:rPr>
      </w:pPr>
      <w:r w:rsidRPr="00284643">
        <w:rPr>
          <w:b/>
          <w:bCs/>
        </w:rPr>
        <w:t xml:space="preserve">Strategie: </w:t>
      </w:r>
    </w:p>
    <w:p w14:paraId="4E0D769C" w14:textId="77777777" w:rsidR="00CB2594" w:rsidRPr="007434DA" w:rsidRDefault="00CB2594" w:rsidP="001B735C">
      <w:pPr>
        <w:pStyle w:val="UZEIOdrky"/>
      </w:pPr>
      <w:r w:rsidRPr="007434DA">
        <w:rPr>
          <w:rStyle w:val="Znakapoznpodarou"/>
          <w:rFonts w:cs="Calibri"/>
          <w:vertAlign w:val="baseline"/>
        </w:rPr>
        <w:t xml:space="preserve">Akční plán Národního antibiotického programu (AP NAP) na období 2018-2022 </w:t>
      </w:r>
    </w:p>
    <w:p w14:paraId="758C2B8A" w14:textId="77777777" w:rsidR="00CB2594" w:rsidRPr="007434DA" w:rsidRDefault="00CB2594" w:rsidP="001B735C">
      <w:pPr>
        <w:pStyle w:val="UZEIOdrky"/>
        <w:rPr>
          <w:lang w:eastAsia="cs-CZ"/>
        </w:rPr>
      </w:pPr>
      <w:r w:rsidRPr="007434DA">
        <w:rPr>
          <w:lang w:eastAsia="cs-CZ"/>
        </w:rPr>
        <w:t>Strategie resortu Ministerstva zemědělství České republiky s výhledem do roku 2030</w:t>
      </w:r>
    </w:p>
    <w:p w14:paraId="1D6F4A6A" w14:textId="77777777" w:rsidR="00CB2594" w:rsidRPr="007434DA" w:rsidRDefault="00CB2594" w:rsidP="001B735C">
      <w:pPr>
        <w:pStyle w:val="UZEIOdrky"/>
        <w:rPr>
          <w:lang w:eastAsia="cs-CZ"/>
        </w:rPr>
      </w:pPr>
      <w:r w:rsidRPr="007434DA">
        <w:rPr>
          <w:lang w:eastAsia="cs-CZ"/>
        </w:rPr>
        <w:t>Implementační plán Strategie resortu Ministerstva zemědělství ČR na období 2017</w:t>
      </w:r>
      <w:r w:rsidRPr="007434DA">
        <w:rPr>
          <w:lang w:eastAsia="cs-CZ"/>
        </w:rPr>
        <w:noBreakHyphen/>
        <w:t>2020</w:t>
      </w:r>
    </w:p>
    <w:p w14:paraId="518692F5" w14:textId="7FD2F79B" w:rsidR="00CB2594" w:rsidRPr="007434DA" w:rsidRDefault="00CB2594" w:rsidP="001B735C">
      <w:pPr>
        <w:pStyle w:val="UZEIOdrky"/>
        <w:rPr>
          <w:lang w:eastAsia="cs-CZ"/>
        </w:rPr>
      </w:pPr>
      <w:r w:rsidRPr="007434DA">
        <w:rPr>
          <w:lang w:eastAsia="cs-CZ"/>
        </w:rPr>
        <w:t xml:space="preserve">Akční plán ČR pro rozvoj ekologického zemědělství v letech </w:t>
      </w:r>
      <w:r w:rsidR="008B0A8B" w:rsidRPr="007434DA">
        <w:rPr>
          <w:lang w:eastAsia="cs-CZ"/>
        </w:rPr>
        <w:t>20</w:t>
      </w:r>
      <w:r w:rsidR="008B0A8B">
        <w:rPr>
          <w:lang w:eastAsia="cs-CZ"/>
        </w:rPr>
        <w:t>21</w:t>
      </w:r>
      <w:r w:rsidRPr="007434DA">
        <w:rPr>
          <w:lang w:eastAsia="cs-CZ"/>
        </w:rPr>
        <w:t>–</w:t>
      </w:r>
      <w:r w:rsidR="008B0A8B" w:rsidRPr="007434DA">
        <w:rPr>
          <w:lang w:eastAsia="cs-CZ"/>
        </w:rPr>
        <w:t>202</w:t>
      </w:r>
      <w:r w:rsidR="008B0A8B">
        <w:rPr>
          <w:lang w:eastAsia="cs-CZ"/>
        </w:rPr>
        <w:t>7</w:t>
      </w:r>
    </w:p>
    <w:p w14:paraId="2306B660" w14:textId="5B71DF08" w:rsidR="00CB2594" w:rsidRPr="007434DA" w:rsidRDefault="00CB2594" w:rsidP="001B735C">
      <w:pPr>
        <w:pStyle w:val="UZEIOdrky"/>
        <w:rPr>
          <w:lang w:eastAsia="cs-CZ"/>
        </w:rPr>
      </w:pPr>
      <w:r w:rsidRPr="007434DA">
        <w:rPr>
          <w:lang w:eastAsia="cs-CZ"/>
        </w:rPr>
        <w:t xml:space="preserve">Strategie bezpečnosti potravin a výživy </w:t>
      </w:r>
      <w:r w:rsidR="008B0A8B">
        <w:rPr>
          <w:lang w:eastAsia="cs-CZ"/>
        </w:rPr>
        <w:t xml:space="preserve"> 2030</w:t>
      </w:r>
    </w:p>
    <w:p w14:paraId="538F3C84" w14:textId="77777777" w:rsidR="00CB2594" w:rsidRPr="007434DA" w:rsidRDefault="00CB2594" w:rsidP="001B735C">
      <w:pPr>
        <w:pStyle w:val="UZEINormaln"/>
      </w:pPr>
      <w:r w:rsidRPr="007434DA">
        <w:t>Česká republika je vázána mezinárodními dohodami (např. OSN-WHO/FAO, OIE, EU). Na mezinárodní úrovni byla v posledním období a stále je přijímána řada dokumentů, doporučení a opatření, které mají za cíl, například:</w:t>
      </w:r>
    </w:p>
    <w:p w14:paraId="39118445" w14:textId="77777777" w:rsidR="00CB2594" w:rsidRPr="007434DA" w:rsidRDefault="00CB2594" w:rsidP="001B735C">
      <w:pPr>
        <w:pStyle w:val="UZEIOdrky"/>
      </w:pPr>
      <w:r w:rsidRPr="007434DA">
        <w:t>omezovat používání antimikrobik, zejména antimikrobik s vysokým potenciálem k rozvoji závažných typů rezistence – tzv. kriticky významná antimikrobika (cefalosporiny 3. a 4. generace, fluorochinolony, kolistin) – v ČR je dlouhodobě zaveden systém antibiotik s indikačním omezením (zahrnuje dále ansamyciny a vyšší aminoglykosidy); do budoucna je cílem zachovat pokud možno, co nejširší portfolio léčivých antimikrobních látek, nicméně zřejmě bude nutné počítat s možností úplného vyloučení některých antimikrobik významných z pohledu humánní medicíny pro použití ve veterinární medicíně a dále se zákazem používání některých antimikrobik pro použití v rámci tzv. kaskády („off-label“);</w:t>
      </w:r>
    </w:p>
    <w:p w14:paraId="700C2F9E" w14:textId="77777777" w:rsidR="00CB2594" w:rsidRPr="007434DA" w:rsidRDefault="00CB2594" w:rsidP="001B735C">
      <w:pPr>
        <w:pStyle w:val="UZEIOdrky"/>
      </w:pPr>
      <w:r w:rsidRPr="007434DA">
        <w:t xml:space="preserve">zpřísňovat podmínky pro antibiotickou profylaxi a metafylaxi </w:t>
      </w:r>
    </w:p>
    <w:p w14:paraId="1E8BB776" w14:textId="77777777" w:rsidR="00CB2594" w:rsidRPr="007434DA" w:rsidRDefault="00CB2594" w:rsidP="001B735C">
      <w:pPr>
        <w:pStyle w:val="UZEIOdrky"/>
      </w:pPr>
      <w:r w:rsidRPr="007434DA">
        <w:t>zvyšovat kvalitu používání antimikrobik (maximální využití účinnosti a minimalizace rizik) – „odpovědné“/„uvážlivé“ používání – např. odůvodněné použití, všude, kde je možné, založené na testování citlivosti, nastavení a doplnění veterinárně specifických interpretační kritérií, klasifikace antibiotik z pohledu jejich volby, vhodné dávkování, řádná diagnostika a znalost epidemiologických podmínek v chovu, opatření v chovech zvířat zajišťující zdraví a dobré životní podmínky zvířat;</w:t>
      </w:r>
    </w:p>
    <w:p w14:paraId="7109F578" w14:textId="77777777" w:rsidR="00CB2594" w:rsidRPr="007434DA" w:rsidRDefault="00CB2594" w:rsidP="001B735C">
      <w:pPr>
        <w:pStyle w:val="UZEIOdrky"/>
      </w:pPr>
      <w:r w:rsidRPr="007434DA">
        <w:t>generovat data o situaci v oblasti AMR (u člověka, u zvířat, v potravinách a celém řetězci zpracování a nakládání s potravinami, v životním prostředí) – zejména pomocí programů surveillance a monitoringu rezistence;</w:t>
      </w:r>
    </w:p>
    <w:p w14:paraId="261AE100" w14:textId="77777777" w:rsidR="00CB2594" w:rsidRPr="007434DA" w:rsidRDefault="00CB2594" w:rsidP="001B735C">
      <w:pPr>
        <w:pStyle w:val="UZEIOdrky"/>
      </w:pPr>
      <w:r w:rsidRPr="007434DA">
        <w:t>generovat data o prodejích a nově i o použití antibiotik u jednotlivých druhů hospodářských zvířat;</w:t>
      </w:r>
    </w:p>
    <w:p w14:paraId="70367FC2" w14:textId="77777777" w:rsidR="00CB2594" w:rsidRPr="007434DA" w:rsidRDefault="00CB2594" w:rsidP="001B735C">
      <w:pPr>
        <w:pStyle w:val="UZEIOdrky"/>
      </w:pPr>
      <w:r w:rsidRPr="007434DA">
        <w:t>zlepšovat informovanost o situaci v oblasti AMR u odborné i laické veřejnosti s cílem omezovat nadužívání antibiotik.</w:t>
      </w:r>
    </w:p>
    <w:p w14:paraId="4EBF5082" w14:textId="3E922100" w:rsidR="00CB2594" w:rsidRPr="007434DA" w:rsidRDefault="00CB2594" w:rsidP="001B735C">
      <w:pPr>
        <w:pStyle w:val="UZEINormaln"/>
      </w:pPr>
      <w:r w:rsidRPr="007434DA">
        <w:t>Akční plán k tlumení AMR pro Českou republiku byl schválen vládou v lednu 2019 na období 2018-2022</w:t>
      </w:r>
      <w:r w:rsidRPr="007434DA">
        <w:rPr>
          <w:vertAlign w:val="superscript"/>
        </w:rPr>
        <w:footnoteReference w:id="35"/>
      </w:r>
      <w:r w:rsidRPr="007434DA">
        <w:rPr>
          <w:vertAlign w:val="superscript"/>
        </w:rPr>
        <w:footnoteReference w:id="36"/>
      </w:r>
      <w:r w:rsidRPr="007434DA">
        <w:rPr>
          <w:vertAlign w:val="superscript"/>
        </w:rPr>
        <w:t>.</w:t>
      </w:r>
      <w:r w:rsidRPr="007434DA">
        <w:t xml:space="preserve"> V červnu 2017 publikovala Evropská Komise „Akční plán EU k tlumení AMR“, který sleduje následující cíle: </w:t>
      </w:r>
    </w:p>
    <w:p w14:paraId="1C80672B" w14:textId="77777777" w:rsidR="00CB2594" w:rsidRPr="007434DA" w:rsidRDefault="00CB2594" w:rsidP="001B735C">
      <w:pPr>
        <w:pStyle w:val="UZEINormaln"/>
        <w:rPr>
          <w:b/>
          <w:bCs/>
        </w:rPr>
      </w:pPr>
      <w:r w:rsidRPr="007434DA">
        <w:rPr>
          <w:b/>
          <w:bCs/>
        </w:rPr>
        <w:t>Specifický cíl:</w:t>
      </w:r>
    </w:p>
    <w:p w14:paraId="3E9F3359" w14:textId="77777777" w:rsidR="00F90F35" w:rsidRPr="007434DA" w:rsidRDefault="00F90F35" w:rsidP="00F90F35">
      <w:pPr>
        <w:pStyle w:val="UZEINormaln"/>
      </w:pPr>
      <w:r w:rsidRPr="007434DA">
        <w:t xml:space="preserve">Zlepšovat reakci zemědělství </w:t>
      </w:r>
      <w:r>
        <w:t>Unie</w:t>
      </w:r>
      <w:r w:rsidRPr="007434DA">
        <w:t xml:space="preserve"> na společenskou poptávku </w:t>
      </w:r>
      <w:r>
        <w:t xml:space="preserve">týkající se potravin </w:t>
      </w:r>
      <w:r w:rsidRPr="007434DA">
        <w:t>a zdraví, včetně</w:t>
      </w:r>
      <w:r>
        <w:t xml:space="preserve"> vysoce kvalitních,</w:t>
      </w:r>
      <w:r w:rsidRPr="007434DA">
        <w:t xml:space="preserve"> bezpečných </w:t>
      </w:r>
      <w:r>
        <w:t xml:space="preserve">a </w:t>
      </w:r>
      <w:r w:rsidRPr="007434DA">
        <w:t xml:space="preserve">výživných potravin </w:t>
      </w:r>
      <w:r>
        <w:t>vyprodukovaných udržitelným způsobem, omezit plýtvání potravinami, jakož i zlepšit životní podmínky zvířat a eliminovat antimikrobiální rezistenci</w:t>
      </w:r>
    </w:p>
    <w:p w14:paraId="4DA40929" w14:textId="77777777" w:rsidR="00CB2594" w:rsidRPr="007434DA" w:rsidRDefault="00CB2594" w:rsidP="001B735C">
      <w:pPr>
        <w:pStyle w:val="UZEINormaln"/>
        <w:rPr>
          <w:b/>
        </w:rPr>
      </w:pPr>
    </w:p>
    <w:p w14:paraId="0A0836EA" w14:textId="38A91F72" w:rsidR="00CB2594" w:rsidRPr="007434DA" w:rsidRDefault="00CB2594" w:rsidP="001B735C">
      <w:pPr>
        <w:pStyle w:val="UZEINormaln"/>
        <w:rPr>
          <w:b/>
          <w:bCs/>
        </w:rPr>
      </w:pPr>
      <w:r w:rsidRPr="007434DA">
        <w:rPr>
          <w:b/>
          <w:bCs/>
        </w:rPr>
        <w:t>Uvažované ukazatele - indikátory (dopadové, výsledkové, výstupové)</w:t>
      </w:r>
    </w:p>
    <w:p w14:paraId="782F531F" w14:textId="5BC141F1" w:rsidR="00CB2594" w:rsidRPr="007434DA" w:rsidRDefault="00CB2594" w:rsidP="001B735C">
      <w:pPr>
        <w:pStyle w:val="UZEINormaln"/>
        <w:rPr>
          <w:b/>
          <w:bCs/>
        </w:rPr>
      </w:pPr>
      <w:r w:rsidRPr="007434DA">
        <w:rPr>
          <w:b/>
          <w:bCs/>
        </w:rPr>
        <w:t xml:space="preserve">Základní soubor ukazatelů </w:t>
      </w:r>
    </w:p>
    <w:p w14:paraId="1C9D8D2E" w14:textId="1A98FECC" w:rsidR="00CB2594" w:rsidRPr="007434DA" w:rsidRDefault="00CB2594" w:rsidP="001B735C">
      <w:pPr>
        <w:pStyle w:val="UZEINormaln"/>
        <w:rPr>
          <w:b/>
          <w:bCs/>
        </w:rPr>
      </w:pPr>
      <w:r w:rsidRPr="007434DA">
        <w:rPr>
          <w:b/>
          <w:bCs/>
        </w:rPr>
        <w:t>Dopadové indikátory:</w:t>
      </w:r>
    </w:p>
    <w:p w14:paraId="5025E7A6" w14:textId="5DDE6C32" w:rsidR="00E050B2" w:rsidRPr="007434DA" w:rsidRDefault="00E050B2" w:rsidP="001B735C">
      <w:pPr>
        <w:pStyle w:val="UZEINormaln"/>
      </w:pPr>
      <w:r w:rsidRPr="007434DA">
        <w:t>I.28</w:t>
      </w:r>
      <w:r>
        <w:t xml:space="preserve"> Omezování používání antimikrobiálních látek u hospodářských zvířat: prodej/použití antimikrobiálních látek pro zvířata určená k produkci potravin.</w:t>
      </w:r>
    </w:p>
    <w:p w14:paraId="4A1EFDAF" w14:textId="1AD56127" w:rsidR="00E050B2" w:rsidRDefault="00CB2594" w:rsidP="001B735C">
      <w:pPr>
        <w:pStyle w:val="UZEINormaln"/>
      </w:pPr>
      <w:r w:rsidRPr="007434DA">
        <w:t>I.2</w:t>
      </w:r>
      <w:r w:rsidR="00E050B2">
        <w:t>9</w:t>
      </w:r>
      <w:r w:rsidRPr="007434DA">
        <w:t xml:space="preserve"> Reakce na poptávku spotřebitelů po kvalitních potravinách: hodnota produkce v rámci režimů jakosti </w:t>
      </w:r>
      <w:r w:rsidR="00E050B2">
        <w:t>Unie a produkce ekologického zemědělství</w:t>
      </w:r>
      <w:r w:rsidR="00E050B2" w:rsidRPr="007434DA">
        <w:t xml:space="preserve"> </w:t>
      </w:r>
    </w:p>
    <w:p w14:paraId="56A83D32" w14:textId="77777777" w:rsidR="00E01C69" w:rsidRPr="00E01C69" w:rsidRDefault="00E01C69" w:rsidP="00E01C69">
      <w:pPr>
        <w:pStyle w:val="UZEINormaln"/>
      </w:pPr>
      <w:r>
        <w:t xml:space="preserve">C.48 </w:t>
      </w:r>
      <w:r w:rsidRPr="00E01C69">
        <w:t>Omezení používání antimikrobiálních látek u hospodářských zvířat</w:t>
      </w:r>
    </w:p>
    <w:p w14:paraId="63D955F9" w14:textId="0F4080DB" w:rsidR="00E01C69" w:rsidRPr="007434DA" w:rsidRDefault="00E01C69" w:rsidP="001B735C">
      <w:pPr>
        <w:pStyle w:val="UZEINormaln"/>
      </w:pPr>
    </w:p>
    <w:p w14:paraId="38BD1002" w14:textId="77777777" w:rsidR="00CB2594" w:rsidRPr="007434DA" w:rsidRDefault="00CB2594" w:rsidP="001B735C">
      <w:pPr>
        <w:pStyle w:val="UZEINormaln"/>
        <w:rPr>
          <w:b/>
          <w:bCs/>
        </w:rPr>
      </w:pPr>
      <w:r w:rsidRPr="007434DA">
        <w:rPr>
          <w:b/>
          <w:bCs/>
        </w:rPr>
        <w:t>Výsledkové indikátory:</w:t>
      </w:r>
    </w:p>
    <w:p w14:paraId="202348D7" w14:textId="2E92869C" w:rsidR="00E050B2" w:rsidRPr="00E050B2" w:rsidRDefault="00CB2594" w:rsidP="00E050B2">
      <w:pPr>
        <w:pStyle w:val="UZEINormaln"/>
        <w:ind w:left="426"/>
        <w:jc w:val="left"/>
      </w:pPr>
      <w:r w:rsidRPr="007434DA">
        <w:t>R.</w:t>
      </w:r>
      <w:r w:rsidR="00E01C69">
        <w:t>43</w:t>
      </w:r>
      <w:r w:rsidR="00E050B2" w:rsidRPr="00F65C97">
        <w:rPr>
          <w:vertAlign w:val="superscript"/>
        </w:rPr>
        <w:t>PR</w:t>
      </w:r>
      <w:r w:rsidRPr="007434DA">
        <w:t xml:space="preserve"> Omezování používání </w:t>
      </w:r>
      <w:r w:rsidR="00E050B2">
        <w:t>antimikrobiálních látek: Podíl dobytčích jednotek (DJ), jichž se týkají podpořená opatření ke zlepšení životních podmínek zvířat (prevence/snižování)</w:t>
      </w:r>
    </w:p>
    <w:p w14:paraId="7522F175" w14:textId="0D9A1564" w:rsidR="00E050B2" w:rsidRPr="007434DA" w:rsidRDefault="00E050B2" w:rsidP="001B735C">
      <w:pPr>
        <w:pStyle w:val="UZEINormaln"/>
      </w:pPr>
    </w:p>
    <w:p w14:paraId="1521F1B6" w14:textId="77777777" w:rsidR="00CB2594" w:rsidRPr="007434DA" w:rsidRDefault="00CB2594" w:rsidP="001B735C">
      <w:pPr>
        <w:pStyle w:val="UZEINormaln"/>
        <w:rPr>
          <w:b/>
          <w:bCs/>
        </w:rPr>
      </w:pPr>
      <w:r w:rsidRPr="007434DA">
        <w:rPr>
          <w:b/>
          <w:bCs/>
        </w:rPr>
        <w:t xml:space="preserve">Výstupové indikátory: </w:t>
      </w:r>
    </w:p>
    <w:p w14:paraId="3D39676B" w14:textId="4BE7DB17" w:rsidR="00E01C69" w:rsidRPr="009662E4" w:rsidRDefault="00CB2594" w:rsidP="00E050B2">
      <w:pPr>
        <w:pStyle w:val="UZEINormaln"/>
      </w:pPr>
      <w:r w:rsidRPr="007434DA">
        <w:t xml:space="preserve">O. </w:t>
      </w:r>
      <w:r w:rsidR="00E01C69" w:rsidRPr="009662E4">
        <w:t>O.</w:t>
      </w:r>
      <w:r w:rsidR="00E050B2">
        <w:t>1</w:t>
      </w:r>
      <w:r w:rsidR="00E01C69" w:rsidRPr="009662E4">
        <w:t xml:space="preserve">8 </w:t>
      </w:r>
      <w:r w:rsidR="00E050B2" w:rsidRPr="00E050B2">
        <w:t xml:space="preserve"> </w:t>
      </w:r>
      <w:r w:rsidR="00E050B2">
        <w:t>Počet dobytčích jednotek (DJ) využívajících podporu na dobré životní podmínky a zdraví zvířat nebo zvýšená opatření v oblasti biologické bezpečnosti.</w:t>
      </w:r>
    </w:p>
    <w:p w14:paraId="17629D4E" w14:textId="77777777" w:rsidR="00E01C69" w:rsidRPr="007434DA" w:rsidRDefault="00E01C69" w:rsidP="00E01C69">
      <w:pPr>
        <w:pStyle w:val="UZEINormaln"/>
      </w:pPr>
    </w:p>
    <w:p w14:paraId="3119E2B3" w14:textId="18CCE264" w:rsidR="001B735C" w:rsidRPr="007434DA" w:rsidRDefault="001B735C" w:rsidP="00FA3A37">
      <w:pPr>
        <w:pStyle w:val="UZEINormaln"/>
      </w:pPr>
    </w:p>
    <w:p w14:paraId="22B68B0C" w14:textId="77777777" w:rsidR="001B735C" w:rsidRPr="007434DA" w:rsidRDefault="001B735C" w:rsidP="001B735C">
      <w:pPr>
        <w:pStyle w:val="UZEINormaln"/>
      </w:pPr>
    </w:p>
    <w:p w14:paraId="5E8B375F" w14:textId="7A31DEB9" w:rsidR="00CB2594" w:rsidRPr="007434DA" w:rsidRDefault="00CB2594" w:rsidP="006B29E1">
      <w:pPr>
        <w:pStyle w:val="Nadpis1"/>
      </w:pPr>
      <w:bookmarkStart w:id="178" w:name="_Toc524093558"/>
      <w:bookmarkStart w:id="179" w:name="_Toc12613420"/>
      <w:bookmarkStart w:id="180" w:name="_Toc80877869"/>
      <w:bookmarkStart w:id="181" w:name="_Toc81755620"/>
      <w:r w:rsidRPr="007434DA">
        <w:t>Stanovení skutečného problému, na který má politika reagovat. Co je skutečným problémem, na který má/by měla politika v rámci jednotlivých dílčích cílů reagovat?</w:t>
      </w:r>
      <w:bookmarkEnd w:id="178"/>
      <w:bookmarkEnd w:id="179"/>
      <w:bookmarkEnd w:id="180"/>
      <w:bookmarkEnd w:id="181"/>
    </w:p>
    <w:p w14:paraId="1DD81519" w14:textId="77777777" w:rsidR="00CB2594" w:rsidRPr="007434DA" w:rsidRDefault="00CB2594" w:rsidP="00BF53EE">
      <w:pPr>
        <w:pStyle w:val="UZEINormaln"/>
      </w:pPr>
      <w:bookmarkStart w:id="182" w:name="_Hlk519197609"/>
      <w:r w:rsidRPr="007434DA">
        <w:t>Změny v technologiích chovu hospodářských zvířat vyvolané potřebou intenzifikace produkce (potřeba zajištění dostatečného množství potravin</w:t>
      </w:r>
      <w:r w:rsidRPr="007434DA" w:rsidDel="00E93564">
        <w:t xml:space="preserve"> </w:t>
      </w:r>
      <w:r w:rsidRPr="007434DA">
        <w:t xml:space="preserve">živočišného původu), včetně četných přesunů zvířat, a tlak na cenu potravin byly hlavními důvody rostoucí spotřeby antibiotik v chovech hospodářských zvířat. Cílem bylo jak zvyšování ekonomické efektivity výroby, tak zajištění uspokojivého zdravotního stavu chovaných zvířat. Podávání antibiotik k růstově stimulačním účinkům není v zemích EU, na rozdíl od řady třetích zemí, od roku 2006 povoleno. Pokud jde o používání antibiotik v rámci léčby, tlumení nebo prevence infekčních onemocnění zvířat, které rovněž přispívá k rozvoji a šíření rezistence k antimikrobikům, za nejzávažnější z pohledu rozvoje AMR lze považovat formu hromadné medikace skupin zvířat (stáda, hejna) formou krmiva nebo vody. </w:t>
      </w:r>
    </w:p>
    <w:p w14:paraId="05AE34E8" w14:textId="77777777" w:rsidR="00CB2594" w:rsidRPr="007434DA" w:rsidRDefault="00CB2594" w:rsidP="00BF53EE">
      <w:pPr>
        <w:pStyle w:val="UZEINormaln"/>
      </w:pPr>
      <w:r w:rsidRPr="007434DA">
        <w:t xml:space="preserve">Narůstající rezistence k antimikrobikům se postupně stala celosvětovým problémem v oblasti zdraví veřejnosti. Stoupající počet infekcí </w:t>
      </w:r>
      <w:bookmarkStart w:id="183" w:name="_Hlk519197554"/>
      <w:r w:rsidRPr="007434DA">
        <w:t>vyvolaných multirezistentními</w:t>
      </w:r>
      <w:r w:rsidRPr="007434DA">
        <w:rPr>
          <w:vertAlign w:val="superscript"/>
        </w:rPr>
        <w:footnoteReference w:id="37"/>
      </w:r>
      <w:r w:rsidRPr="007434DA">
        <w:rPr>
          <w:vertAlign w:val="superscript"/>
        </w:rPr>
        <w:t xml:space="preserve"> </w:t>
      </w:r>
      <w:r w:rsidRPr="007434DA">
        <w:t xml:space="preserve">bakteriemi má závažné sociální a ekonomické dopady. Dle analýzy Evropského centra pro kontrolu a prevenci infekcí (European Centre for Disease Control and Prevention, ECDC) umírá ročně jen v Evropské unii přibližně 25 000 pacientů v souvislosti s infekcí vyvolanou multirezistentními bakteriemi. </w:t>
      </w:r>
    </w:p>
    <w:p w14:paraId="07304D13" w14:textId="77777777" w:rsidR="00CB2594" w:rsidRPr="007434DA" w:rsidRDefault="00CB2594" w:rsidP="00BF53EE">
      <w:pPr>
        <w:pStyle w:val="UZEINormaln"/>
      </w:pPr>
      <w:r w:rsidRPr="007434DA">
        <w:t>Rezistence k antimikrobikům představuje rovněž vysokou ekonomickou zátěž. Odhaduje se, že v Evropské unii dosahují náklady na léčbu infekcí vyvolaných rezistentními bakteriemi spolu se ztrátami produktivity 1,5 miliardy EUR ročně. Ztráta účinnosti antibiotik ve veterinární medicíně ohrožuje také zdraví zvířat a znamená zvýšené finanční náklady v živočišné výrobě (AP NAP 2018</w:t>
      </w:r>
      <w:r w:rsidRPr="007434DA">
        <w:noBreakHyphen/>
        <w:t xml:space="preserve">2022). </w:t>
      </w:r>
    </w:p>
    <w:p w14:paraId="63098C7F" w14:textId="77777777" w:rsidR="00CB2594" w:rsidRPr="007434DA" w:rsidRDefault="00CB2594" w:rsidP="00BF53EE">
      <w:pPr>
        <w:pStyle w:val="UZEINormaln"/>
      </w:pPr>
      <w:r w:rsidRPr="007434DA">
        <w:t>Riziko, které pro oblast zdraví člověka v souvislosti s antimikrobní rezistencí představuje veterinární medicína, je obtížně kvantifikovatelné a některé odhady uvádí podíl veterinární medicíny okolo 10 % na celkovém rozsahu problému v humánní medicíně</w:t>
      </w:r>
      <w:r w:rsidRPr="007434DA">
        <w:rPr>
          <w:rStyle w:val="Znakapoznpodarou"/>
          <w:rFonts w:ascii="Arial" w:hAnsi="Arial" w:cs="Arial"/>
          <w:sz w:val="20"/>
          <w:szCs w:val="20"/>
        </w:rPr>
        <w:footnoteReference w:id="38"/>
      </w:r>
      <w:r w:rsidRPr="007434DA">
        <w:t xml:space="preserve"> . Riziko pro zdraví zvířat pocházející z veterinární oblasti je významné, a to jednak s ohledem na přenos (multi)rezistentních původců zoonóz přenosných mezi zvířaty a člověkem (často i obousměrně), tak s ohledem na tzv. horizontální přenos rezistence, kdy se geny rezistence mohou přenášet mezi bakteriemi v rámci jednoho druhu nebo i mezidruhově. Dalším významných rizikovým faktorem, který rovněž nebyl v celém svém rozsahu zcela popsán a kvantifikován, je vliv bakteriofágů na rozvoj a šíření rezistence a možný přenos mezi zvířaty a člověkem.</w:t>
      </w:r>
    </w:p>
    <w:p w14:paraId="005FBFA1" w14:textId="77777777" w:rsidR="00CB2594" w:rsidRPr="007434DA" w:rsidRDefault="00CB2594" w:rsidP="00BF53EE">
      <w:pPr>
        <w:pStyle w:val="UZEINormaln"/>
      </w:pPr>
      <w:r w:rsidRPr="007434DA">
        <w:t>Narůstající rezistence k antimikrobikům se však začíná promítat i do nárůstu rizika v oblasti zdraví zvířat, kdy v důsledku nárůstu rezistence u některých patogenů mohou vznikat problémy s dostupností účinných léčiv pro léčbu infekcí postižených zvířat. Ve veterinární medicíně se jedná například o infekce vyvolané E. coli u prakticky všech druhů hospodářských zvířat, enterokoky u drůbeže či Streptococcus suis u prasat. Podobně jako v humánní medicíně, i ve veterinární medicíně se vyskytují izoláty rezistentní k více antimikrobikům (multirezistentní kmeny)</w:t>
      </w:r>
      <w:r w:rsidRPr="007434DA">
        <w:rPr>
          <w:rStyle w:val="Znakapoznpodarou"/>
          <w:rFonts w:ascii="Arial" w:hAnsi="Arial" w:cs="Arial"/>
          <w:sz w:val="20"/>
          <w:szCs w:val="20"/>
        </w:rPr>
        <w:footnoteReference w:id="39"/>
      </w:r>
      <w:r w:rsidRPr="007434DA">
        <w:t xml:space="preserve">. </w:t>
      </w:r>
    </w:p>
    <w:p w14:paraId="69D561C2" w14:textId="78327A86" w:rsidR="00CB2594" w:rsidRPr="007434DA" w:rsidRDefault="00CB2594" w:rsidP="00627D9F">
      <w:pPr>
        <w:pStyle w:val="UZEINormaln"/>
      </w:pPr>
      <w:r w:rsidRPr="007434DA">
        <w:t xml:space="preserve">Třetí oblastí, kterou je třeba v souvislosti s riziky plynoucími z rozvoje a šíření antimikrobní rezistence jmenovat je oblast životního prostředí, kdy životní prostředí slouží jako rezervoár rezistentních mikroorganismů a genů rezistence, které mohou být přenášeny na člověka a zvířata. V životním prostředí se dále vyskytují zbytky humánních a veterinárních léčiv a dalších látek (biocidy, pesticidy, těžké kovy), které mohou situace v oblasti výskytu antimikrobní rezistence dále zhoršovat. </w:t>
      </w:r>
    </w:p>
    <w:p w14:paraId="3A143468" w14:textId="77777777" w:rsidR="00CB2594" w:rsidRPr="007434DA" w:rsidRDefault="00CB2594" w:rsidP="00627D9F">
      <w:pPr>
        <w:pStyle w:val="UZEINormaln"/>
        <w:rPr>
          <w:b/>
          <w:bCs/>
        </w:rPr>
      </w:pPr>
      <w:r w:rsidRPr="007434DA">
        <w:rPr>
          <w:b/>
          <w:bCs/>
        </w:rPr>
        <w:t xml:space="preserve">Problematika rezistence k antimikrobikům ve veterinární medicíně zahrnuje potřebu řízení tří základních rizik: </w:t>
      </w:r>
    </w:p>
    <w:p w14:paraId="342B46F5" w14:textId="77777777" w:rsidR="00CB2594" w:rsidRPr="007434DA" w:rsidRDefault="00CB2594" w:rsidP="00B1703F">
      <w:pPr>
        <w:pStyle w:val="UZEINormaln"/>
        <w:numPr>
          <w:ilvl w:val="0"/>
          <w:numId w:val="27"/>
        </w:numPr>
      </w:pPr>
      <w:r w:rsidRPr="007434DA">
        <w:t>Ohrožení zdraví veřejnosti rezistentními mikroorganismy či determinantami rezistence pocházejícími z potravin, od zvířat či z životního prostředí a související dopady do společnosti, veřejných rozpočtů a zdravotní péče.</w:t>
      </w:r>
    </w:p>
    <w:p w14:paraId="7B4E0249" w14:textId="77777777" w:rsidR="00CB2594" w:rsidRPr="007434DA" w:rsidRDefault="00CB2594" w:rsidP="00B1703F">
      <w:pPr>
        <w:pStyle w:val="UZEINormaln"/>
        <w:numPr>
          <w:ilvl w:val="0"/>
          <w:numId w:val="27"/>
        </w:numPr>
      </w:pPr>
      <w:r w:rsidRPr="007434DA">
        <w:t>Ohrožení zdraví zvířat v důsledku obtížně léčitelných či neléčitelných infekcí vyvolaných (multi)rezistentními původci a související dopady do podmínek a ekonomiky chovu hospodářských zvířat, produkce a marketingu potravin.</w:t>
      </w:r>
    </w:p>
    <w:p w14:paraId="7ABAB030" w14:textId="77777777" w:rsidR="00CB2594" w:rsidRPr="007434DA" w:rsidRDefault="00CB2594" w:rsidP="00B1703F">
      <w:pPr>
        <w:pStyle w:val="UZEINormaln"/>
        <w:numPr>
          <w:ilvl w:val="0"/>
          <w:numId w:val="27"/>
        </w:numPr>
      </w:pPr>
      <w:r w:rsidRPr="007434DA">
        <w:t>Šíření rezistentních mikroorganismů a genů rezistence v životním prostředí.</w:t>
      </w:r>
      <w:bookmarkEnd w:id="182"/>
      <w:bookmarkEnd w:id="183"/>
    </w:p>
    <w:p w14:paraId="67062370" w14:textId="77777777" w:rsidR="00CB2594" w:rsidRPr="007434DA" w:rsidRDefault="00CB2594" w:rsidP="00627D9F">
      <w:pPr>
        <w:pStyle w:val="UZEINormaln"/>
      </w:pPr>
      <w:r w:rsidRPr="007434DA">
        <w:t>V ČR je problematika antimikrobní rezistence řešena dlouhodobě, a to v souladu s konceptem „Jedno zdraví“ ve spolupráci Ministerstva zdravotnictví a Ministerstva zemědělství. Jako opatření k řízení rizika bylo v ČR například u nerizikovějších antimikrobik zavedeno v jejich registraci tzv. indikační omezení, jehož základní podmínky byly následně upraveny na úrovni obecně závazného právního předpisu (vyhláška č. 344/2008 Sb.). Dále byly přijaty dva akční plány k tlumení antimikrobní rezistence (druhý v lednu 2019 na období 2019 až 2022) a to v návaznosti na mezinárodní akční plány a odborné standardy, které obsahují konkrétní opatření směřující k řízení rizik souvisejících s AMR.</w:t>
      </w:r>
    </w:p>
    <w:p w14:paraId="718A5F38" w14:textId="77777777" w:rsidR="00CB2594" w:rsidRPr="007434DA" w:rsidRDefault="00CB2594" w:rsidP="00627D9F">
      <w:pPr>
        <w:pStyle w:val="UZEINormaln"/>
      </w:pPr>
      <w:r w:rsidRPr="007434DA">
        <w:t>Rozsah, složitost a závažnost dopadů opatření omezujících výskyt a šíření antimikrobní rezistence v živočišné produkci však vyžadují, aby kromě cílů a opatření definovaných v akčních plánech byly po určité období nastaveny programy finanční podpory, které umožní chovatelům se s požadavky postupně vyrovnat. V této souvislosti je třeba zohlednit například to, že pokud má být dosaženo reálných výsledků, bude nutné nejen zajistit další redukci používání antimikrobik v chovech zvířat, nejlépe na úrovni po 50 mg/PCU, ale i zvýšit kvalitu rozhodová o použití antimikrobik, využívat úzkospektré přípravky cílené pro řádně charakterizované původce infekčních onemocnění a zásadním způsobem zvýšit vnější i vnitřní aspekty biologické bezpečnosti v chovech zvířat. Dále bude nutné opustit některé zažité rutinní prvky chování v oblasti prevence a léčby onemocnění zvířat a v mnohem vyšší míře spoléhat na soubor preventivních opatření v chovech zvířat a zvyšování úrovně o péči zvířat, jejich výživu a dobré životní podmínky.</w:t>
      </w:r>
    </w:p>
    <w:p w14:paraId="6473D7E2" w14:textId="77777777" w:rsidR="00CB2594" w:rsidRPr="007434DA" w:rsidRDefault="00CB2594" w:rsidP="00627D9F">
      <w:pPr>
        <w:pStyle w:val="UZEINormaln"/>
      </w:pPr>
      <w:r w:rsidRPr="007434DA">
        <w:t>Řízení rizik souvisejících s antimikrobní rezistencí vyžaduje zavedení řady systémových změn, kdy jednou z nejvýznamnějších je změna přístupu k řešení infekčních onemocnění ve veterinární medicíně od reaktivního (tj. použití antimikrobik), k proaktivnímu (tj. důraz na soubor preventivních opatření).</w:t>
      </w:r>
    </w:p>
    <w:p w14:paraId="4B2DF2B6" w14:textId="77777777" w:rsidR="00CB2594" w:rsidRPr="007434DA" w:rsidRDefault="00CB2594" w:rsidP="00627D9F">
      <w:pPr>
        <w:pStyle w:val="UZEINormaln"/>
      </w:pPr>
      <w:r w:rsidRPr="007434DA">
        <w:t xml:space="preserve">Pro nahrazení používán antimikrobik v chovech zvířat neexistuje jeden nástroj, který by je sám o sobě dovedl nahradit, ale že půjde o potřebu celkového přehodnocení situace v jednotlivých chovech a přijetí vhodného souboru opatření (např. posílení prvků vnější a vnitřní biologické bezpečnosti, zlepšení podmínek v péči o zvířata, ozdravování chovů od bakteriálních ale i virových či parazitárních, dostupnější a efektivnější diagnostika či rozsáhlejší využívání specifické imunoprofylaxe nebo přípravků v některých aspektech nahrazujících antimikrobika. </w:t>
      </w:r>
    </w:p>
    <w:p w14:paraId="3CC50264" w14:textId="77777777" w:rsidR="00CB2594" w:rsidRPr="007434DA" w:rsidRDefault="00CB2594" w:rsidP="00627D9F">
      <w:pPr>
        <w:pStyle w:val="UZEINormaln"/>
      </w:pPr>
      <w:r w:rsidRPr="007434DA">
        <w:t>Právě použití vakcín může tvořit jeden z významných pilířů opatření pro tlumení rizik souvisejících s antimikrobní rezistencí ve veterinární medicíně. Jedná se o vakcíny proti bakteriálním, virovým i parazitárním původcům. Příklady původců a vakcín proti nim, pro které existuje významný potenciál pro následnou redukci používání antimikrobik v chovech, kde jsou tyto vakcíny používány, jsou shrnuty například ve zprávě Světové organizace pro zdraví zvířat (OIE)</w:t>
      </w:r>
      <w:r w:rsidRPr="007434DA">
        <w:rPr>
          <w:rStyle w:val="Znakapoznpodarou"/>
          <w:rFonts w:ascii="Arial" w:hAnsi="Arial" w:cs="Arial"/>
          <w:sz w:val="20"/>
          <w:szCs w:val="20"/>
        </w:rPr>
        <w:footnoteReference w:id="40"/>
      </w:r>
      <w:r w:rsidRPr="007434DA">
        <w:t xml:space="preserve"> </w:t>
      </w:r>
    </w:p>
    <w:p w14:paraId="6CF97ABC" w14:textId="49B84B09" w:rsidR="00AA1FE8" w:rsidRPr="007434DA" w:rsidRDefault="00AA1FE8">
      <w:pPr>
        <w:spacing w:after="160" w:line="259" w:lineRule="auto"/>
        <w:jc w:val="left"/>
        <w:rPr>
          <w:rFonts w:ascii="Arial" w:eastAsia="Times New Roman" w:hAnsi="Arial" w:cs="Arial"/>
          <w:lang w:val="cs-CZ" w:eastAsia="cs-CZ"/>
        </w:rPr>
      </w:pPr>
      <w:r w:rsidRPr="007434DA">
        <w:rPr>
          <w:rFonts w:ascii="Arial" w:eastAsia="Times New Roman" w:hAnsi="Arial" w:cs="Arial"/>
          <w:lang w:val="cs-CZ" w:eastAsia="cs-CZ"/>
        </w:rPr>
        <w:br w:type="page"/>
      </w:r>
    </w:p>
    <w:p w14:paraId="39E67848" w14:textId="77777777" w:rsidR="00CB2594" w:rsidRPr="007434DA" w:rsidRDefault="00CB2594" w:rsidP="006B29E1">
      <w:pPr>
        <w:pStyle w:val="Nadpis1"/>
      </w:pPr>
      <w:bookmarkStart w:id="184" w:name="_Toc524093559"/>
      <w:bookmarkStart w:id="185" w:name="_Toc12613421"/>
      <w:bookmarkStart w:id="186" w:name="_Toc80877870"/>
      <w:bookmarkStart w:id="187" w:name="_Toc81755621"/>
      <w:r w:rsidRPr="007434DA">
        <w:t>Mechanismus a příčiny problému</w:t>
      </w:r>
      <w:bookmarkEnd w:id="184"/>
      <w:bookmarkEnd w:id="185"/>
      <w:bookmarkEnd w:id="186"/>
      <w:bookmarkEnd w:id="187"/>
    </w:p>
    <w:p w14:paraId="59A130E8" w14:textId="77777777" w:rsidR="00CB2594" w:rsidRPr="007434DA" w:rsidRDefault="00CB2594" w:rsidP="005848FC">
      <w:pPr>
        <w:pStyle w:val="UZEINormaln"/>
      </w:pPr>
      <w:r w:rsidRPr="007434DA">
        <w:t xml:space="preserve">Většina rezistencí nevzniká pouhým použitím antimikrobika, ale naprostá většina mechanizmů rezistencí existuje na zemi již odpradávna. Nicméně používání antibiotik – a zejména jejich nadužívání, nesprávné používání či dokonce zneužívání je hlavní příčinou rozvoje a šíření rezistence. Infekce vyvolané rezistentními bakteriemi jsou hůře léčitelné, k jejich léčbě je třeba použití tzv. antibiotik záložních, která mohou být více toxická a také více nákladná. Následky infekce vyvolané rezistentními bakteriemi mohou být velmi závažné, neboť včasná a účinná antibiotická terapie je rozhodujícím faktorem ovlivňujícím prognózu kriticky nemocných pacientů. </w:t>
      </w:r>
    </w:p>
    <w:p w14:paraId="17DE0A74" w14:textId="77777777" w:rsidR="00CB2594" w:rsidRPr="007434DA" w:rsidRDefault="00CB2594" w:rsidP="005848FC">
      <w:pPr>
        <w:pStyle w:val="UZEINormaln"/>
      </w:pPr>
      <w:r w:rsidRPr="007434DA">
        <w:t xml:space="preserve">Riziko rezistence se dále zvyšuje při nevhodném používání antibiotik zahrnující chyby v dávkování, délce podávání či nadměrném používání širokospektrých antibiotik. V ČR jsou antibiotika vázána na lékařský předpis a je odpovědností každého lékaře a veterináře, aby k jejich používání přistupoval odpovědně. Rozhodování lékaře ovšem může být ovlivněno očekáváním pacienta a rozhodování veterináře potom očekáváním chovatele či dokonce ekonomickými podmínkami. </w:t>
      </w:r>
    </w:p>
    <w:p w14:paraId="3C43B345" w14:textId="77777777" w:rsidR="00CB2594" w:rsidRPr="007434DA" w:rsidRDefault="00CB2594" w:rsidP="005848FC">
      <w:pPr>
        <w:pStyle w:val="UZEINormaln"/>
      </w:pPr>
      <w:r w:rsidRPr="007434DA">
        <w:t>Pro zachování účinnosti antibiotik je proto důležité, aby byla používána pouze v případech, kde je jejich použití oprávněné a je zvoleno správné antibiotikum, které je správně použito. Antimikrobika nesmí být rovněž používána jako prostředek pro řešení následků nedostatečné péče o zvířata nebo nedostatečných preventivních opatření v chovech („odpovědné používání antimikrobik“). Ve veterinární medicíně by měla být antibiotika zvláště důležitá pro humánní účely (v ČR skupina antimikrobik s indikačním omezením) používána obezřetně, a pouze v takových případech, kdy není k dispozici žádná další volba tak, aby bylo minimalizováno riziko rozvoje rezistence vůči kritickým skupinám antibiotik. Některé látky by potom v budoucnu neměly být ve veterinární medicíně registrovány vůbec a jejich použití by mělo být omezováno na výjimečné individuální případy či zcela vyloučeno.</w:t>
      </w:r>
    </w:p>
    <w:p w14:paraId="0C414193" w14:textId="77777777" w:rsidR="00CB2594" w:rsidRPr="007434DA" w:rsidRDefault="00CB2594" w:rsidP="005848FC">
      <w:pPr>
        <w:pStyle w:val="UZEINormaln"/>
      </w:pPr>
      <w:r w:rsidRPr="007434DA">
        <w:t>K naplnění požadavků odpovědného používání antimikrobik je třeba jednak řádně definovat důvody a podmínky jejich použití (včetně případů, kdy lze použití antimikrobik nahrazovat) tak, aby odpovídaly aktuálnímu stavu vědeckého poznání. Různorodé odborné prameny (stáří referencí, odlišné geografické oblasti, odlišné typy řízení hospodaření) mohou vést k odlišným odborným závěrům, které nejsou vždy plošně aplikovatelné ve všech systémech hospodaření či ve všech regionech. To vede k situaci, kdy je velmi obtížné se na všech úrovních, včetně rutinní klinické praxe, správně orientovat. Aktuální stav vědeckého poznání, při zohlednění potřeb praxe, je proto, pro jednotlivé indikace vhodné shrnout do tzv. „doporučených postupů“, které mají tvořit základní odborný konsensus pro použití antimikrobik prostřednictvím doporučení pro správné/indikované použití včetně preferovaného antimikrobika a režimu dávkování pro oblast České republiky a měly by rovněž konkrétními doporučeními navázat na adekvátní národní lékovou politiku, včetně politiky antibiotické.</w:t>
      </w:r>
    </w:p>
    <w:p w14:paraId="3E7D6045" w14:textId="77777777" w:rsidR="00CB2594" w:rsidRPr="007434DA" w:rsidRDefault="00CB2594" w:rsidP="005848FC">
      <w:pPr>
        <w:pStyle w:val="UZEINormaln"/>
      </w:pPr>
      <w:r w:rsidRPr="007434DA">
        <w:t>Dodržování doporučených terapeutických postupů je třeba aktivně prosazovat jako odborný standard používání antimikrobik a odborné veřejnosti je třeba zajistit dostupnost odborných důkazů pro kvalifikované rozhodování o používání a předepisování antimikrobik.  Ve veterinární medicíně bude dále nutné přijmout opatření, která umožní zachovat účinnost stávajících zavedených antimikrobních léčiv a zajistit jejich dostupnost na trhu v České republice (AP NAP 2018-2022).</w:t>
      </w:r>
    </w:p>
    <w:p w14:paraId="6AE315EC" w14:textId="77777777" w:rsidR="00CB2594" w:rsidRPr="007434DA" w:rsidRDefault="00CB2594" w:rsidP="005848FC">
      <w:pPr>
        <w:pStyle w:val="UZEINormaln"/>
      </w:pPr>
      <w:r w:rsidRPr="007434DA">
        <w:t>Pokud jde o mechanismus a příčiny problému, je třeba dále zmínit skutečnost, že všechny tři dotčené oblasti – člověk, zvířata a životní prostředí – se vzájemně velmi úzce ovlivňují a každá z nich může být zdrojem problému – rozvoje či šíření rezistence pro další oblast. Jak v oblasti analýzy, tak formulování opatření je proto zapotřebí zachovávat integrovaný, mezisektorový přístup.</w:t>
      </w:r>
    </w:p>
    <w:p w14:paraId="24CCFD4A" w14:textId="77777777" w:rsidR="00CB2594" w:rsidRPr="007434DA" w:rsidRDefault="00CB2594" w:rsidP="005848FC">
      <w:pPr>
        <w:pStyle w:val="UZEINormaln"/>
      </w:pPr>
      <w:r w:rsidRPr="007434DA">
        <w:t>Kontinuální surveillance rezistence k antimikrobikům a používání antimikrobik tvoří základ aktivit v boji s rezistencí k antimikrobikům. Je nezbytná pro sledování trendů rezistence, včasnou detekci nových mechanismů rezistence a jejich možného šíření, umožňuje i hodnocení dopadů aktivit pro omezení šíření rezistence. Propojení informací o spotřebě a o použití antibiotik pro konkrétní diagnózu umožňuje monitorovat a ovlivňovat preskripční návyky lékařů a veterinářů. Základní podmínkou pro zajištění změny preskripčního chování praktických lékařů je faktická analýza informací o spotřebě antibiotik. Tyto údaje zatím v ČR nejsou běžně dostupné. V současné době je ČR v oblasti humánní medicíny zapojena pouze do sledování spotřeby antibiotik v primární péči, data spotřeby na úrovni nemocnic chybí.</w:t>
      </w:r>
    </w:p>
    <w:p w14:paraId="671DD1C7" w14:textId="77777777" w:rsidR="00CB2594" w:rsidRPr="007434DA" w:rsidRDefault="00CB2594" w:rsidP="005848FC">
      <w:pPr>
        <w:pStyle w:val="UZEINormaln"/>
      </w:pPr>
      <w:r w:rsidRPr="007434DA">
        <w:t xml:space="preserve">Od roku 2003 existuje v ČR stabilní systém sběru dat o prodejích veterinárních léčivých přípravků, který, v souladu s platnou národní legislativou, je veden a rozvíjen Ústavem pro státní kontrolu veterinárních biopreparátů a léčiv. Každoročně jsou vyhodnocována data z úrovně distributorů a mícháren medikovaných krmiv. Jsou publikovány národní přehledy spotřeb antibiotik. </w:t>
      </w:r>
    </w:p>
    <w:p w14:paraId="7E05AD95" w14:textId="77777777" w:rsidR="00CB2594" w:rsidRPr="007434DA" w:rsidRDefault="00CB2594" w:rsidP="005848FC">
      <w:pPr>
        <w:pStyle w:val="UZEINormaln"/>
      </w:pPr>
      <w:r w:rsidRPr="007434DA">
        <w:t xml:space="preserve">Data o prodejích veterinárních léčivých přípravků jsou poskytována do databáze European Surveillance of Veterinary Antimicrobial Consumption (ESVAC). Data jsou vyjadřována v absolutních hmotnostních jednotkách či ve vztahu k technickým jednotkám definujícím populaci potravinových zvířat v daném členském státě. Takto získávané údaje jsou rámcové a umožňují vyhodnotit meziroční trendy spotřeb, ale nedovolují provádět podrobnější hodnocení, ani neumožňují hodnotit účinnost jednotlivých přijímaných opatření. </w:t>
      </w:r>
    </w:p>
    <w:p w14:paraId="3AE13BB8" w14:textId="77777777" w:rsidR="00CB2594" w:rsidRPr="007434DA" w:rsidRDefault="00CB2594" w:rsidP="005848FC">
      <w:pPr>
        <w:pStyle w:val="UZEINormaln"/>
        <w:rPr>
          <w:rStyle w:val="Siln"/>
        </w:rPr>
      </w:pPr>
      <w:r w:rsidRPr="007434DA">
        <w:rPr>
          <w:rStyle w:val="Siln"/>
        </w:rPr>
        <w:t>Příčiny</w:t>
      </w:r>
    </w:p>
    <w:p w14:paraId="6DBCCECB" w14:textId="77777777" w:rsidR="00CB2594" w:rsidRPr="007434DA" w:rsidRDefault="00CB2594" w:rsidP="005848FC">
      <w:pPr>
        <w:pStyle w:val="UZEINormaln"/>
      </w:pPr>
      <w:r w:rsidRPr="007434DA">
        <w:t>Hlavní mechanismus a příčiny vzniku problému rozvoje a šíření AMR ve veterinární medicíně jsou:</w:t>
      </w:r>
    </w:p>
    <w:p w14:paraId="7F56307D" w14:textId="77777777" w:rsidR="00CB2594" w:rsidRPr="007434DA" w:rsidRDefault="00CB2594" w:rsidP="005848FC">
      <w:pPr>
        <w:pStyle w:val="UZEIOdrky"/>
      </w:pPr>
      <w:r w:rsidRPr="007434DA">
        <w:t>Zavádění antimikrobik do chovu zvířat, a to jak pro zootechnické použití (stimulátory užitkovosti), tak pro účely léčby, tlumení (kontroly) a prevence infekčních onemocnění zvířat. Široké používání antimikrobik a postupné zavádění vysoce účinných širokospektrých antimikrobik představovalo značný selekční tlak, který u původců infekčních onemocnění i komenzálních mikroorganismů vedl k aktivaci adaptačních mechanismů – šíření genů rezistence v mikrobiomu (vnitrodruhové i mezidruhové) zvířat a na příkladu vybraných mikroorganismů (</w:t>
      </w:r>
      <w:r w:rsidRPr="007434DA">
        <w:rPr>
          <w:i/>
          <w:iCs/>
        </w:rPr>
        <w:t>Staphylococcus aureus</w:t>
      </w:r>
      <w:r w:rsidRPr="007434DA">
        <w:t xml:space="preserve">, </w:t>
      </w:r>
      <w:r w:rsidRPr="007434DA">
        <w:rPr>
          <w:i/>
          <w:iCs/>
        </w:rPr>
        <w:t>Salmonella</w:t>
      </w:r>
      <w:r w:rsidRPr="007434DA">
        <w:t xml:space="preserve"> spp.) dále k šíření specifických rezistentních klonů jak u lidí, tak zvířat a v prostředí.</w:t>
      </w:r>
    </w:p>
    <w:p w14:paraId="288F173C" w14:textId="77777777" w:rsidR="00CB2594" w:rsidRPr="007434DA" w:rsidRDefault="00CB2594" w:rsidP="005848FC">
      <w:pPr>
        <w:pStyle w:val="UZEIOdrky"/>
      </w:pPr>
      <w:r w:rsidRPr="007434DA">
        <w:t xml:space="preserve">Zásadním způsobem přispívají i přesuny zvířat (plemenný materiál, zvířata pro chov i výkrm) a obousměrný přenos rezistence mezi člověkem a zvířaty a interakce s životním prostředím (environmentální rezistom). </w:t>
      </w:r>
    </w:p>
    <w:p w14:paraId="147B1AF6" w14:textId="77777777" w:rsidR="00CB2594" w:rsidRPr="007434DA" w:rsidRDefault="00CB2594" w:rsidP="005848FC">
      <w:pPr>
        <w:pStyle w:val="UZEIOdrky"/>
      </w:pPr>
      <w:r w:rsidRPr="007434DA">
        <w:t>Problém dále zásadně ovlivňuje skutečnost, že v případě objevení se rezistentního kmene, nebo jeho zavlečení do prostředí chovu, může být takový kmen nadále udržován i v absenci selekčního tlaku antimikrobik a to prostřednictvím tzv. ko-selekce, kdy selekční tlak vyvolávají jiné faktory než antimikrobika – například biocidy, přípravky na ochranu rostlin či těžké kovy.</w:t>
      </w:r>
    </w:p>
    <w:p w14:paraId="51C611C1" w14:textId="77777777" w:rsidR="00CB2594" w:rsidRPr="007434DA" w:rsidRDefault="00CB2594" w:rsidP="005848FC">
      <w:pPr>
        <w:pStyle w:val="UZEIOdrky"/>
      </w:pPr>
      <w:r w:rsidRPr="007434DA">
        <w:t>Problematika AMR se však promítá i do oblasti zdraví zvířat a návazně i do dobrých životních podmínek zvířat. Nárůst rezistence u některých patogenů (viz výše) vede k situaci, kdy dostupná léčiva přestávají být účinná a nová antimikrobní léčiva nejsou k dispozici. To vede k potřebě hledat řešení formou souboru preventivních opatření a zlepšování péče o zdraví a dobré životní podmínky zvířat.</w:t>
      </w:r>
    </w:p>
    <w:p w14:paraId="36A3F068" w14:textId="77777777" w:rsidR="00CB2594" w:rsidRPr="007434DA" w:rsidRDefault="00CB2594" w:rsidP="005848FC">
      <w:pPr>
        <w:pStyle w:val="Nadpis1"/>
      </w:pPr>
      <w:bookmarkStart w:id="188" w:name="_Toc524093560"/>
      <w:bookmarkStart w:id="189" w:name="_Toc12613422"/>
      <w:bookmarkStart w:id="190" w:name="_Toc80877871"/>
      <w:bookmarkStart w:id="191" w:name="_Toc81755622"/>
      <w:r w:rsidRPr="007434DA">
        <w:t>Závažnost problému</w:t>
      </w:r>
      <w:bookmarkEnd w:id="188"/>
      <w:bookmarkEnd w:id="189"/>
      <w:bookmarkEnd w:id="190"/>
      <w:bookmarkEnd w:id="191"/>
    </w:p>
    <w:p w14:paraId="4A4A90B6" w14:textId="77777777" w:rsidR="00CB2594" w:rsidRPr="007434DA" w:rsidRDefault="00CB2594" w:rsidP="005848FC">
      <w:pPr>
        <w:pStyle w:val="UZEINormaln"/>
      </w:pPr>
      <w:r w:rsidRPr="007434DA">
        <w:t>Společnost si stále více uvědomuje závažnost problémů užívání antibiotik jak ve sféře chovu zvířat určených k produkci potravin, tak i z hlediska užívání v oblasti humánní medicíny. Spotřebitelé projevují ochotu za potraviny vyrobené od zvířat, kde byla při jejich chovu omezeno užívání antibiotik zaplatit více. Podle šetření ÚZEI</w:t>
      </w:r>
      <w:r w:rsidRPr="007434DA">
        <w:rPr>
          <w:vertAlign w:val="superscript"/>
        </w:rPr>
        <w:footnoteReference w:id="41"/>
      </w:r>
      <w:r w:rsidRPr="007434DA">
        <w:rPr>
          <w:vertAlign w:val="superscript"/>
        </w:rPr>
        <w:t xml:space="preserve"> </w:t>
      </w:r>
      <w:r w:rsidRPr="007434DA">
        <w:t xml:space="preserve">projevilo o takové potraviny zájem 71 % dotazovaných respondentů a bylo by si ochotno si za takové potraviny připlatit.  </w:t>
      </w:r>
    </w:p>
    <w:p w14:paraId="299E622C" w14:textId="77777777" w:rsidR="00CB2594" w:rsidRPr="007434DA" w:rsidRDefault="00CB2594" w:rsidP="005848FC">
      <w:pPr>
        <w:pStyle w:val="UZEINormaln"/>
      </w:pPr>
      <w:r w:rsidRPr="007434DA">
        <w:t>Světová zdravotnická organizace (WHO) označila rezistenci k antimikrobikům jako globální hrozbu. Situaci komplikuje i fakt, že vývoj nových antibiotik stagnuje a v budoucnu se tak bakteriální infekce opět mohou znovu stát významnou příčinou úmrtí lidí (návrat do „předantibiotické éry“). Bakterie rezistentní k antibiotikům se šíří podobně jako bakterie k antibiotikům vnímavé. Znamená to, že se přenáší mezi lidmi, zvířaty, potravinami a prostředím (včetně hmyzu, vodou, krmivy, divoce žijícími zvířaty). Tato vzájemná provázanost vyžaduje mezisektorový a interdisciplinární přístup k řešení problému rezistence k antibiotikům. Je třeba, aby všechny tři sektory, tj. humánní a veterinární medicína a složky odpovědné za příslušné části životního prostředí, spolupracovaly a zabezpečily odpovědné používání antibiotik a preventivních opatření, která omezují potřebu antibiotik a šíření infekcí.</w:t>
      </w:r>
    </w:p>
    <w:p w14:paraId="3C28F379" w14:textId="77777777" w:rsidR="00CB2594" w:rsidRPr="007434DA" w:rsidRDefault="00CB2594" w:rsidP="00BE1187">
      <w:pPr>
        <w:pStyle w:val="UZEINormaln"/>
      </w:pPr>
      <w:r w:rsidRPr="007434DA">
        <w:rPr>
          <w:b/>
          <w:bCs/>
        </w:rPr>
        <w:t>Hlavním důvodem pro přijímání opatření na mezinárodní úrovni (vč. EU) je problematika ochrany zdraví veřejnosti a zachování účinnosti antibiotik k léčbě infekcí člověka</w:t>
      </w:r>
      <w:r w:rsidRPr="007434DA">
        <w:t xml:space="preserve"> a zde jsou to zejména infekce, které mají vysokou úmrtnost nebo dlouhodobé následky, vedou k léčebným komplikacím s potřebou protrahované hospitalizace pacientů, či které vedou k významnému nárůstu finanční náročnosti léčby. Jako konkrétní příklady nejvyšší hrozby lze jmenovat gramnegativní původce z čeledi </w:t>
      </w:r>
      <w:r w:rsidRPr="007434DA">
        <w:rPr>
          <w:i/>
          <w:iCs/>
        </w:rPr>
        <w:t>Enterobacteriaceae</w:t>
      </w:r>
      <w:r w:rsidRPr="007434DA">
        <w:t xml:space="preserve"> produkující širokospektré betalaktamázy (ESBL) či dokonce karbapenemázy a souběžně jsou rovněž rezistentní ke kolistinu, dále multirezistentní </w:t>
      </w:r>
      <w:r w:rsidRPr="007434DA">
        <w:rPr>
          <w:i/>
          <w:iCs/>
        </w:rPr>
        <w:t>Acinetobacter baumannii</w:t>
      </w:r>
      <w:r w:rsidRPr="007434DA">
        <w:t xml:space="preserve">, multirezistentní kmeny </w:t>
      </w:r>
      <w:r w:rsidRPr="007434DA">
        <w:rPr>
          <w:i/>
          <w:iCs/>
        </w:rPr>
        <w:t>Pseudomonas aeruginosa</w:t>
      </w:r>
      <w:r w:rsidRPr="007434DA">
        <w:t xml:space="preserve"> a dále například kmeny </w:t>
      </w:r>
      <w:r w:rsidRPr="007434DA">
        <w:rPr>
          <w:i/>
          <w:iCs/>
        </w:rPr>
        <w:t>Staphylococcus aureus</w:t>
      </w:r>
      <w:r w:rsidRPr="007434DA">
        <w:t xml:space="preserve"> rezistentní k meticilinu (MRSA) či původci z rodu </w:t>
      </w:r>
      <w:r w:rsidRPr="007434DA">
        <w:rPr>
          <w:i/>
          <w:iCs/>
        </w:rPr>
        <w:t>Enterococcus</w:t>
      </w:r>
      <w:r w:rsidRPr="007434DA">
        <w:t xml:space="preserve"> spp. rezistentní k vankomycinu. Skupina těchto rezistentních mikroorganismů označovaná jako ESKAPE byla v roce 2017 WHO definována jako priorita pro oblast výzkumu a vývoje nových léčiv. </w:t>
      </w:r>
    </w:p>
    <w:p w14:paraId="0A11395C" w14:textId="77777777" w:rsidR="00CB2594" w:rsidRPr="007434DA" w:rsidRDefault="00CB2594" w:rsidP="009B5FAA">
      <w:pPr>
        <w:pStyle w:val="UZEINormaln"/>
      </w:pPr>
      <w:r w:rsidRPr="007434DA">
        <w:t>Podle obecně citované zprávy, která je brána jako východisko pro formulování opatření a akčních plánů na úrovni národní, mezinárodní i globální</w:t>
      </w:r>
      <w:r w:rsidRPr="007434DA">
        <w:rPr>
          <w:vertAlign w:val="superscript"/>
        </w:rPr>
        <w:footnoteReference w:id="42"/>
      </w:r>
      <w:r w:rsidRPr="007434DA">
        <w:t xml:space="preserve"> má v roce 2050 v důsledku AMR ročně umírat asi 10 milionů lidí. OECD potom publikovala odhady ekonomických dopadů do společností postižených rozvinutým problémem rezistence k antimikrobikům. Podle odhadů OECD může rozvoj a šíření AMR stát do roku 2050 globální ztrátu na celosvětovém HDP na úrovni 100 bilionů amerických dolarů.</w:t>
      </w:r>
    </w:p>
    <w:p w14:paraId="51D22E13" w14:textId="77777777" w:rsidR="00CB2594" w:rsidRPr="007434DA" w:rsidRDefault="00CB2594" w:rsidP="009B5FAA">
      <w:pPr>
        <w:pStyle w:val="UZEINormaln"/>
      </w:pPr>
      <w:r w:rsidRPr="007434DA">
        <w:t xml:space="preserve">Projekce veterinární medicíny do problematiky zdraví veřejnosti je hlavní důvodem, proč je nutné problematiku AMR ve veterinární medicíně účinně řešit. Jde o zvířata, potraviny a životní prostředí jednak jako zdroje rezistentních původců zoonóz a infekcí člověka (například stafylokoky rezistentní k meticilinu (MRSA), Salmonella spp., Campylobacter spp. a další) tak jako zdroje genů rezistence, které mohou být přenášeny do mikrobiomu lidské populace (horizontální přenos), což se v současné době považuje za závažnější z obou problémů. Celkový příspěvek zemědělské prvovýroby lze obtížně kvantifikovat, existují odhady, že používání antimikrobik u zvířat přispívá k problému AMR v humánní medicíně v řádu do 10 %. </w:t>
      </w:r>
    </w:p>
    <w:p w14:paraId="073E7CD3" w14:textId="77777777" w:rsidR="00CB2594" w:rsidRPr="007434DA" w:rsidRDefault="00CB2594" w:rsidP="009B5FAA">
      <w:pPr>
        <w:pStyle w:val="UZEINormaln"/>
      </w:pPr>
      <w:r w:rsidRPr="007434DA">
        <w:t>Přes tuto skutečnost však veterinární medicína musí plnit svoji společenskou odpovědnost a formou opatření přijímaných k omezování rozvoje a šíření AMR omezovat zdravotní rizika pro člověka pocházející z veterinární sféry. Bez nadsázky lze konstatovat, že se schopností plnění tohoto úkolu je úzce svázána budoucí konkurenceschopnost celého odvětví živočišné produkce. Již dnes řada producentů a obchodníků definuje kvalitativní a bezpečnostní (nad)standardy například s ohledem na použití antimikrobik a lze předpokládat, že tyto otázky budou nabývat na významu (viz i dále).</w:t>
      </w:r>
    </w:p>
    <w:p w14:paraId="0347700A" w14:textId="77777777" w:rsidR="00CB2594" w:rsidRPr="007434DA" w:rsidRDefault="00CB2594" w:rsidP="009B5FAA">
      <w:pPr>
        <w:pStyle w:val="UZEINormaln"/>
      </w:pPr>
      <w:r w:rsidRPr="007434DA">
        <w:t xml:space="preserve">Vzhledem ke skutečnosti, že nová antimikrobní léčiva nebudou v dohledné době do veterinární medicíny zavedena, je potřeba z pohledu definování závažnosti problému vzít v úvahu i dopady problematiky AMR do samotné veterinární medicíny – do chovu zvířat, produkce a zpracování potravin a obchodování s nimi. </w:t>
      </w:r>
    </w:p>
    <w:p w14:paraId="66A1EAC0" w14:textId="77777777" w:rsidR="00CB2594" w:rsidRPr="007434DA" w:rsidRDefault="00CB2594" w:rsidP="009B5FAA">
      <w:pPr>
        <w:pStyle w:val="UZEINormaln"/>
      </w:pPr>
      <w:r w:rsidRPr="007434DA">
        <w:t>Také ve veterinární medicíně již existují indikace, kde se dostáváme na hranici možnosti léčby. Hlavním problémem jsou zejména multirezistentní původci infekčních onemocnění z čeledi Enterobacteriaceae, u jednotlivých druhů zvířat potom další specifičtí původci, jako například Staphylococcus aureus v případě mastitid mléčného skotu s velmi nízkou úspěšností vyléčení a nástupu chronických onemocnění a rizika šíření původce ve stádě. Rovněž v posledním období lze pociťovat tlak rezistentních zástupců rodů Enterococcus, Enterobacter či Acinetobacter u drůbeže, v nedávné době i multirezistentní zástupci rodu Brachyspira u prasat (které se však dařilo řešit nákladnými repopulačními opatřeními). Veterinární medicína se tak dostává do situace, kdy nejsou pro některé ojedinělé případy dostupná žádná účinná antimikrobní léčiva nebo je účinnost omezená s negativními dopady na zdraví zvířat, ekonomiku chovu a kvalitu a bezpečnost produkce.</w:t>
      </w:r>
    </w:p>
    <w:p w14:paraId="6CB7ADA7" w14:textId="77777777" w:rsidR="00CB2594" w:rsidRPr="007434DA" w:rsidRDefault="00CB2594" w:rsidP="009B5FAA">
      <w:pPr>
        <w:pStyle w:val="UZEINormaln"/>
      </w:pPr>
      <w:r w:rsidRPr="007434DA">
        <w:t xml:space="preserve">Nepříliš restriktivní pravidla používání antibiotik dosud umožňovala „reaktivní přístup“ k řešení zdraví zvířat (např. v ČR jsou u 90 % chovů s výkrmem kuřat antibiotika aplikována v prvních 3-5 dnech po naskladnění všem jedincům jako profylaxe případně metafylaxe) – tlak na jejich omezování daný budoucí veterinární legislativou (zákaz profylaxe, restrikce metafylaxe) bude vyžadovat změnu přístupu na „proaktivní“ – což je výrazně náročnější a rovněž (alespoň v počáteční fázi) nákladnější. </w:t>
      </w:r>
    </w:p>
    <w:p w14:paraId="5D8DD1B5" w14:textId="77777777" w:rsidR="00CB2594" w:rsidRPr="007434DA" w:rsidRDefault="00CB2594" w:rsidP="009B5FAA">
      <w:pPr>
        <w:pStyle w:val="UZEINormaln"/>
      </w:pPr>
      <w:r w:rsidRPr="007434DA">
        <w:t>Všechny faktory, které budou působit na restrikci používání antimikrobik v chovech zvířat a na parametry bezpečnosti potravin ve vztahu ke zdraví člověka potom budou vyžadovat mnohem důslednější a komplexnější opatření na straně prevence. V tomto ohledu je potřeba počítat s investicemi (budovy, technologická zařízení), zvýšenými požadavky na kvalifikaci zaměstnanců či nárůstem provozních výdajů (sanitace, kvalita krmiv, opatření v oblasti podpory zdraví zvířat, alternativy k antimikrobikům, laboratorní vyšetření, systémy kvality).</w:t>
      </w:r>
    </w:p>
    <w:p w14:paraId="24B2F847" w14:textId="77777777" w:rsidR="00CB2594" w:rsidRPr="007434DA" w:rsidRDefault="00CB2594" w:rsidP="009B5FAA">
      <w:pPr>
        <w:pStyle w:val="UZEINormaln"/>
      </w:pPr>
      <w:r w:rsidRPr="007434DA">
        <w:t>Kromě vlastní sféry primární produkce bude mít problematika AMR stále významnější dopad na celý další řetězec zpracování a obchodu. V oblasti zpracovatelského průmyslu a obchodu lze předpokládat potřebu řešení následujících otázek:</w:t>
      </w:r>
    </w:p>
    <w:p w14:paraId="00EB8860" w14:textId="77777777" w:rsidR="00CB2594" w:rsidRPr="007434DA" w:rsidRDefault="00CB2594" w:rsidP="009B5FAA">
      <w:pPr>
        <w:pStyle w:val="UZEIOdrky"/>
      </w:pPr>
      <w:r w:rsidRPr="007434DA">
        <w:rPr>
          <w:b/>
        </w:rPr>
        <w:t>vlastní podíl zpracovatelského průmyslu</w:t>
      </w:r>
      <w:r w:rsidRPr="007434DA">
        <w:t xml:space="preserve"> (a obchodu) na šíření (a rozvoji) AMR, např. formou kontaminace povrchu jatečně opracovaných těl poražených zvířat a masa rezistentními mikroorganismy (geny rezistence) například v důsledku kontaminace obsahem trávícího aparátu zvířat (či z dalších orgánů – kůže, sliznice dýchacího aparátu), zavlečení rezistentních mikroorganizmů či genů rezistence na jatka a do zpracovatelských závodů (mnohdy ze zvířat dovezených z chovů mimo ČR), kontaminace způsobené pracovníky.</w:t>
      </w:r>
    </w:p>
    <w:p w14:paraId="66DB7069" w14:textId="77777777" w:rsidR="00CB2594" w:rsidRPr="007434DA" w:rsidRDefault="00CB2594" w:rsidP="009B5FAA">
      <w:pPr>
        <w:pStyle w:val="UZEIOdrky"/>
      </w:pPr>
      <w:r w:rsidRPr="007434DA">
        <w:rPr>
          <w:b/>
        </w:rPr>
        <w:t xml:space="preserve">rostoucí náklady v chovech hospodářských zvířat </w:t>
      </w:r>
      <w:r w:rsidRPr="007434DA">
        <w:t>v souvislosti s nárůstem nákladů na tlumení AMR a opatřeními v této oblasti (alespoň v iniciální fázi – viz rovněž výše)</w:t>
      </w:r>
    </w:p>
    <w:p w14:paraId="0B746C6D" w14:textId="77777777" w:rsidR="00CB2594" w:rsidRPr="007434DA" w:rsidRDefault="00CB2594" w:rsidP="009B5FAA">
      <w:pPr>
        <w:pStyle w:val="UZEIOdrky"/>
      </w:pPr>
      <w:r w:rsidRPr="007434DA">
        <w:rPr>
          <w:b/>
        </w:rPr>
        <w:t xml:space="preserve">možné dopady do obchodování se zvířaty a jejich produkty a to jak na vnitřním trhu EU, tak ve vztahu ke třetím zemím </w:t>
      </w:r>
      <w:r w:rsidRPr="007434DA">
        <w:t xml:space="preserve"> v důsledku zavádění a vymáhání standardů v oblasti biologické (například absence definovaných rezistentních mikroorganismů nebo genů rezistence) a chemické bezpečnosti (např. zpochybňování bezpečnosti platných limitů pro obsah reziduí antimikrobik v živočišných produktech – již uplatňována například Ruskou federací pro rezidua tetracyklinových antibiotik(„konkurenční výhody“ / netarifní překážky obchodu)) </w:t>
      </w:r>
    </w:p>
    <w:p w14:paraId="0C704F58" w14:textId="77777777" w:rsidR="00CB2594" w:rsidRPr="007434DA" w:rsidRDefault="00CB2594" w:rsidP="009B5FAA">
      <w:pPr>
        <w:pStyle w:val="UZEIOdrky"/>
      </w:pPr>
      <w:bookmarkStart w:id="192" w:name="_Hlk519192352"/>
      <w:r w:rsidRPr="007434DA">
        <w:rPr>
          <w:b/>
        </w:rPr>
        <w:t>tlak vynucený spotřebitelskou poptávkou</w:t>
      </w:r>
      <w:r w:rsidRPr="007434DA">
        <w:t xml:space="preserve"> </w:t>
      </w:r>
      <w:bookmarkEnd w:id="192"/>
      <w:r w:rsidRPr="007434DA">
        <w:t>– například v oblasti:</w:t>
      </w:r>
    </w:p>
    <w:p w14:paraId="4BA089DB" w14:textId="77777777" w:rsidR="00CB2594" w:rsidRPr="007434DA" w:rsidRDefault="00CB2594" w:rsidP="00B1703F">
      <w:pPr>
        <w:pStyle w:val="UZEINormaln"/>
        <w:numPr>
          <w:ilvl w:val="0"/>
          <w:numId w:val="29"/>
        </w:numPr>
      </w:pPr>
      <w:r w:rsidRPr="007434DA">
        <w:t>požadavku na dohledatelnost původu potravin a informací o jejich vlastnostech v celém řetězci jejich získávání a zpracování;</w:t>
      </w:r>
    </w:p>
    <w:p w14:paraId="68D57ACF" w14:textId="77777777" w:rsidR="00CB2594" w:rsidRPr="007434DA" w:rsidRDefault="00CB2594" w:rsidP="00B1703F">
      <w:pPr>
        <w:pStyle w:val="UZEINormaln"/>
        <w:numPr>
          <w:ilvl w:val="0"/>
          <w:numId w:val="29"/>
        </w:numPr>
      </w:pPr>
      <w:r w:rsidRPr="007434DA">
        <w:t>požadavku na informace s jakou spotřebou antibiotik byly potraviny vyrobeny (již uplatňováno některými obchodními řetězci);</w:t>
      </w:r>
    </w:p>
    <w:p w14:paraId="60D558C0" w14:textId="77777777" w:rsidR="00CB2594" w:rsidRPr="007434DA" w:rsidRDefault="00CB2594" w:rsidP="00B1703F">
      <w:pPr>
        <w:pStyle w:val="UZEINormaln"/>
        <w:numPr>
          <w:ilvl w:val="0"/>
          <w:numId w:val="29"/>
        </w:numPr>
      </w:pPr>
      <w:r w:rsidRPr="007434DA">
        <w:t>snižování obsahu reziduí antimikrobik (jak nad rámec úředně stanovených maximálních povolených limitů a do budoucna v rámci systémů kvality i možnost nastavení zpřísněných limitů);</w:t>
      </w:r>
    </w:p>
    <w:p w14:paraId="73BA99C2" w14:textId="77777777" w:rsidR="00CB2594" w:rsidRPr="007434DA" w:rsidRDefault="00CB2594" w:rsidP="00B1703F">
      <w:pPr>
        <w:pStyle w:val="UZEINormaln"/>
        <w:numPr>
          <w:ilvl w:val="0"/>
          <w:numId w:val="29"/>
        </w:numPr>
      </w:pPr>
      <w:r w:rsidRPr="007434DA">
        <w:t>označení potraviny, že neobsahuje definované rezistentní původce nebo determinanty rezistence k antimikrobikům.</w:t>
      </w:r>
    </w:p>
    <w:p w14:paraId="58A9A9C7" w14:textId="77777777" w:rsidR="00CB2594" w:rsidRPr="007434DA" w:rsidRDefault="00CB2594" w:rsidP="00694963">
      <w:pPr>
        <w:pStyle w:val="UZEIOdrky"/>
      </w:pPr>
      <w:r w:rsidRPr="007434DA">
        <w:rPr>
          <w:lang w:eastAsia="cs-CZ"/>
        </w:rPr>
        <w:t xml:space="preserve">Lze předpokládat, že otázky spojené s rezistencí k antimikrobikům budou v budoucnu stále častěji využívány jako konkurenční výhody či netarifní překážky v rámci obchodování se zvířaty a potravinami (např. </w:t>
      </w:r>
      <w:r w:rsidRPr="007434DA">
        <w:t>data o spotřebách, používání antimikrobik, obsah reziduí antimikrobik v potravinách, přítomnost rezistentních mikroorganismů či vybraných determinant rezistence (genů kódujících určité typy rezistence) ve zvířatech nebo v potravinách.</w:t>
      </w:r>
    </w:p>
    <w:p w14:paraId="7FE30C55" w14:textId="025D04A2" w:rsidR="00CB2594" w:rsidRPr="007434DA" w:rsidRDefault="00CB2594" w:rsidP="00694963">
      <w:pPr>
        <w:pStyle w:val="UZEIOdrky"/>
        <w:rPr>
          <w:lang w:eastAsia="cs-CZ"/>
        </w:rPr>
      </w:pPr>
      <w:r w:rsidRPr="007434DA">
        <w:rPr>
          <w:lang w:eastAsia="cs-CZ"/>
        </w:rPr>
        <w:t>Očekává se zvýšení tlaku na odpovědné používání antimikrobik, na dostupnost spolehlivých dat o prodejích a o používání antimikrobik u jednotlivých druhů a kategorií zvířat, na dostupnost dat o rezistencích zejména z pohledu zájmů zdraví veřejnosti (původci zoonóz, indikátorové mikroorganismy), na definování „indikátorů“ rozsahu AMR</w:t>
      </w:r>
      <w:r w:rsidR="00694963" w:rsidRPr="007434DA">
        <w:rPr>
          <w:lang w:eastAsia="cs-CZ"/>
        </w:rPr>
        <w:t>.</w:t>
      </w:r>
    </w:p>
    <w:p w14:paraId="445D1F4D" w14:textId="77777777" w:rsidR="00CB2594" w:rsidRPr="007434DA" w:rsidRDefault="00CB2594" w:rsidP="00694963">
      <w:pPr>
        <w:pStyle w:val="UZEIOdrky"/>
        <w:rPr>
          <w:lang w:eastAsia="cs-CZ"/>
        </w:rPr>
      </w:pPr>
      <w:r w:rsidRPr="007434DA">
        <w:rPr>
          <w:lang w:eastAsia="cs-CZ"/>
        </w:rPr>
        <w:t>Národní systémy sběru dat, programů monitoringu a opatření k odpovědnému používání antimikrobik budou kontrolovány ze strany EU a pravděpodobně i členských států. Hlavním důvodem bude zůstávat ochrana zdraví veřejnosti a zachování účinnosti antimikrobik pro léčbu infekcí u člověka, do budoucna pravděpodobně i ve vztahu k situaci v životním prostředí.</w:t>
      </w:r>
    </w:p>
    <w:p w14:paraId="4386A1B7" w14:textId="77777777" w:rsidR="00CB2594" w:rsidRPr="007434DA" w:rsidRDefault="00CB2594" w:rsidP="00694963">
      <w:pPr>
        <w:pStyle w:val="UZEIOdrky"/>
        <w:rPr>
          <w:lang w:eastAsia="cs-CZ"/>
        </w:rPr>
      </w:pPr>
      <w:r w:rsidRPr="007434DA">
        <w:rPr>
          <w:lang w:eastAsia="cs-CZ"/>
        </w:rPr>
        <w:t>Problém lze jistým způsobem kvantifikovat rovněž pomocí dat charakterizujících situaci a trend ve spotřebách antimikrobik v rámci České republiky (případně ve srovnání se zeměmi EU, se kterými ČR obchoduje).</w:t>
      </w:r>
    </w:p>
    <w:p w14:paraId="1EF6D408" w14:textId="77777777" w:rsidR="00CB2594" w:rsidRPr="007434DA" w:rsidRDefault="00CB2594" w:rsidP="00694963">
      <w:pPr>
        <w:pStyle w:val="UZEIOdrky"/>
        <w:rPr>
          <w:lang w:eastAsia="cs-CZ"/>
        </w:rPr>
      </w:pPr>
      <w:r w:rsidRPr="007434DA">
        <w:rPr>
          <w:lang w:eastAsia="cs-CZ"/>
        </w:rPr>
        <w:t xml:space="preserve">Česká republika má dlouhodobě stabilní systém sledování údajů o prodejích/kvantifikaci dat o spotřebách veterinárních antimikrobik (silná stránka). ČR zaznamenává v oblasti spotřeb veterinárních antimikrobik v poslední dekádě celkový pokles. </w:t>
      </w:r>
    </w:p>
    <w:p w14:paraId="7E30F59E" w14:textId="01C76E25" w:rsidR="00CB2594" w:rsidRPr="007434DA" w:rsidRDefault="00CB2594" w:rsidP="0072292E">
      <w:pPr>
        <w:pStyle w:val="UZEINormaln"/>
      </w:pPr>
      <w:r w:rsidRPr="007434DA">
        <w:t>Tabulka č. 1</w:t>
      </w:r>
      <w:r w:rsidR="00641979" w:rsidRPr="007434DA">
        <w:t>6</w:t>
      </w:r>
      <w:r w:rsidRPr="007434DA">
        <w:t xml:space="preserve"> (ESVAC data 2017) uvádí prodeje jako celkovou sumu léčivých látek ve veterinárních léčivých přípravcích, které jsou na trhu v zemích EU predominantně pro hospodářská zvířata (spotřeby u zvířat v zájmovém chovu jsou s ohledem na celkové spotřeby relativně velmi nízké). </w:t>
      </w:r>
    </w:p>
    <w:p w14:paraId="374BAFE0" w14:textId="77777777" w:rsidR="00CB2594" w:rsidRPr="007434DA" w:rsidRDefault="00CB2594" w:rsidP="00CB2594">
      <w:pPr>
        <w:rPr>
          <w:rFonts w:ascii="Arial" w:hAnsi="Arial" w:cs="Arial"/>
          <w:sz w:val="20"/>
          <w:szCs w:val="20"/>
          <w:lang w:val="cs-CZ"/>
        </w:rPr>
      </w:pPr>
    </w:p>
    <w:p w14:paraId="6DA6F96B" w14:textId="218BB626" w:rsidR="00CB2594" w:rsidRPr="007434DA" w:rsidRDefault="00CB2594" w:rsidP="00641979">
      <w:pPr>
        <w:pStyle w:val="UZEITaB"/>
        <w:ind w:hanging="1004"/>
        <w:rPr>
          <w:bCs/>
        </w:rPr>
      </w:pPr>
      <w:bookmarkStart w:id="193" w:name="_Toc12466336"/>
      <w:bookmarkStart w:id="194" w:name="_Toc12611757"/>
      <w:bookmarkStart w:id="195" w:name="_Toc12613423"/>
      <w:bookmarkStart w:id="196" w:name="_Toc80877872"/>
      <w:bookmarkStart w:id="197" w:name="_Toc94095289"/>
      <w:r w:rsidRPr="007434DA">
        <w:t>Přehled prodeje veterinárních antimikrobik v tis. t a mg/PCU</w:t>
      </w:r>
      <w:bookmarkEnd w:id="193"/>
      <w:bookmarkEnd w:id="194"/>
      <w:bookmarkEnd w:id="195"/>
      <w:r w:rsidRPr="007434DA">
        <w:rPr>
          <w:rStyle w:val="Znakapoznpodarou"/>
          <w:rFonts w:ascii="Arial" w:hAnsi="Arial" w:cs="Arial"/>
        </w:rPr>
        <w:footnoteReference w:id="43"/>
      </w:r>
      <w:r w:rsidRPr="007434DA">
        <w:t xml:space="preserve"> za rok 2017</w:t>
      </w:r>
      <w:bookmarkEnd w:id="196"/>
      <w:bookmarkEnd w:id="197"/>
    </w:p>
    <w:p w14:paraId="39BB5DEE" w14:textId="77777777" w:rsidR="00CB2594" w:rsidRPr="007434DA" w:rsidRDefault="00CB2594" w:rsidP="00CB2594">
      <w:pPr>
        <w:spacing w:after="120" w:line="240" w:lineRule="atLeast"/>
        <w:rPr>
          <w:rFonts w:ascii="Arial" w:hAnsi="Arial" w:cs="Arial"/>
          <w:sz w:val="20"/>
          <w:szCs w:val="20"/>
          <w:lang w:val="cs-CZ"/>
        </w:rPr>
      </w:pPr>
      <w:r w:rsidRPr="007434DA">
        <w:rPr>
          <w:rFonts w:ascii="Arial" w:hAnsi="Arial" w:cs="Arial"/>
          <w:sz w:val="20"/>
          <w:szCs w:val="20"/>
          <w:lang w:val="cs-CZ"/>
        </w:rPr>
        <w:t xml:space="preserve"> </w:t>
      </w:r>
      <w:r w:rsidRPr="007434DA">
        <w:rPr>
          <w:rFonts w:cs="Times New Roman"/>
          <w:noProof/>
          <w:sz w:val="20"/>
          <w:szCs w:val="20"/>
          <w:lang w:val="cs-CZ" w:eastAsia="cs-CZ"/>
        </w:rPr>
        <w:drawing>
          <wp:inline distT="0" distB="0" distL="0" distR="0" wp14:anchorId="15611ADB" wp14:editId="49500259">
            <wp:extent cx="4848225" cy="5475517"/>
            <wp:effectExtent l="0" t="0" r="0" b="0"/>
            <wp:docPr id="2118727723"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
                    <pic:cNvPicPr/>
                  </pic:nvPicPr>
                  <pic:blipFill>
                    <a:blip r:embed="rId25">
                      <a:extLst>
                        <a:ext uri="{28A0092B-C50C-407E-A947-70E740481C1C}">
                          <a14:useLocalDpi xmlns:a14="http://schemas.microsoft.com/office/drawing/2010/main" val="0"/>
                        </a:ext>
                      </a:extLst>
                    </a:blip>
                    <a:stretch>
                      <a:fillRect/>
                    </a:stretch>
                  </pic:blipFill>
                  <pic:spPr>
                    <a:xfrm>
                      <a:off x="0" y="0"/>
                      <a:ext cx="4850851" cy="5478482"/>
                    </a:xfrm>
                    <a:prstGeom prst="rect">
                      <a:avLst/>
                    </a:prstGeom>
                  </pic:spPr>
                </pic:pic>
              </a:graphicData>
            </a:graphic>
          </wp:inline>
        </w:drawing>
      </w:r>
    </w:p>
    <w:p w14:paraId="640F4834" w14:textId="77777777" w:rsidR="00CB2594" w:rsidRPr="007434DA" w:rsidRDefault="00CB2594" w:rsidP="008C00D5">
      <w:pPr>
        <w:pStyle w:val="UZEIZdroj"/>
      </w:pPr>
      <w:r w:rsidRPr="007434DA">
        <w:t xml:space="preserve">Pozn. Prodej vztažený na populaci hospodářských zvířat </w:t>
      </w:r>
    </w:p>
    <w:p w14:paraId="3951DD70" w14:textId="77777777" w:rsidR="00CB2594" w:rsidRPr="007434DA" w:rsidRDefault="00CB2594" w:rsidP="008C00D5">
      <w:pPr>
        <w:pStyle w:val="UZEIZdroj"/>
      </w:pPr>
      <w:r w:rsidRPr="007434DA">
        <w:t>Pramen: ESVAC, Sales of veterinary antimicrobial agents in 31 European countries in 2017</w:t>
      </w:r>
    </w:p>
    <w:p w14:paraId="14A8F6C5" w14:textId="77777777" w:rsidR="00CB2594" w:rsidRPr="007434DA" w:rsidRDefault="00CB2594" w:rsidP="00CB2594">
      <w:pPr>
        <w:rPr>
          <w:rFonts w:ascii="Arial" w:hAnsi="Arial" w:cs="Arial"/>
          <w:bCs/>
          <w:i/>
          <w:sz w:val="18"/>
          <w:szCs w:val="18"/>
          <w:lang w:val="cs-CZ"/>
        </w:rPr>
      </w:pPr>
    </w:p>
    <w:p w14:paraId="310F9851" w14:textId="55EBF207" w:rsidR="00CB2594" w:rsidRPr="007434DA" w:rsidRDefault="00CB2594" w:rsidP="008C00D5">
      <w:pPr>
        <w:pStyle w:val="UZEINormaln"/>
      </w:pPr>
      <w:r w:rsidRPr="007434DA">
        <w:t>V tabulce č. 1</w:t>
      </w:r>
      <w:r w:rsidR="002A35E8" w:rsidRPr="007434DA">
        <w:t>6</w:t>
      </w:r>
      <w:r w:rsidRPr="007434DA">
        <w:t xml:space="preserve"> je pomocí jednotky PCU zohledněna populace zvířat chovaných v jednotlivých státech EU/EEA., ale nikoliv např. struktura a intenzita chovů:</w:t>
      </w:r>
    </w:p>
    <w:p w14:paraId="3E533078" w14:textId="77777777" w:rsidR="00CB2594" w:rsidRPr="007434DA" w:rsidRDefault="00CB2594" w:rsidP="00A41800">
      <w:pPr>
        <w:pStyle w:val="UZEIOdrky"/>
      </w:pPr>
      <w:r w:rsidRPr="007434DA">
        <w:t>ČR má např. obdobnou PCU okolo 700 (+ 100) jako Švédsko/Švýcarsko (804/796), ale ve Švédsku je odlišné klima, menší chovy, jiná struktura chovaných zvířat, užší portfolio VLP, dlouhodobě silná antibiotická politika, dlouhodobě nastavené systémy surveillance a publikování dat k AMR/spotřebám a ve Švýcarsku jsou mnohem menší počty zvířat v chovech, jiná struktura chovaných zvířat, užší portfolio VLP.</w:t>
      </w:r>
    </w:p>
    <w:p w14:paraId="18774BA8" w14:textId="1C40A70B" w:rsidR="00CB2594" w:rsidRPr="007434DA" w:rsidRDefault="00CB2594" w:rsidP="00A41800">
      <w:pPr>
        <w:pStyle w:val="UZEIOdrky"/>
      </w:pPr>
      <w:r w:rsidRPr="007434DA">
        <w:t xml:space="preserve">„Relativně srovnatelné“ podmínky chovů a portfolia VLP mají např. CZ – DE – SK – PL - HU, „mírně“ nižší spotřebu na populaci zvířat má Slovensko (61,9 mg/PCU), Rakousko (46,8 mg/PCU), nicméně další země např. Německo vykazuje přibližně o třetinu vyšší (od roku 2013 došlo k jejímu výraznému omezení), Polsko více vykazuje spotřebu než dvojnásobnou, Maďarsko </w:t>
      </w:r>
      <w:r w:rsidRPr="007434DA">
        <w:rPr>
          <w:color w:val="auto"/>
        </w:rPr>
        <w:t xml:space="preserve">přibližně trojnásobnou, (grafy </w:t>
      </w:r>
      <w:r w:rsidR="000F5D6E">
        <w:rPr>
          <w:color w:val="auto"/>
        </w:rPr>
        <w:t>10 a 11</w:t>
      </w:r>
      <w:r w:rsidRPr="007434DA">
        <w:rPr>
          <w:color w:val="auto"/>
        </w:rPr>
        <w:t xml:space="preserve">). </w:t>
      </w:r>
    </w:p>
    <w:p w14:paraId="339E1A43" w14:textId="77777777" w:rsidR="00CB2594" w:rsidRPr="007434DA" w:rsidRDefault="00CB2594" w:rsidP="00A41800">
      <w:pPr>
        <w:pStyle w:val="UZEIOdrky"/>
      </w:pPr>
      <w:r w:rsidRPr="007434DA">
        <w:t xml:space="preserve">Často bývají citovány úspěchy Nizozemska, které v rámci ESVAC dat v roce 2010 mělo spotřebu oproti ČR dvojnásobnou, zatímco v roce 2013 již vykazovalo „mírně nižší“ hodnotu. Za rok 2017 byla oficiálně reportována následující data spotřeby (mg/PCU) ČR 63,6, zatímco Nizozemsko bylo na 56,3. Obdobně Francie, která byla v roce 2010 na pomyslné druhé příčce, měla v roce 2017 s 68,8 mg/PCU „mírně vyšší“ (cca o 8 %) spotřebu než ČR. </w:t>
      </w:r>
    </w:p>
    <w:p w14:paraId="536258F3" w14:textId="77777777" w:rsidR="00CB2594" w:rsidRPr="007434DA" w:rsidRDefault="00CB2594" w:rsidP="00B545A8">
      <w:pPr>
        <w:pStyle w:val="UZEIGraf"/>
        <w:numPr>
          <w:ilvl w:val="0"/>
          <w:numId w:val="0"/>
        </w:numPr>
        <w:ind w:left="720"/>
      </w:pPr>
    </w:p>
    <w:p w14:paraId="4C0CF753" w14:textId="349F6891" w:rsidR="00B545A8" w:rsidRPr="007434DA" w:rsidRDefault="00CB2594" w:rsidP="002A35E8">
      <w:pPr>
        <w:pStyle w:val="UZEIGraf"/>
        <w:ind w:hanging="720"/>
      </w:pPr>
      <w:bookmarkStart w:id="198" w:name="_Toc12466337"/>
      <w:bookmarkStart w:id="199" w:name="_Toc12611758"/>
      <w:bookmarkStart w:id="200" w:name="_Toc12613424"/>
      <w:bookmarkStart w:id="201" w:name="_Toc80877873"/>
      <w:bookmarkStart w:id="202" w:name="_Toc93676668"/>
      <w:r w:rsidRPr="007434DA">
        <w:t>Data o celkových spotřebě veterinárních ATM za rok 2017, ČR v porovnání s ostatními evropskými zeměmi</w:t>
      </w:r>
      <w:bookmarkEnd w:id="198"/>
      <w:bookmarkEnd w:id="199"/>
      <w:bookmarkEnd w:id="200"/>
      <w:r w:rsidRPr="007434DA">
        <w:t xml:space="preserve"> (v mg/PCU)</w:t>
      </w:r>
      <w:bookmarkEnd w:id="201"/>
      <w:bookmarkEnd w:id="202"/>
    </w:p>
    <w:p w14:paraId="0A297AF3" w14:textId="77777777" w:rsidR="00CB2594" w:rsidRPr="007434DA" w:rsidRDefault="00CB2594" w:rsidP="00CB2594">
      <w:pPr>
        <w:rPr>
          <w:lang w:val="cs-CZ"/>
        </w:rPr>
      </w:pPr>
      <w:r w:rsidRPr="007434DA">
        <w:rPr>
          <w:noProof/>
          <w:lang w:val="cs-CZ" w:eastAsia="cs-CZ"/>
        </w:rPr>
        <w:drawing>
          <wp:inline distT="0" distB="0" distL="0" distR="0" wp14:anchorId="1D76F26A" wp14:editId="773E9D6D">
            <wp:extent cx="5760720" cy="3558540"/>
            <wp:effectExtent l="0" t="0" r="0" b="3810"/>
            <wp:docPr id="609989307"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pic:nvPicPr>
                  <pic:blipFill>
                    <a:blip r:embed="rId26">
                      <a:extLst>
                        <a:ext uri="{28A0092B-C50C-407E-A947-70E740481C1C}">
                          <a14:useLocalDpi xmlns:a14="http://schemas.microsoft.com/office/drawing/2010/main" val="0"/>
                        </a:ext>
                      </a:extLst>
                    </a:blip>
                    <a:stretch>
                      <a:fillRect/>
                    </a:stretch>
                  </pic:blipFill>
                  <pic:spPr>
                    <a:xfrm>
                      <a:off x="0" y="0"/>
                      <a:ext cx="5760720" cy="3558540"/>
                    </a:xfrm>
                    <a:prstGeom prst="rect">
                      <a:avLst/>
                    </a:prstGeom>
                  </pic:spPr>
                </pic:pic>
              </a:graphicData>
            </a:graphic>
          </wp:inline>
        </w:drawing>
      </w:r>
    </w:p>
    <w:p w14:paraId="664E0CA5" w14:textId="6121F8EE" w:rsidR="00CB2594" w:rsidRPr="007434DA" w:rsidRDefault="00CB2594" w:rsidP="001E1C66">
      <w:pPr>
        <w:pStyle w:val="UZEIZdroj"/>
      </w:pPr>
      <w:r w:rsidRPr="007434DA">
        <w:t>Pramen: ESVAC, Sales of veterinary antimicrobial agents in 31 European countries in 2017</w:t>
      </w:r>
    </w:p>
    <w:p w14:paraId="5B48050F" w14:textId="775523F0" w:rsidR="00CB2594" w:rsidRPr="007434DA" w:rsidRDefault="00CB2594" w:rsidP="001E1C66">
      <w:pPr>
        <w:pStyle w:val="UZEINormaln"/>
      </w:pPr>
      <w:r w:rsidRPr="007434DA">
        <w:t xml:space="preserve">V roce 2018 došlo u 31 sledovaných evropských zemích k meziročnímu snížení spotřeby veterinárních antimikrobik celkem o 3,6 % na 103,2 mg/PCU. Medián dosáhl hodnoty 57 mg/PCU, což byla v daném roce zároveň hodnota spotřeby v ČR. To znamená, že naše země se nacházela v rámci sledovaných zemích opět v pořadí na 15. místě. Nejvýrazněji se snížila v roce 2018 meziročně spotřeba antimikrobik na Slovensku (o 20,4 %) na 49,3 mg/PCU a v Belgii (o 13,9 %) na 113 mg/PCU, naopak výrazně vzrostla v Portugalsku (o 38,4 %) na 186,6 mg/PCU. V grafu č. </w:t>
      </w:r>
      <w:r w:rsidR="007434DA" w:rsidRPr="007434DA">
        <w:t>1</w:t>
      </w:r>
      <w:r w:rsidR="000F5D6E">
        <w:t>1</w:t>
      </w:r>
      <w:r w:rsidR="007434DA" w:rsidRPr="007434DA">
        <w:t xml:space="preserve"> </w:t>
      </w:r>
      <w:r w:rsidRPr="007434DA">
        <w:t xml:space="preserve">je znázorněn vývoj spotřeby veterinárních antimikrobik v mg/PCU ve vybraných zemích střední Evropy od roku 2013 do roku 2018. V ČR došlo od roku 2013 do roku 2018 ke snížení spotřeby o 30,6 %. Na polovinu ji omezilo za sledované období z uvedených zemí Německo, naopak v Polsku se proti roku 2013 zvýšila a více než 10 % a byla za uvedené období nejvyšší. </w:t>
      </w:r>
    </w:p>
    <w:p w14:paraId="2FBE76CA" w14:textId="26BBCA31" w:rsidR="000A1987" w:rsidRPr="007434DA" w:rsidRDefault="000A1987" w:rsidP="001E1C66">
      <w:pPr>
        <w:pStyle w:val="UZEINormaln"/>
        <w:rPr>
          <w:rStyle w:val="UZEIGrafChar"/>
        </w:rPr>
      </w:pPr>
      <w:bookmarkStart w:id="203" w:name="_Toc80877874"/>
    </w:p>
    <w:p w14:paraId="2F63E7AE" w14:textId="3A6E4D88" w:rsidR="000A1987" w:rsidRPr="007434DA" w:rsidRDefault="000A1987" w:rsidP="000A1987">
      <w:pPr>
        <w:pStyle w:val="UZEIGraf"/>
        <w:ind w:hanging="720"/>
        <w:rPr>
          <w:noProof/>
        </w:rPr>
      </w:pPr>
      <w:bookmarkStart w:id="204" w:name="_Toc93676669"/>
      <w:r w:rsidRPr="007434DA">
        <w:t>S</w:t>
      </w:r>
      <w:r w:rsidR="00CB2594" w:rsidRPr="007434DA">
        <w:t>potřeby veterinárních antimikrobik v mg/PCU ve vybraných zemích EU za roky 2013, 2015 až 2018</w:t>
      </w:r>
      <w:bookmarkEnd w:id="204"/>
      <w:r w:rsidR="00CB2594" w:rsidRPr="007434DA">
        <w:rPr>
          <w:noProof/>
        </w:rPr>
        <w:t xml:space="preserve"> </w:t>
      </w:r>
    </w:p>
    <w:p w14:paraId="41ABF1DB" w14:textId="0CC652D2" w:rsidR="00CB2594" w:rsidRPr="007434DA" w:rsidRDefault="00CB2594" w:rsidP="001E1C66">
      <w:pPr>
        <w:pStyle w:val="UZEINormaln"/>
        <w:rPr>
          <w:rFonts w:ascii="Arial" w:hAnsi="Arial" w:cs="Arial"/>
          <w:i/>
          <w:sz w:val="18"/>
          <w:szCs w:val="18"/>
        </w:rPr>
      </w:pPr>
      <w:r w:rsidRPr="007434DA">
        <w:rPr>
          <w:noProof/>
        </w:rPr>
        <w:drawing>
          <wp:inline distT="0" distB="0" distL="0" distR="0" wp14:anchorId="382A6565" wp14:editId="4D80A4D7">
            <wp:extent cx="5819775" cy="3064510"/>
            <wp:effectExtent l="0" t="0" r="9525" b="2540"/>
            <wp:docPr id="11" name="Graf 11">
              <a:extLst xmlns:a="http://schemas.openxmlformats.org/drawingml/2006/main">
                <a:ext uri="{FF2B5EF4-FFF2-40B4-BE49-F238E27FC236}">
                  <a16:creationId xmlns:a16="http://schemas.microsoft.com/office/drawing/2014/main" id="{AD38F43E-7AE9-41C7-8E1A-5BA24EE04BD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bookmarkEnd w:id="203"/>
    </w:p>
    <w:p w14:paraId="7C6A242A" w14:textId="77777777" w:rsidR="00CB2594" w:rsidRPr="007434DA" w:rsidRDefault="00CB2594" w:rsidP="001E1C66">
      <w:pPr>
        <w:pStyle w:val="UZEIZdroj"/>
      </w:pPr>
      <w:r w:rsidRPr="007434DA">
        <w:t>Pramen: ESVAC, Sales of veterinary antimicrobial agents in 2013-2018</w:t>
      </w:r>
    </w:p>
    <w:p w14:paraId="0EFA55A6" w14:textId="0E3E7001" w:rsidR="00CB2594" w:rsidRPr="007434DA" w:rsidRDefault="00CB2594" w:rsidP="00CB2594">
      <w:pPr>
        <w:spacing w:line="240" w:lineRule="atLeast"/>
        <w:rPr>
          <w:rFonts w:ascii="Arial" w:hAnsi="Arial" w:cs="Arial"/>
          <w:i/>
          <w:sz w:val="18"/>
          <w:szCs w:val="18"/>
          <w:lang w:val="cs-CZ"/>
        </w:rPr>
      </w:pPr>
    </w:p>
    <w:p w14:paraId="34B4747B" w14:textId="77777777" w:rsidR="00CB2594" w:rsidRPr="007434DA" w:rsidRDefault="00CB2594" w:rsidP="00B35E4F">
      <w:pPr>
        <w:pStyle w:val="UZEINormaln"/>
        <w:rPr>
          <w:b/>
          <w:bCs/>
        </w:rPr>
      </w:pPr>
      <w:r w:rsidRPr="007434DA">
        <w:rPr>
          <w:b/>
          <w:bCs/>
        </w:rPr>
        <w:t>V rámci analýzy je nutno přistoupit i ke kvantifikaci, jak velký problém z hlediska druhů a kategorií zvířat používání antimikrobik představuje:</w:t>
      </w:r>
    </w:p>
    <w:p w14:paraId="09E56ED9" w14:textId="77777777" w:rsidR="00CB2594" w:rsidRPr="007434DA" w:rsidRDefault="00CB2594" w:rsidP="00B35E4F">
      <w:pPr>
        <w:pStyle w:val="UZEINormaln"/>
      </w:pPr>
      <w:r w:rsidRPr="007434DA">
        <w:t xml:space="preserve">Je nutno specifikovat míru používání antimikrobik nejen celkově, je nutno zohlednit jaká konkrétní antibiotika jsou podávána (trend ve spotřebách v ČR lze například charakterizovat velmi výrazným poklesem podávání tetracyklinů, kde však stále existují rezervy v možnosti výrazného snížení profylaktického podání). Do budoucna je však velmi potřebné se zaměřit na stagnující/či meziročně lehce narůstají spotřeby kriticky významných antimikrobik (zejména s ohledem na jejich význam/ponechání jako záložních léčiv pro humánní medicínu) - jedná se o skupinu cefalosporinů 3. a 4. generace (vybraných lékových forem, zde především skot a prasata), či fluorochinolonů (enrofloxacin, výkrm brojlerů kura). Do budoucna je pro lepší kvantifikaci problému a možnost lepšího cílení a efektivity opatření potřeba pravidelně monitorovat spotřebu u jednotlivých druhů/kategorií/typů chovů zvířat (v současnosti slabá stránka). V ČR existují (viz též výše komentář tetracykliny) i možnosti ke snížení (rutinně) preventivního (profylaktického) podávání, a to především tam, kde nejsou zvířata s klinickými známkami onemocnění v chovu detekována, měla by být přísně hodnocena míra rizika, že onemocní (nejen hodnocení, ale zaměření se na minimalizaci faktorů jako stres při odstavu selat, stres při transportu jednodenních kuřat a vysoké riziko onemocnění/produkční nevyrovnanosti chovu, plošné zaprahování dojnic antibiotiky). </w:t>
      </w:r>
    </w:p>
    <w:p w14:paraId="41DA3E58" w14:textId="77777777" w:rsidR="00CB2594" w:rsidRPr="007434DA" w:rsidRDefault="00CB2594" w:rsidP="00B35E4F">
      <w:pPr>
        <w:pStyle w:val="UZEINormaln"/>
      </w:pPr>
      <w:r w:rsidRPr="007434DA">
        <w:t xml:space="preserve">V současnosti mezi slabé stránky systému patří i to, že neumíme kvantifikovat míru (rutinního) preventivního podání a její dopady. Pouze na úrovni kvalifikovaných odhadů lze dovozovat (např. léková forma premix se podává ve více než 98 % u prasat ve velké míře preventivně - premixy tvoří přibližně pětinu celkových spotřeb antimikrobik v ČR (2015). Ještě více obtížná je stratifikace používání pro perorální léky a roztoky, které nyní tvoří společně více než 60 % celkových spotřeb - míru (rutinní) profylaxe, metafylaxe a léčby neumíme přesně kvantifikovat. </w:t>
      </w:r>
    </w:p>
    <w:p w14:paraId="6C9682B1" w14:textId="77777777" w:rsidR="00CB2594" w:rsidRPr="007434DA" w:rsidRDefault="00CB2594" w:rsidP="00B35E4F">
      <w:pPr>
        <w:pStyle w:val="UZEINormaln"/>
      </w:pPr>
      <w:r w:rsidRPr="007434DA">
        <w:t>Exaktní data o spotřebách antimikrobik pro jednotlivé druhy a kategorie zvířat nejsou pro ČR zatím dostupná, nicméně z výsledků jednorázového modelového odhadu stratifikace spotřeb (2016) můžeme kvalifikovaně odhadnout, že největší spotřeby antimikrobik jsou u cílového druhu prase domácí (123 mg/PCU), následované kurem domácím (50 mg/PCU) a mléčným skotem (35 mg/PCU). Tato čísla je třeba brát v relativním vzájemném poměru, s interpretační hodnotou limitovanou faktem, že se jedná o kvalifikované odhady a čísla jsou vždy vztažena ke konkrétní populaci zvířat v daném období k dané species/kategorii zvířat, proto v součtu nedávají mg/PCU celkově za ČR.</w:t>
      </w:r>
    </w:p>
    <w:p w14:paraId="3485E69C" w14:textId="2E783772" w:rsidR="00CB2594" w:rsidRPr="007434DA" w:rsidRDefault="00CB2594" w:rsidP="00B35E4F">
      <w:pPr>
        <w:pStyle w:val="UZEINormaln"/>
        <w:rPr>
          <w:rStyle w:val="Siln"/>
          <w:b w:val="0"/>
          <w:bCs w:val="0"/>
        </w:rPr>
      </w:pPr>
      <w:r w:rsidRPr="007434DA">
        <w:t>Druhy a kategorie hospodářských zvířat určených k produkci potravin, na které se otázky potřeby snížení/racionalizace používání antimikrobik vztahují (pouze odhady, dle interně dostupných informací a portfolia prodávaných VLP, se současnými dostupnými údaji nelze zcela přesně kvantifikovat):</w:t>
      </w:r>
    </w:p>
    <w:p w14:paraId="0FECCF08" w14:textId="77777777" w:rsidR="00CB2594" w:rsidRPr="007434DA" w:rsidRDefault="00CB2594" w:rsidP="00B35E4F">
      <w:pPr>
        <w:pStyle w:val="UZEINormaln"/>
        <w:rPr>
          <w:rStyle w:val="Siln"/>
        </w:rPr>
      </w:pPr>
      <w:r w:rsidRPr="007434DA">
        <w:rPr>
          <w:rStyle w:val="Siln"/>
        </w:rPr>
        <w:t>Skot</w:t>
      </w:r>
    </w:p>
    <w:p w14:paraId="4971AF37" w14:textId="5D2FAA69" w:rsidR="00CB2594" w:rsidRPr="007434DA" w:rsidRDefault="00CB2594" w:rsidP="00322579">
      <w:pPr>
        <w:pStyle w:val="UZEINormaln"/>
        <w:rPr>
          <w:color w:val="000000" w:themeColor="text1"/>
        </w:rPr>
      </w:pPr>
      <w:r w:rsidRPr="007434DA">
        <w:rPr>
          <w:b/>
          <w:bCs/>
        </w:rPr>
        <w:t>Odchov telat</w:t>
      </w:r>
      <w:r w:rsidRPr="007434DA">
        <w:t xml:space="preserve"> (perorálně podávaná vybraná antimikrobika chloretracyklin, méně např. doxycyklin, důvod podání především profylaxe/metafylaxe střevních infekcí; injekční makrolidy (především respirační onemocnění a jiná injekčně podávaná antimikrobika (penicilin/dihydrostreptomycin, amoxiclin) – další indikace. Jedním z důvodů léčení</w:t>
      </w:r>
      <w:r w:rsidRPr="007434DA">
        <w:rPr>
          <w:color w:val="000000" w:themeColor="text1"/>
        </w:rPr>
        <w:t xml:space="preserve"> je nedostatečná imunitní vybavenost telat, která má negativní dopad na zdravotní kondici jedinců. Je proto potřebné, aby teleti bylo podáno mlezivo v co nejkratší době po narození, neboť výrazně posiluje imunitu zvířete v dalším životě. Dalšími problémy jsou podceňování kontroly kvality mleziva nebo úhyn telat dojeného skotu při nočním telení v návaznosti na nedostatečnou kontrolu zvířat.</w:t>
      </w:r>
    </w:p>
    <w:p w14:paraId="295BBFCD" w14:textId="77777777" w:rsidR="00CB2594" w:rsidRPr="007434DA" w:rsidRDefault="00CB2594" w:rsidP="00B35E4F">
      <w:pPr>
        <w:pStyle w:val="UZEIOdrky"/>
      </w:pPr>
      <w:r w:rsidRPr="007434DA">
        <w:rPr>
          <w:b/>
        </w:rPr>
        <w:t>Odchov jalovic</w:t>
      </w:r>
      <w:r w:rsidRPr="007434DA">
        <w:t xml:space="preserve"> (v období preruminujících telat viz výše).</w:t>
      </w:r>
    </w:p>
    <w:p w14:paraId="3FD9E7C0" w14:textId="77777777" w:rsidR="00CB2594" w:rsidRPr="007434DA" w:rsidRDefault="00CB2594" w:rsidP="00B35E4F">
      <w:pPr>
        <w:pStyle w:val="UZEIOdrky"/>
      </w:pPr>
      <w:r w:rsidRPr="007434DA">
        <w:rPr>
          <w:b/>
        </w:rPr>
        <w:t>Výkrm býků</w:t>
      </w:r>
      <w:r w:rsidRPr="007434DA">
        <w:t xml:space="preserve"> (v období preruminujících telat viz výše – záleží na typu a systému řízení chovu)</w:t>
      </w:r>
    </w:p>
    <w:p w14:paraId="259C8725" w14:textId="18AFF16E" w:rsidR="00CB2594" w:rsidRPr="007434DA" w:rsidRDefault="00322579" w:rsidP="00B35E4F">
      <w:pPr>
        <w:pStyle w:val="UZEIOdrky"/>
        <w:rPr>
          <w:b/>
        </w:rPr>
      </w:pPr>
      <w:r w:rsidRPr="007434DA">
        <w:rPr>
          <w:b/>
        </w:rPr>
        <w:t>C</w:t>
      </w:r>
      <w:r w:rsidR="00CB2594" w:rsidRPr="007434DA">
        <w:rPr>
          <w:b/>
        </w:rPr>
        <w:t xml:space="preserve">hov dojnic </w:t>
      </w:r>
    </w:p>
    <w:p w14:paraId="00F95A7B" w14:textId="77777777" w:rsidR="00CB2594" w:rsidRPr="007434DA" w:rsidRDefault="00CB2594" w:rsidP="00B1703F">
      <w:pPr>
        <w:pStyle w:val="UZEIOdrky"/>
        <w:numPr>
          <w:ilvl w:val="0"/>
          <w:numId w:val="32"/>
        </w:numPr>
      </w:pPr>
      <w:r w:rsidRPr="007434DA">
        <w:t>injekční VLP, problémy: používání ceftiofuru (záložní cefalosporin 3.generace – některá použití možno vyfázovat, nicméně jde o problém ekonomický – ochranná lhůta na mléko je nulová, zatímco „starší“ antimikrobika v řádu několika dojení</w:t>
      </w:r>
    </w:p>
    <w:p w14:paraId="7910D175" w14:textId="77777777" w:rsidR="00CB2594" w:rsidRPr="007434DA" w:rsidRDefault="00CB2594" w:rsidP="00B1703F">
      <w:pPr>
        <w:pStyle w:val="UZEIOdrky"/>
        <w:numPr>
          <w:ilvl w:val="0"/>
          <w:numId w:val="32"/>
        </w:numPr>
      </w:pPr>
      <w:r w:rsidRPr="007434DA">
        <w:t>intramammární VLP – zejména spíše plošné (až 65 – 75 %) podávání antibiotik při zasušení.</w:t>
      </w:r>
    </w:p>
    <w:p w14:paraId="665D8D8A" w14:textId="483C92A7" w:rsidR="00CB2594" w:rsidRPr="007434DA" w:rsidRDefault="00CB2594" w:rsidP="00322579">
      <w:pPr>
        <w:pStyle w:val="UZEIOdrky"/>
      </w:pPr>
      <w:r w:rsidRPr="007434DA">
        <w:rPr>
          <w:b/>
        </w:rPr>
        <w:t>Chov krav BTPM</w:t>
      </w:r>
      <w:r w:rsidRPr="007434DA">
        <w:t xml:space="preserve"> (nespecifikována míra problému – nedostatek dat)</w:t>
      </w:r>
    </w:p>
    <w:p w14:paraId="2E0BCD30" w14:textId="77777777" w:rsidR="00CB2594" w:rsidRPr="007434DA" w:rsidRDefault="00CB2594" w:rsidP="00322579">
      <w:pPr>
        <w:pStyle w:val="UZEINormaln"/>
        <w:rPr>
          <w:rStyle w:val="Siln"/>
        </w:rPr>
      </w:pPr>
      <w:r w:rsidRPr="007434DA">
        <w:rPr>
          <w:rStyle w:val="Siln"/>
        </w:rPr>
        <w:t xml:space="preserve">Drůbež </w:t>
      </w:r>
    </w:p>
    <w:p w14:paraId="15CB6D0D" w14:textId="77777777" w:rsidR="00CB2594" w:rsidRPr="007434DA" w:rsidRDefault="00CB2594" w:rsidP="00322579">
      <w:pPr>
        <w:pStyle w:val="UZEIOdrky"/>
      </w:pPr>
      <w:r w:rsidRPr="007434DA">
        <w:rPr>
          <w:b/>
        </w:rPr>
        <w:t>Chov nosnic</w:t>
      </w:r>
      <w:r w:rsidRPr="007434DA">
        <w:t xml:space="preserve"> určených k produkci konzumních vajec - velmi omezené portfolio možných antimikrobik k využití. Důvodem je délka ochranné lhůty na vejce, nepředstavují signifikantní problém.</w:t>
      </w:r>
    </w:p>
    <w:p w14:paraId="3823518E" w14:textId="77777777" w:rsidR="00CB2594" w:rsidRPr="007434DA" w:rsidRDefault="00CB2594" w:rsidP="00322579">
      <w:pPr>
        <w:pStyle w:val="UZEIOdrky"/>
      </w:pPr>
      <w:r w:rsidRPr="007434DA">
        <w:rPr>
          <w:b/>
        </w:rPr>
        <w:t>Výkrm kuřat</w:t>
      </w:r>
      <w:r w:rsidRPr="007434DA">
        <w:t xml:space="preserve"> (zejména v prvním týdnu  po naskladnění jednodenních kuřat) – použití fluorochinolonu enrofloxacinu (kriticky významné antimikrobikum z pohledu humánní medicíny, nicméně z pohledu veterinární medicíny – chovu brojlerů –obtížně/pokud vůbec reálně lze nalézt náhradu (systémové infekce E. coli či enterokoky), relativně vysoké spotřeby (nikoliv na kvantitu – tuny, ale na frekvenci podání/poměr přeléčených chovů/hejn), následně nutno řešit i  další antimikrobika např. amoxicllin, sulfonamid/trimethoprim. Velkým problémem je, že se drůbeži hromadně podávají VLP prostřednictvím pitné vody – problémy zejména: </w:t>
      </w:r>
    </w:p>
    <w:p w14:paraId="3DFC9984" w14:textId="77777777" w:rsidR="00CB2594" w:rsidRPr="007434DA" w:rsidRDefault="00CB2594" w:rsidP="00322579">
      <w:pPr>
        <w:pStyle w:val="UZEIOdrky"/>
        <w:numPr>
          <w:ilvl w:val="0"/>
          <w:numId w:val="0"/>
        </w:numPr>
        <w:ind w:left="720"/>
      </w:pPr>
      <w:r w:rsidRPr="007434DA">
        <w:t xml:space="preserve">a) rovnoměrné dávkování u jedinců v hejnu (riziko poddávková/předávkování), </w:t>
      </w:r>
    </w:p>
    <w:p w14:paraId="1E9A2A22" w14:textId="77777777" w:rsidR="00CB2594" w:rsidRPr="007434DA" w:rsidRDefault="00CB2594" w:rsidP="00322579">
      <w:pPr>
        <w:pStyle w:val="UZEIOdrky"/>
        <w:numPr>
          <w:ilvl w:val="0"/>
          <w:numId w:val="0"/>
        </w:numPr>
        <w:ind w:left="720"/>
      </w:pPr>
      <w:r w:rsidRPr="007434DA">
        <w:t>b) nečistota napájecího zařízení (biofilm, zachycení antimikrobik, rezidua antimikrobika a podpora AMR v rámci biofilmu, biofilm jako potenciál re- kontaminace MDR původci) atp.</w:t>
      </w:r>
    </w:p>
    <w:p w14:paraId="1B4F1147" w14:textId="77777777" w:rsidR="00CB2594" w:rsidRPr="007434DA" w:rsidRDefault="00CB2594" w:rsidP="00CB2594">
      <w:pPr>
        <w:pStyle w:val="Odstavecseseznamem"/>
        <w:spacing w:line="360" w:lineRule="auto"/>
        <w:rPr>
          <w:rFonts w:ascii="Arial" w:hAnsi="Arial" w:cs="Arial"/>
        </w:rPr>
      </w:pPr>
    </w:p>
    <w:p w14:paraId="435689BD" w14:textId="77777777" w:rsidR="00CB2594" w:rsidRPr="007434DA" w:rsidRDefault="00CB2594" w:rsidP="00322579">
      <w:pPr>
        <w:pStyle w:val="UZEINormaln"/>
        <w:rPr>
          <w:rStyle w:val="Siln"/>
        </w:rPr>
      </w:pPr>
      <w:r w:rsidRPr="007434DA">
        <w:rPr>
          <w:rStyle w:val="Siln"/>
        </w:rPr>
        <w:t>Prasata</w:t>
      </w:r>
    </w:p>
    <w:p w14:paraId="69EEF34C" w14:textId="77777777" w:rsidR="00CB2594" w:rsidRPr="007434DA" w:rsidRDefault="00CB2594" w:rsidP="00322579">
      <w:pPr>
        <w:pStyle w:val="UZEIOdrky"/>
      </w:pPr>
      <w:r w:rsidRPr="007434DA">
        <w:rPr>
          <w:b/>
        </w:rPr>
        <w:t>Chov prasnic</w:t>
      </w:r>
      <w:r w:rsidRPr="007434DA">
        <w:t xml:space="preserve"> (prasničky malá spotřeba antimikrobik, chovné prasnice poporodní období – injekční VLP s antimikrobiky).</w:t>
      </w:r>
    </w:p>
    <w:p w14:paraId="0EF88A12" w14:textId="77777777" w:rsidR="00CB2594" w:rsidRPr="007434DA" w:rsidRDefault="00CB2594" w:rsidP="00322579">
      <w:pPr>
        <w:pStyle w:val="UZEIOdrky"/>
      </w:pPr>
      <w:r w:rsidRPr="007434DA">
        <w:rPr>
          <w:b/>
        </w:rPr>
        <w:t>Odchov selat</w:t>
      </w:r>
      <w:r w:rsidRPr="007434DA">
        <w:t xml:space="preserve"> (vysoká míra preventivního/léčebného podání především jednorázová aplikace injekčního antimikrobika (rizikové cefalosporiny 3.generace, nejnovější makrolidy a příbuzná antimikrobika), ale v určitém rozsahu i perorální (voda/krmivo). Důležité je z hlediska zdravotní kondice jedinců, aby byla zajištěna </w:t>
      </w:r>
      <w:r w:rsidRPr="007434DA">
        <w:rPr>
          <w:color w:val="000000" w:themeColor="text1"/>
        </w:rPr>
        <w:t>dostatečná imunitní vybavenost selat, tzn.</w:t>
      </w:r>
      <w:r w:rsidRPr="007434DA">
        <w:t xml:space="preserve"> zajištěn dostatečný přísun mleziva každému seleti ve vrhu co nejdříve po porodu. </w:t>
      </w:r>
    </w:p>
    <w:p w14:paraId="6FD597BF" w14:textId="77777777" w:rsidR="00CB2594" w:rsidRPr="007434DA" w:rsidRDefault="00CB2594" w:rsidP="00322579">
      <w:pPr>
        <w:pStyle w:val="UZEIOdrky"/>
      </w:pPr>
      <w:r w:rsidRPr="007434DA">
        <w:rPr>
          <w:b/>
        </w:rPr>
        <w:t>Předvýkrm/výkrm</w:t>
      </w:r>
      <w:r w:rsidRPr="007434DA">
        <w:t xml:space="preserve"> prasat (co do hmotnostních objemů je signifikantní preventivní hromadné podání antimikrobik formou medikovaných krmiv, případně pitné vody).</w:t>
      </w:r>
    </w:p>
    <w:p w14:paraId="4EA6290E" w14:textId="6519D7D8" w:rsidR="00CB2594" w:rsidRPr="007434DA" w:rsidRDefault="00CB2594" w:rsidP="00322579">
      <w:pPr>
        <w:pStyle w:val="UZEINormaln"/>
        <w:rPr>
          <w:rStyle w:val="Siln"/>
          <w:b w:val="0"/>
          <w:bCs w:val="0"/>
        </w:rPr>
      </w:pPr>
      <w:bookmarkStart w:id="205" w:name="_Hlk53674374"/>
      <w:r w:rsidRPr="007434DA">
        <w:t>Vzhledem ke skutečnosti, že údaje o spotřebě (používání) antimikrobik v produkci potravin začínají být stále více využívány v rámci obchodu a marketingu (viz například politika obchodního řetězce Waitrose</w:t>
      </w:r>
      <w:r w:rsidRPr="007434DA">
        <w:rPr>
          <w:vertAlign w:val="superscript"/>
        </w:rPr>
        <w:footnoteReference w:id="44"/>
      </w:r>
      <w:r w:rsidRPr="007434DA">
        <w:t>, Tesco</w:t>
      </w:r>
      <w:r w:rsidRPr="007434DA">
        <w:rPr>
          <w:vertAlign w:val="superscript"/>
        </w:rPr>
        <w:footnoteReference w:id="45"/>
      </w:r>
      <w:r w:rsidRPr="007434DA">
        <w:t xml:space="preserve"> či zpráva BBC z 12/2017</w:t>
      </w:r>
      <w:r w:rsidRPr="007434DA">
        <w:rPr>
          <w:vertAlign w:val="superscript"/>
        </w:rPr>
        <w:footnoteReference w:id="46"/>
      </w:r>
      <w:r w:rsidRPr="007434DA">
        <w:t xml:space="preserve">). Vývoj naznačuje, že antimikrobika jak na úrovni státu, tak na úrovni výrobkové vertikály (prvovýrobců i zpracovatelů a obchodu) budou hrát ve vztahu ke spotřebiteli stále významnější úlohu a budou využívány jako marketingové nástroje a netarifní překážky v obchodování. </w:t>
      </w:r>
      <w:bookmarkEnd w:id="205"/>
    </w:p>
    <w:p w14:paraId="5781CE55" w14:textId="77777777" w:rsidR="00CB2594" w:rsidRPr="007434DA" w:rsidRDefault="00CB2594" w:rsidP="00322579">
      <w:pPr>
        <w:pStyle w:val="UZEINormaln"/>
        <w:rPr>
          <w:b/>
          <w:bCs/>
        </w:rPr>
      </w:pPr>
      <w:r w:rsidRPr="007434DA">
        <w:rPr>
          <w:b/>
          <w:bCs/>
        </w:rPr>
        <w:t>Užívání antimikrobik v chovech dojnic z pohledu českých chovatelů</w:t>
      </w:r>
    </w:p>
    <w:p w14:paraId="29D58153" w14:textId="1850B151" w:rsidR="00CB2594" w:rsidRPr="007434DA" w:rsidRDefault="00CB2594" w:rsidP="00322579">
      <w:pPr>
        <w:pStyle w:val="UZEINormaln"/>
      </w:pPr>
      <w:r w:rsidRPr="007434DA">
        <w:t>Sami chovatelé dojnic problematiku používání antibiotik u hospodářských zvířat a problematiku rezistence k antimikrobiotikům sice většinou vnímají jako problém, ale k jeho řešení v rámci vlastních chovů a produkce mléka se již tak rozhodně nevyjadřují. Z materiálu ÚZEI zpracovaného na základě dotazníkového šetření ČMSCH</w:t>
      </w:r>
      <w:r w:rsidRPr="007434DA">
        <w:rPr>
          <w:vertAlign w:val="superscript"/>
        </w:rPr>
        <w:footnoteReference w:id="47"/>
      </w:r>
      <w:r w:rsidRPr="007434DA">
        <w:rPr>
          <w:vertAlign w:val="superscript"/>
        </w:rPr>
        <w:t xml:space="preserve"> </w:t>
      </w:r>
      <w:r w:rsidRPr="007434DA">
        <w:t xml:space="preserve">v roce 2016 vyplývá, že z celkového počtu 722 respondentů (což reprezentuje 40,3 % z počtu chovatelů s prodejem mléka v ČR) odpovědělo 14,8 %, že je tato problematika buď nezajímá nebo, že je jedná o uměle vytvořený problém. Převážná většina respondentů (86,2 %) však považovala dané téma za skutečný problém, který ovšem přináší další náklady a zátěž bez reálné možnosti jejich kompenzace, nebo, že problém lze řešit a lze jej chápat jako příležitost k pozitivnímu odlišení v rámci systému kvality (viz graf </w:t>
      </w:r>
      <w:r w:rsidR="007434DA" w:rsidRPr="007434DA">
        <w:t>1</w:t>
      </w:r>
      <w:r w:rsidR="000F5D6E">
        <w:t>2</w:t>
      </w:r>
      <w:r w:rsidRPr="007434DA">
        <w:t xml:space="preserve">). Na otázku, zda by měla by být problematika používání antibiotik více zohledněna v systému kvality Q CZ pro mléko, však odpovědělo záporně 56,2 % respondentů. Také na otázku, zda by bylo vhodné zavedení systému, který by umožnil v rámci národního dotačního programu 19 (Q CZ) označit mléko a mléčné výrobky jako produkty vyráběné v režimu s kontrolovaným či redukovaným použitím antibiotik odpověděla převážná část respondentů chovatelů dojnic záporně (59,7 %). </w:t>
      </w:r>
    </w:p>
    <w:p w14:paraId="7ECF1CF3" w14:textId="67A1E5CA" w:rsidR="00CB2594" w:rsidRPr="007434DA" w:rsidRDefault="00CB2594" w:rsidP="00322579">
      <w:pPr>
        <w:pStyle w:val="UZEINormaln"/>
      </w:pPr>
    </w:p>
    <w:p w14:paraId="48F95983" w14:textId="20EBDC58" w:rsidR="00827A5F" w:rsidRPr="007434DA" w:rsidRDefault="00827A5F" w:rsidP="00322579">
      <w:pPr>
        <w:pStyle w:val="UZEINormaln"/>
      </w:pPr>
    </w:p>
    <w:p w14:paraId="1370E913" w14:textId="145B7E40" w:rsidR="00827A5F" w:rsidRPr="007434DA" w:rsidRDefault="00827A5F" w:rsidP="00322579">
      <w:pPr>
        <w:pStyle w:val="UZEINormaln"/>
      </w:pPr>
    </w:p>
    <w:p w14:paraId="150720D7" w14:textId="77777777" w:rsidR="00827A5F" w:rsidRPr="007434DA" w:rsidRDefault="00827A5F" w:rsidP="00322579">
      <w:pPr>
        <w:pStyle w:val="UZEINormaln"/>
      </w:pPr>
    </w:p>
    <w:p w14:paraId="6A968146" w14:textId="6F96A9DB" w:rsidR="00CB2594" w:rsidRPr="007434DA" w:rsidRDefault="00CB2594" w:rsidP="000A1987">
      <w:pPr>
        <w:pStyle w:val="UZEIGraf"/>
        <w:ind w:hanging="720"/>
      </w:pPr>
      <w:bookmarkStart w:id="206" w:name="_Toc12466338"/>
      <w:bookmarkStart w:id="207" w:name="_Toc12611759"/>
      <w:bookmarkStart w:id="208" w:name="_Toc12613425"/>
      <w:bookmarkStart w:id="209" w:name="_Toc80877875"/>
      <w:bookmarkStart w:id="210" w:name="_Toc93676670"/>
      <w:r w:rsidRPr="007434DA">
        <w:t>Odpověď respondentů s chovem dojnic na otázku Jak vnímáte problematiku používání antibiotik u zvířat a problematiku rezistence k antimikrobikům?</w:t>
      </w:r>
      <w:bookmarkEnd w:id="206"/>
      <w:bookmarkEnd w:id="207"/>
      <w:bookmarkEnd w:id="208"/>
      <w:bookmarkEnd w:id="209"/>
      <w:bookmarkEnd w:id="210"/>
    </w:p>
    <w:p w14:paraId="2AEA42F5" w14:textId="77777777" w:rsidR="00CB2594" w:rsidRPr="007434DA" w:rsidRDefault="00CB2594" w:rsidP="00CB2594">
      <w:pPr>
        <w:rPr>
          <w:lang w:val="cs-CZ"/>
        </w:rPr>
      </w:pPr>
      <w:r w:rsidRPr="007434DA">
        <w:rPr>
          <w:noProof/>
          <w:lang w:val="cs-CZ" w:eastAsia="cs-CZ"/>
        </w:rPr>
        <w:drawing>
          <wp:inline distT="0" distB="0" distL="0" distR="0" wp14:anchorId="5B409B14" wp14:editId="588A3956">
            <wp:extent cx="5133975" cy="3009900"/>
            <wp:effectExtent l="0" t="0" r="9525" b="0"/>
            <wp:docPr id="9" name="Graf 9">
              <a:extLst xmlns:a="http://schemas.openxmlformats.org/drawingml/2006/main">
                <a:ext uri="{FF2B5EF4-FFF2-40B4-BE49-F238E27FC236}">
                  <a16:creationId xmlns:a16="http://schemas.microsoft.com/office/drawing/2014/main" id="{9D081227-4AA6-4F60-A91C-E8B947AB6CB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78177363" w14:textId="2EA98619" w:rsidR="00CB2594" w:rsidRPr="007434DA" w:rsidRDefault="00CB2594" w:rsidP="00FA13A0">
      <w:pPr>
        <w:pStyle w:val="UZEIZdroj"/>
      </w:pPr>
      <w:r w:rsidRPr="007434DA">
        <w:t>Pramen: ÚZEI – Využití podkladů zaslaných v rámci dotačního programu 19-vyho</w:t>
      </w:r>
      <w:r w:rsidR="00DD5F92" w:rsidRPr="007434DA">
        <w:t>d</w:t>
      </w:r>
      <w:r w:rsidRPr="007434DA">
        <w:t xml:space="preserve">nocení (2018). </w:t>
      </w:r>
    </w:p>
    <w:p w14:paraId="36B29A9F" w14:textId="77777777" w:rsidR="00CB2594" w:rsidRPr="007434DA" w:rsidRDefault="00CB2594" w:rsidP="00FA13A0">
      <w:pPr>
        <w:pStyle w:val="UZEIZdroj"/>
      </w:pPr>
      <w:r w:rsidRPr="007434DA">
        <w:t>Zpracováno z podkladů dotazníkového šetření ČMSCH za rok 2016</w:t>
      </w:r>
    </w:p>
    <w:p w14:paraId="7CE290C3" w14:textId="77777777" w:rsidR="00CB2594" w:rsidRPr="007434DA" w:rsidRDefault="00CB2594" w:rsidP="00CB2594">
      <w:pPr>
        <w:spacing w:line="240" w:lineRule="atLeast"/>
        <w:rPr>
          <w:rFonts w:ascii="Arial" w:hAnsi="Arial" w:cs="Arial"/>
          <w:i/>
          <w:sz w:val="18"/>
          <w:szCs w:val="18"/>
          <w:lang w:val="cs-CZ"/>
        </w:rPr>
      </w:pPr>
    </w:p>
    <w:p w14:paraId="1AD8823A" w14:textId="6AAF1F1B" w:rsidR="00CB2594" w:rsidRPr="007434DA" w:rsidRDefault="00CB2594" w:rsidP="00FA13A0">
      <w:pPr>
        <w:pStyle w:val="UZEINormaln"/>
      </w:pPr>
      <w:r w:rsidRPr="007434DA">
        <w:t xml:space="preserve">Při rozhodování o použití antibiotik z celkového počtu 722 respondentů uvedlo více než 90 %, že berou v úvahu buď výhradně odborné stanovisko veterináře, anebo veterináře, chovatele a event. poradenské firmy. Až 6 % z dotazovaných respondentů sdělilo, že se použití antibiotik závisí výlučně na jejich rozhodnutí (graf </w:t>
      </w:r>
      <w:r w:rsidR="007434DA" w:rsidRPr="007434DA">
        <w:t>1</w:t>
      </w:r>
      <w:r w:rsidR="000F5D6E">
        <w:t>3</w:t>
      </w:r>
      <w:r w:rsidRPr="007434DA">
        <w:t xml:space="preserve">). Opatření k omezování použití antibiotik však v chovech dojnic zavedlo téměř 95 % respondentů a chovatelé uváděli, že tato opatření měla prokazatelný pozitivní účinek na omezení spotřeby ATB přibližně o 20 %. Hlavním důvodem k snižování užívání ATB v chovech dojnic byl podle respondentů zdravotní stav stáda, špatná kvalita krmiv, absence adekvátní náhrady a ekonomické ztráty v případě neléčení zvířat. Většina respondentů (téměř 90 %) uvedla, že má v chovech dojnic zaveden systematický program kontroly mastitid, anebo o jeho zavedení uvažuje. </w:t>
      </w:r>
    </w:p>
    <w:p w14:paraId="7F08A86F" w14:textId="77777777" w:rsidR="00CB2594" w:rsidRPr="007434DA" w:rsidRDefault="00CB2594" w:rsidP="00FA13A0">
      <w:pPr>
        <w:pStyle w:val="UZEINormaln"/>
      </w:pPr>
      <w:r w:rsidRPr="007434DA">
        <w:t>Na otázku, zda mají chovatelé zájem mít k dispozici agregovaná (anonymizovaná) data o použití ATB v jiných českých chovech dojnic však více než polovina odpověděla záporně (58,4 %). Ochotu zapojit se do takového systému, pokud by vznikl, projevila měně než polovina (48,2 %) respondentů.</w:t>
      </w:r>
    </w:p>
    <w:p w14:paraId="0A32A177" w14:textId="2A619A3F" w:rsidR="00CB2594" w:rsidRPr="007434DA" w:rsidRDefault="00CB2594" w:rsidP="00FA13A0">
      <w:pPr>
        <w:pStyle w:val="UZEINormaln"/>
        <w:rPr>
          <w:i/>
          <w:sz w:val="18"/>
          <w:szCs w:val="18"/>
        </w:rPr>
      </w:pPr>
    </w:p>
    <w:p w14:paraId="7D6728CB" w14:textId="7994DFA4" w:rsidR="00FA13A0" w:rsidRPr="007434DA" w:rsidRDefault="00FA13A0" w:rsidP="00FA13A0">
      <w:pPr>
        <w:pStyle w:val="UZEINormaln"/>
        <w:rPr>
          <w:i/>
          <w:sz w:val="18"/>
          <w:szCs w:val="18"/>
        </w:rPr>
      </w:pPr>
    </w:p>
    <w:p w14:paraId="5F5485FF" w14:textId="48A5655F" w:rsidR="00FA13A0" w:rsidRPr="007434DA" w:rsidRDefault="00FA13A0" w:rsidP="00FA13A0">
      <w:pPr>
        <w:pStyle w:val="UZEINormaln"/>
        <w:rPr>
          <w:i/>
          <w:sz w:val="18"/>
          <w:szCs w:val="18"/>
        </w:rPr>
      </w:pPr>
    </w:p>
    <w:p w14:paraId="0C2ED045" w14:textId="7AF8A9F9" w:rsidR="00FA13A0" w:rsidRPr="007434DA" w:rsidRDefault="00FA13A0" w:rsidP="00FA13A0">
      <w:pPr>
        <w:pStyle w:val="UZEINormaln"/>
        <w:rPr>
          <w:i/>
          <w:sz w:val="18"/>
          <w:szCs w:val="18"/>
        </w:rPr>
      </w:pPr>
    </w:p>
    <w:p w14:paraId="309DBD87" w14:textId="2E7CB87D" w:rsidR="00FA13A0" w:rsidRPr="007434DA" w:rsidRDefault="00FA13A0" w:rsidP="00FA13A0">
      <w:pPr>
        <w:pStyle w:val="UZEINormaln"/>
        <w:rPr>
          <w:i/>
          <w:sz w:val="18"/>
          <w:szCs w:val="18"/>
        </w:rPr>
      </w:pPr>
    </w:p>
    <w:p w14:paraId="01BE6217" w14:textId="7FC5B530" w:rsidR="00FA13A0" w:rsidRPr="007434DA" w:rsidRDefault="00FA13A0" w:rsidP="00FA13A0">
      <w:pPr>
        <w:pStyle w:val="UZEINormaln"/>
        <w:rPr>
          <w:i/>
          <w:sz w:val="18"/>
          <w:szCs w:val="18"/>
        </w:rPr>
      </w:pPr>
    </w:p>
    <w:p w14:paraId="5EC4F26A" w14:textId="4494C6B7" w:rsidR="00FA13A0" w:rsidRPr="007434DA" w:rsidRDefault="00FA13A0" w:rsidP="00FA13A0">
      <w:pPr>
        <w:pStyle w:val="UZEINormaln"/>
        <w:rPr>
          <w:i/>
          <w:sz w:val="18"/>
          <w:szCs w:val="18"/>
        </w:rPr>
      </w:pPr>
    </w:p>
    <w:p w14:paraId="1A983E23" w14:textId="77777777" w:rsidR="00FA13A0" w:rsidRPr="007434DA" w:rsidRDefault="00FA13A0" w:rsidP="00FA13A0">
      <w:pPr>
        <w:pStyle w:val="UZEINormaln"/>
        <w:rPr>
          <w:i/>
          <w:sz w:val="18"/>
          <w:szCs w:val="18"/>
        </w:rPr>
      </w:pPr>
    </w:p>
    <w:p w14:paraId="5368FE83" w14:textId="77777777" w:rsidR="00CB2594" w:rsidRPr="007434DA" w:rsidRDefault="00CB2594" w:rsidP="00FA13A0">
      <w:pPr>
        <w:pStyle w:val="UZEINormaln"/>
        <w:rPr>
          <w:i/>
          <w:sz w:val="18"/>
          <w:szCs w:val="18"/>
        </w:rPr>
      </w:pPr>
    </w:p>
    <w:p w14:paraId="4D23F37C" w14:textId="112416D8" w:rsidR="00CB2594" w:rsidRPr="007434DA" w:rsidRDefault="00CB2594" w:rsidP="00FA13A0">
      <w:pPr>
        <w:pStyle w:val="UZEIGraf"/>
        <w:ind w:hanging="720"/>
      </w:pPr>
      <w:bookmarkStart w:id="211" w:name="_Toc12466339"/>
      <w:bookmarkStart w:id="212" w:name="_Toc12611760"/>
      <w:bookmarkStart w:id="213" w:name="_Toc12613426"/>
      <w:bookmarkStart w:id="214" w:name="_Toc80877876"/>
      <w:bookmarkStart w:id="215" w:name="_Toc93676671"/>
      <w:r w:rsidRPr="007434DA">
        <w:t>Odpověď respondentů s chovem dojnic na otázku „Které nejvýznamnější</w:t>
      </w:r>
      <w:bookmarkEnd w:id="211"/>
      <w:bookmarkEnd w:id="212"/>
      <w:bookmarkEnd w:id="213"/>
      <w:bookmarkEnd w:id="214"/>
      <w:r w:rsidRPr="007434DA">
        <w:t xml:space="preserve"> </w:t>
      </w:r>
      <w:bookmarkStart w:id="216" w:name="_Toc12466340"/>
      <w:bookmarkStart w:id="217" w:name="_Toc12611761"/>
      <w:bookmarkStart w:id="218" w:name="_Toc12613427"/>
      <w:bookmarkStart w:id="219" w:name="_Toc80877877"/>
      <w:r w:rsidRPr="007434DA">
        <w:t>faktory ovlivňují nejčastěji vaše rozhodnutí o použití antibiotik v chovu?“</w:t>
      </w:r>
      <w:bookmarkEnd w:id="215"/>
      <w:bookmarkEnd w:id="216"/>
      <w:bookmarkEnd w:id="217"/>
      <w:bookmarkEnd w:id="218"/>
      <w:bookmarkEnd w:id="219"/>
    </w:p>
    <w:p w14:paraId="7740ACBE" w14:textId="77777777" w:rsidR="00CB2594" w:rsidRPr="007434DA" w:rsidRDefault="00CB2594" w:rsidP="00CB2594">
      <w:pPr>
        <w:spacing w:line="240" w:lineRule="atLeast"/>
        <w:rPr>
          <w:rFonts w:ascii="Arial" w:hAnsi="Arial" w:cs="Arial"/>
          <w:sz w:val="18"/>
          <w:szCs w:val="18"/>
          <w:lang w:val="cs-CZ"/>
        </w:rPr>
      </w:pPr>
      <w:r w:rsidRPr="007434DA">
        <w:rPr>
          <w:noProof/>
          <w:lang w:val="cs-CZ" w:eastAsia="cs-CZ"/>
        </w:rPr>
        <w:drawing>
          <wp:inline distT="0" distB="0" distL="0" distR="0" wp14:anchorId="49C687BC" wp14:editId="60521BED">
            <wp:extent cx="5381625" cy="2886075"/>
            <wp:effectExtent l="0" t="0" r="9525" b="9525"/>
            <wp:docPr id="10" name="Graf 10">
              <a:extLst xmlns:a="http://schemas.openxmlformats.org/drawingml/2006/main">
                <a:ext uri="{FF2B5EF4-FFF2-40B4-BE49-F238E27FC236}">
                  <a16:creationId xmlns:a16="http://schemas.microsoft.com/office/drawing/2014/main" id="{07402E3C-9CBC-4A30-9185-8C45FBF998E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072FE6EB" w14:textId="77777777" w:rsidR="00CB2594" w:rsidRPr="007434DA" w:rsidRDefault="00CB2594" w:rsidP="00FA13A0">
      <w:pPr>
        <w:pStyle w:val="UZEIZdroj"/>
      </w:pPr>
      <w:r w:rsidRPr="007434DA">
        <w:t xml:space="preserve">Pramen: ÚZEI – Využití podkladů zaslaných v rámci dotačního programu 19-vyhonocení (2018). </w:t>
      </w:r>
    </w:p>
    <w:p w14:paraId="53BA7C71" w14:textId="77777777" w:rsidR="00CB2594" w:rsidRPr="007434DA" w:rsidRDefault="00CB2594" w:rsidP="00FA13A0">
      <w:pPr>
        <w:pStyle w:val="UZEIZdroj"/>
      </w:pPr>
      <w:r w:rsidRPr="007434DA">
        <w:t>Zpracováno z podkladů dotazníkového šetření ČMSCH za rok 2016</w:t>
      </w:r>
    </w:p>
    <w:p w14:paraId="3444E84C" w14:textId="77777777" w:rsidR="00CB2594" w:rsidRPr="007434DA" w:rsidRDefault="00CB2594" w:rsidP="00E45260">
      <w:pPr>
        <w:pStyle w:val="UZEINormaln"/>
      </w:pPr>
      <w:r w:rsidRPr="007434DA">
        <w:t>Dále bylo na základě dotazníku zjištěno, že chovatelé uvádějí, že v převážně většině mají zavedeny programy na kontrolu onemocnění dojnic. Na otázku, zda mají respondenti zaveden v chovu systematický program kontroly mastitid, nebo o jeho zavedení uvažují 90 % jich odpovědělo kladně, 80 % uvedlo, že má v chovu zaveden systematický program kontroly onemocnění končetin, nebo o jeho zavedení uvažuje. Dále téměř 63 % dotazovaných potvrdilo, že má v chovu zaveden selektivní způsob zaprahování dojnic a že tento systém vedl ke snížení užívání antibiotik. Téměř 69 % respondentů potvrdilo, že má v chovu zaveden systematický program kontroly onemocnění pohlavního aparátu, nebo o jeho zavedení uvažuje.</w:t>
      </w:r>
    </w:p>
    <w:p w14:paraId="52907F01" w14:textId="77777777" w:rsidR="00CB2594" w:rsidRPr="007434DA" w:rsidRDefault="00CB2594" w:rsidP="00E45260">
      <w:pPr>
        <w:pStyle w:val="UZEINormaln"/>
      </w:pPr>
      <w:r w:rsidRPr="007434DA">
        <w:t>Řada chovatelů se účastní na programech cílících na zlepšení welfare v rámci PRV (dojnice, prasnice, selata), i prostřednictvím rámci národních podpor – state aid (dojnice, prasata, drůbež). Tyto programy cílí rovněž na zlepšení zdravotního stavů zvířat, čímž se eliminuje užívání léčiv. Např. v rámci DŽPZ (PRV) je v podopatření „Zlepšení stájového prostředí v chovu dojnic“ prostřednictvím zajištění aplikace upravené podestýlky přípravkem s obsahem vápence cíleno na zlepšení prostředí ve stáji co do jeho hygieny a pohody dojnic. Z provozních sledování, která byla již v minulosti odborníky prováděna</w:t>
      </w:r>
      <w:r w:rsidRPr="007434DA">
        <w:rPr>
          <w:vertAlign w:val="superscript"/>
        </w:rPr>
        <w:footnoteReference w:id="48"/>
      </w:r>
      <w:r w:rsidRPr="007434DA">
        <w:t xml:space="preserve"> jednoznačně vyplývá, že alkalizace podestýlky na úroveň pH 8,5</w:t>
      </w:r>
      <w:r w:rsidRPr="007434DA">
        <w:noBreakHyphen/>
        <w:t xml:space="preserve">9,5 významně ovlivňuje sníženou incidenci mastitid nebo zlepšení stavu paznehtů. Dalším příkladem z tohoto Programu je podopatření „Zajištění přístupu do výběhu pro krávy stojící na sucho“. </w:t>
      </w:r>
    </w:p>
    <w:p w14:paraId="0C652993" w14:textId="77777777" w:rsidR="00CB2594" w:rsidRPr="007434DA" w:rsidRDefault="00CB2594" w:rsidP="00E45260">
      <w:pPr>
        <w:pStyle w:val="UZEINormaln"/>
      </w:pPr>
      <w:r w:rsidRPr="007434DA">
        <w:br w:type="page"/>
      </w:r>
    </w:p>
    <w:p w14:paraId="1FF8A892" w14:textId="77777777" w:rsidR="00CB2594" w:rsidRPr="007434DA" w:rsidRDefault="00CB2594" w:rsidP="00E45260">
      <w:pPr>
        <w:pStyle w:val="UZEINormaln"/>
      </w:pPr>
      <w:r w:rsidRPr="007434DA">
        <w:t>Tento způsob ustájení suchostojných dojnic umožňující jim pobyt v udržovaných venkovních prostorách působí podle odborníků příznivě na celkový zdravotní stav matek, zejména jejich končetin, dále na průběh a snadnost porodu a na zdraví a životaschopnost narozeného telete.</w:t>
      </w:r>
    </w:p>
    <w:p w14:paraId="2167BD69" w14:textId="77777777" w:rsidR="00CB2594" w:rsidRPr="007434DA" w:rsidRDefault="00CB2594" w:rsidP="00E45260">
      <w:pPr>
        <w:pStyle w:val="UZEINormaln"/>
        <w:rPr>
          <w:b/>
          <w:bCs/>
        </w:rPr>
      </w:pPr>
      <w:r w:rsidRPr="007434DA">
        <w:rPr>
          <w:b/>
          <w:bCs/>
        </w:rPr>
        <w:t>Výsledky zjištěných reziduí antimikrobik v potravinách</w:t>
      </w:r>
    </w:p>
    <w:p w14:paraId="03F77A85" w14:textId="2A2030C9" w:rsidR="00CB2594" w:rsidRPr="007434DA" w:rsidRDefault="00CB2594" w:rsidP="00DB534B">
      <w:pPr>
        <w:pStyle w:val="UZEINormaln"/>
      </w:pPr>
      <w:r w:rsidRPr="007434DA">
        <w:t xml:space="preserve">Výsledky zjištěných reziduí antimikrobik v potravinách za období let 2012-2019 jsou uvedeny v tabulce 2 a 3. Podíl vzorků s nálezy reziduí antimikrobik v potravinách živočišného původu podle šetření SVS z celkového počtu analyzovaných vzorků v žádném z uvedených let (tab. 2) nepřevyšoval hranici 0,7 % a v průměru sledovaného období dosahoval 1,6 %. Podíl vzorků, které překračovaly maximální povolený limit reziduí byl velmi nízký a pohyboval se v rozmezí od 0,2 % v roce 2012 až po 0,7 % v roce 2013. </w:t>
      </w:r>
    </w:p>
    <w:p w14:paraId="4823F331" w14:textId="3EB17881" w:rsidR="00CB2594" w:rsidRPr="007434DA" w:rsidRDefault="00CB2594" w:rsidP="007434DA">
      <w:pPr>
        <w:pStyle w:val="UZEITaB"/>
        <w:ind w:left="1134" w:hanging="1134"/>
      </w:pPr>
      <w:bookmarkStart w:id="220" w:name="_Toc12466341"/>
      <w:bookmarkStart w:id="221" w:name="_Toc12611762"/>
      <w:bookmarkStart w:id="222" w:name="_Toc12613428"/>
      <w:bookmarkStart w:id="223" w:name="_Toc80877878"/>
      <w:bookmarkStart w:id="224" w:name="_Toc94095290"/>
      <w:r w:rsidRPr="007434DA">
        <w:t>Porovnání množství zjištěných reziduí antimikrobik v potravinách živočišného původu v rámci monitoringu cizorodých látek v ČR 2012–2019</w:t>
      </w:r>
      <w:bookmarkEnd w:id="220"/>
      <w:bookmarkEnd w:id="221"/>
      <w:bookmarkEnd w:id="222"/>
      <w:bookmarkEnd w:id="223"/>
      <w:bookmarkEnd w:id="224"/>
    </w:p>
    <w:p w14:paraId="26358574" w14:textId="77777777" w:rsidR="00CB2594" w:rsidRPr="007434DA" w:rsidRDefault="00CB2594" w:rsidP="00CB2594">
      <w:pPr>
        <w:spacing w:after="120" w:line="240" w:lineRule="atLeast"/>
        <w:rPr>
          <w:lang w:val="cs-CZ"/>
        </w:rPr>
      </w:pPr>
      <w:r w:rsidRPr="007434DA">
        <w:rPr>
          <w:noProof/>
          <w:lang w:val="cs-CZ" w:eastAsia="cs-CZ"/>
        </w:rPr>
        <w:drawing>
          <wp:inline distT="0" distB="0" distL="0" distR="0" wp14:anchorId="49062AC3" wp14:editId="0CA3689D">
            <wp:extent cx="5924548" cy="2600325"/>
            <wp:effectExtent l="0" t="0" r="0" b="9525"/>
            <wp:docPr id="1970632652"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
                    <pic:cNvPicPr/>
                  </pic:nvPicPr>
                  <pic:blipFill>
                    <a:blip r:embed="rId30">
                      <a:extLst>
                        <a:ext uri="{28A0092B-C50C-407E-A947-70E740481C1C}">
                          <a14:useLocalDpi xmlns:a14="http://schemas.microsoft.com/office/drawing/2010/main" val="0"/>
                        </a:ext>
                      </a:extLst>
                    </a:blip>
                    <a:stretch>
                      <a:fillRect/>
                    </a:stretch>
                  </pic:blipFill>
                  <pic:spPr>
                    <a:xfrm>
                      <a:off x="0" y="0"/>
                      <a:ext cx="5924548" cy="2600325"/>
                    </a:xfrm>
                    <a:prstGeom prst="rect">
                      <a:avLst/>
                    </a:prstGeom>
                  </pic:spPr>
                </pic:pic>
              </a:graphicData>
            </a:graphic>
          </wp:inline>
        </w:drawing>
      </w:r>
    </w:p>
    <w:p w14:paraId="6E4D8722" w14:textId="77777777" w:rsidR="00CB2594" w:rsidRPr="007434DA" w:rsidRDefault="00CB2594" w:rsidP="00E55CB8">
      <w:pPr>
        <w:pStyle w:val="UZEIZdroj"/>
      </w:pPr>
      <w:r w:rsidRPr="007434DA">
        <w:t>Pramen: Výsledky pravidelného sledování reziduí a kontaminantů prováděného v souladu se směrnicí Rady 96/23/ES (Státní veterinární správa)</w:t>
      </w:r>
    </w:p>
    <w:p w14:paraId="2F4614F2" w14:textId="15D92823" w:rsidR="00CB2594" w:rsidRPr="007434DA" w:rsidRDefault="00CB2594" w:rsidP="00E55CB8">
      <w:pPr>
        <w:pStyle w:val="UZEINormaln"/>
      </w:pPr>
      <w:r w:rsidRPr="007434DA">
        <w:t xml:space="preserve">Při sledování výskytu reziduí ve vzorcích dle vybraných potravin živočišného původu (tab. </w:t>
      </w:r>
      <w:r w:rsidR="007434DA" w:rsidRPr="007434DA">
        <w:t>17</w:t>
      </w:r>
      <w:r w:rsidRPr="007434DA">
        <w:t xml:space="preserve">) byly výsledky, ať už z pohledu počtu vzorků s pozitivním nálezem reziduí nebo s nadlimitním výskytem, převážně negativní. Výjimku tvořilo červené maso a vejce. Pozitivní výskyt reziduí s povoleným limitem byl u červeného masa zjištěn z celkového počtu vzorků v rozmezí od 0,9 % v roce 2017 do 2,9 % v roce 2018. Podíl vzorků s nadlimitním výskytem reziduí antimikrobik se za sledované období pohyboval v rozmezí od 0,1 % v roce 2017 až po 0,9 % v roce 2013. Za období 2012-2019 bylo z celkového počtu 13,6 tis. odebraných vzorků červeného masa 0,5 % s překročeným limitem reziduí. V případě vajec bylo za uvedené období z celkového počtu 311 analyzovaných vzorků detekováno 0,6 % s nadlimitním výskytem reziduí antimikrobik. </w:t>
      </w:r>
    </w:p>
    <w:p w14:paraId="2E9E497A" w14:textId="77777777" w:rsidR="00CB2594" w:rsidRPr="007434DA" w:rsidRDefault="00CB2594" w:rsidP="00E55CB8">
      <w:pPr>
        <w:pStyle w:val="UZEINormaln"/>
      </w:pPr>
      <w:r w:rsidRPr="007434DA">
        <w:t>Na základě uvedených výsledků rozborů lze tedy konstatovat, že rezidua antimikrobik se v potravinách živočišného původu vyskytují jen velmi sporadicky, a to především u červeného masa (překročení MLR i nadlimitní výskyt). Červené maso je tedy možno označit jako „nejčastěji v rámci uvedených potravin zasažené.</w:t>
      </w:r>
    </w:p>
    <w:p w14:paraId="0975A4B1" w14:textId="4B2E2B2B" w:rsidR="00CB2594" w:rsidRPr="007434DA" w:rsidRDefault="00CB2594" w:rsidP="00CB2594">
      <w:pPr>
        <w:spacing w:after="120" w:line="260" w:lineRule="atLeast"/>
        <w:rPr>
          <w:rFonts w:ascii="Arial" w:hAnsi="Arial" w:cs="Arial"/>
          <w:i/>
          <w:iCs/>
          <w:color w:val="000000"/>
          <w:sz w:val="18"/>
          <w:szCs w:val="18"/>
          <w:lang w:val="cs-CZ"/>
        </w:rPr>
      </w:pPr>
    </w:p>
    <w:p w14:paraId="453AF061" w14:textId="01249854" w:rsidR="00E55CB8" w:rsidRPr="007434DA" w:rsidRDefault="00E55CB8" w:rsidP="00CB2594">
      <w:pPr>
        <w:spacing w:after="120" w:line="260" w:lineRule="atLeast"/>
        <w:rPr>
          <w:rFonts w:ascii="Arial" w:hAnsi="Arial" w:cs="Arial"/>
          <w:i/>
          <w:iCs/>
          <w:color w:val="000000"/>
          <w:sz w:val="18"/>
          <w:szCs w:val="18"/>
          <w:lang w:val="cs-CZ"/>
        </w:rPr>
      </w:pPr>
    </w:p>
    <w:p w14:paraId="73F46EE2" w14:textId="77777777" w:rsidR="00E55CB8" w:rsidRPr="007434DA" w:rsidRDefault="00E55CB8" w:rsidP="00CB2594">
      <w:pPr>
        <w:spacing w:after="120" w:line="260" w:lineRule="atLeast"/>
        <w:rPr>
          <w:rFonts w:ascii="Arial" w:hAnsi="Arial" w:cs="Arial"/>
          <w:i/>
          <w:iCs/>
          <w:color w:val="000000"/>
          <w:sz w:val="18"/>
          <w:szCs w:val="18"/>
          <w:lang w:val="cs-CZ"/>
        </w:rPr>
      </w:pPr>
    </w:p>
    <w:p w14:paraId="013BC5D7" w14:textId="71B022BB" w:rsidR="00CB2594" w:rsidRPr="007434DA" w:rsidRDefault="00CB2594" w:rsidP="007434DA">
      <w:pPr>
        <w:pStyle w:val="UZEITaB"/>
        <w:ind w:left="1134" w:hanging="1134"/>
      </w:pPr>
      <w:bookmarkStart w:id="225" w:name="_Toc12466342"/>
      <w:bookmarkStart w:id="226" w:name="_Toc12611763"/>
      <w:bookmarkStart w:id="227" w:name="_Toc12613429"/>
      <w:bookmarkStart w:id="228" w:name="_Toc80877879"/>
      <w:bookmarkStart w:id="229" w:name="_Toc94095291"/>
      <w:r w:rsidRPr="007434DA">
        <w:t>Porovnání množství zjištěných reziduí antimikrobik podle vybraných potravin živočišného původu v rámci monitoringu cizorodých látek v ČR 2012–2019 (počet vzorků)</w:t>
      </w:r>
      <w:bookmarkEnd w:id="225"/>
      <w:bookmarkEnd w:id="226"/>
      <w:bookmarkEnd w:id="227"/>
      <w:bookmarkEnd w:id="228"/>
      <w:bookmarkEnd w:id="229"/>
      <w:r w:rsidRPr="007434DA">
        <w:rPr>
          <w:noProof/>
        </w:rPr>
        <w:t xml:space="preserve"> </w:t>
      </w:r>
    </w:p>
    <w:p w14:paraId="6D216AAC" w14:textId="77777777" w:rsidR="00CB2594" w:rsidRPr="007434DA" w:rsidRDefault="00CB2594" w:rsidP="00CB2594">
      <w:pPr>
        <w:spacing w:after="120" w:line="240" w:lineRule="atLeast"/>
        <w:rPr>
          <w:lang w:val="cs-CZ"/>
        </w:rPr>
      </w:pPr>
      <w:r w:rsidRPr="007434DA">
        <w:rPr>
          <w:rFonts w:cs="Times New Roman"/>
          <w:noProof/>
          <w:sz w:val="20"/>
          <w:szCs w:val="20"/>
          <w:lang w:val="cs-CZ" w:eastAsia="cs-CZ"/>
        </w:rPr>
        <w:drawing>
          <wp:inline distT="0" distB="0" distL="0" distR="0" wp14:anchorId="73F1067B" wp14:editId="00928669">
            <wp:extent cx="6099810" cy="1990559"/>
            <wp:effectExtent l="0" t="0" r="0" b="0"/>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07617" cy="1993107"/>
                    </a:xfrm>
                    <a:prstGeom prst="rect">
                      <a:avLst/>
                    </a:prstGeom>
                    <a:noFill/>
                    <a:ln>
                      <a:noFill/>
                    </a:ln>
                  </pic:spPr>
                </pic:pic>
              </a:graphicData>
            </a:graphic>
          </wp:inline>
        </w:drawing>
      </w:r>
    </w:p>
    <w:p w14:paraId="360630B6" w14:textId="790C43E1" w:rsidR="00E55CB8" w:rsidRPr="007434DA" w:rsidRDefault="00CB2594" w:rsidP="00E55CB8">
      <w:pPr>
        <w:pStyle w:val="UZEIZdroj"/>
      </w:pPr>
      <w:r w:rsidRPr="007434DA">
        <w:t>Pramen: Výsledky pravidelného sledování reziduí a kontaminantů prováděného v souladu se směrnicí Rady 96/23/ES (Státní veterinární správa)</w:t>
      </w:r>
    </w:p>
    <w:p w14:paraId="3A30B13D" w14:textId="3E2107AF" w:rsidR="00CB2594" w:rsidRPr="007434DA" w:rsidRDefault="00E55CB8" w:rsidP="00E55CB8">
      <w:pPr>
        <w:spacing w:after="160" w:line="259" w:lineRule="auto"/>
        <w:jc w:val="left"/>
        <w:rPr>
          <w:rFonts w:eastAsia="Calibri" w:cs="Times New Roman"/>
          <w:i/>
          <w:iCs/>
          <w:sz w:val="20"/>
          <w:szCs w:val="24"/>
          <w:lang w:val="cs-CZ"/>
        </w:rPr>
      </w:pPr>
      <w:r w:rsidRPr="007434DA">
        <w:rPr>
          <w:lang w:val="cs-CZ"/>
        </w:rPr>
        <w:br w:type="page"/>
      </w:r>
    </w:p>
    <w:p w14:paraId="26878E9C" w14:textId="77777777" w:rsidR="00CB2594" w:rsidRPr="007434DA" w:rsidRDefault="00CB2594" w:rsidP="00E55CB8">
      <w:pPr>
        <w:pStyle w:val="Nadpis1"/>
      </w:pPr>
      <w:bookmarkStart w:id="230" w:name="_Toc12613430"/>
      <w:bookmarkStart w:id="231" w:name="_Toc80877880"/>
      <w:bookmarkStart w:id="232" w:name="_Toc81755623"/>
      <w:bookmarkStart w:id="233" w:name="_Toc524093561"/>
      <w:r w:rsidRPr="007434DA">
        <w:t>Existence/neexistence možnosti efektivního řešení v rámci nástrojů SZP, které lze uvažovat v nových návrzích SZP</w:t>
      </w:r>
      <w:bookmarkEnd w:id="230"/>
      <w:bookmarkEnd w:id="231"/>
      <w:bookmarkEnd w:id="232"/>
      <w:r w:rsidRPr="007434DA">
        <w:t xml:space="preserve"> </w:t>
      </w:r>
      <w:bookmarkEnd w:id="233"/>
    </w:p>
    <w:p w14:paraId="3976BE01" w14:textId="77777777" w:rsidR="00CB2594" w:rsidRPr="007434DA" w:rsidRDefault="00CB2594" w:rsidP="00E55CB8">
      <w:pPr>
        <w:pStyle w:val="UZEINormaln"/>
      </w:pPr>
      <w:bookmarkStart w:id="234" w:name="_Hlk53670312"/>
      <w:r w:rsidRPr="007434DA">
        <w:t>Tlumení antimikrobní rezistence bakterií a s tím související nutné omezování používání antimikrobik v chovech zvířat představuje pro živočišnou prvovýrobu zásadní systémovou změnu, která současně dopadne na všechny klíčové oblasti v odvětví, tj. např. na způsob chovu, na zdraví a na welfare zvířat, ale rovněž na všechny další články výrobkových vertikál (vstupy, zpracovatelský průmysl, obchod a spotřebitele) a bude mít jednoznačně ekonomické dopady.</w:t>
      </w:r>
    </w:p>
    <w:bookmarkEnd w:id="234"/>
    <w:p w14:paraId="1B640335" w14:textId="77777777" w:rsidR="00CB2594" w:rsidRPr="007434DA" w:rsidRDefault="00CB2594" w:rsidP="00E55CB8">
      <w:pPr>
        <w:pStyle w:val="UZEINormaln"/>
      </w:pPr>
      <w:r w:rsidRPr="007434DA">
        <w:t>Antibiotika v chovu zvířat nebude v budoucnu možné nahradit jedním opatřením, ale bude se jednat o celý soubor opatření, která budou muset na sebe navazovat a vzájemně se doplňovat – komplexní opatření v oblasti zlepšování zdraví zvířat a významné posílení preventivních opatření v chovech zvířat, zahrnující opatření biologické bezpečnosti, včetně kontroly zavlečení rezistentních původců, genů rezistence do hospodářství, kvalita veškerých dalších vstupů, preventivní veterinární programy, včetně vakcinací, opatření ve výživě a krmení, zlepšování zoohygienických podmínek, ošetřovatelské péče, získávání léčiv pouze z legálních zdrojů, kvality používání léčiv, využívání přípravků a metod, které umožňují snižovat používání antimikrobik (alternativy).</w:t>
      </w:r>
    </w:p>
    <w:p w14:paraId="66DBCFBC" w14:textId="77777777" w:rsidR="00CB2594" w:rsidRPr="007434DA" w:rsidRDefault="00CB2594" w:rsidP="00E55CB8">
      <w:pPr>
        <w:pStyle w:val="UZEINormaln"/>
      </w:pPr>
      <w:r w:rsidRPr="007434DA">
        <w:t>K zajištění skutečně efektivních řešení je nutné uvažovat o zasazení do systému zabezpečování kvality v chovech v souladu s principy zavedených systémů kvality, které pomáhají zajišťovat například dlouhodobé a systematické uplatňování opatření, jejich měření a hodnocení jejich účinnosti ve vztahu k definovaným cílům a jejich adaptaci na měnící se podmínky či požadavky.</w:t>
      </w:r>
    </w:p>
    <w:p w14:paraId="19BD4414" w14:textId="77777777" w:rsidR="00CB2594" w:rsidRPr="007434DA" w:rsidRDefault="00CB2594" w:rsidP="00E55CB8">
      <w:pPr>
        <w:pStyle w:val="UZEINormaln"/>
      </w:pPr>
      <w:r w:rsidRPr="007434DA">
        <w:t>Nezbytnou součástí systému – pro formulování jakýchkoliv opatření, která mají být účinná, je potřeba objektivních a správných důkazů („evidence“), které odpovídají reálným podmínkám a s jejichž využitím lze provádět hodnocení rizika a navrhovat opatření k jeho řízení. Nutné je zohlednit také základní požadavky podmíněnosti. Tyto základní normy, které musí dodržovat všichni žadatelé o dotace, jsou součástí povinných požadavků na hospodaření (PPH).</w:t>
      </w:r>
    </w:p>
    <w:p w14:paraId="72DAA463" w14:textId="07450C07" w:rsidR="00CB2594" w:rsidRPr="007434DA" w:rsidRDefault="00CB2594" w:rsidP="00E55CB8">
      <w:pPr>
        <w:pStyle w:val="UZEINormaln"/>
      </w:pPr>
      <w:bookmarkStart w:id="235" w:name="_Hlk524090740"/>
      <w:r w:rsidRPr="007434DA">
        <w:t>Ekonomické dopady omezování antimikrobik lze jen velmi těžko posoudit</w:t>
      </w:r>
      <w:bookmarkEnd w:id="235"/>
      <w:r w:rsidRPr="007434DA">
        <w:t>. Studie, která by odpovídala reálným podmínkám v ČR v celém komplexu vazeb, není k dispozici a vzhledem k povaze problému a mnoha návaznostem a podmiňujícím faktorům je složité přesný odhad provést. S vysokou pravděpodobností však bude realizace opatření k tlumení znamenat vyšší náklady na produkci zhruba o 30 % (Bureš, 2018).</w:t>
      </w:r>
    </w:p>
    <w:p w14:paraId="48E16EE3" w14:textId="77777777" w:rsidR="00CB2594" w:rsidRPr="007434DA" w:rsidRDefault="00CB2594" w:rsidP="00E55CB8">
      <w:pPr>
        <w:pStyle w:val="UZEINormaln"/>
        <w:rPr>
          <w:b/>
          <w:bCs/>
        </w:rPr>
      </w:pPr>
      <w:r w:rsidRPr="007434DA">
        <w:rPr>
          <w:b/>
          <w:bCs/>
        </w:rPr>
        <w:t xml:space="preserve">Nástroje SZP k tlumení AMR by měly vést k následujícím výsledkům: </w:t>
      </w:r>
    </w:p>
    <w:p w14:paraId="0B67DD4C" w14:textId="77777777" w:rsidR="00CB2594" w:rsidRPr="007434DA" w:rsidRDefault="00CB2594" w:rsidP="00E55CB8">
      <w:pPr>
        <w:pStyle w:val="UZEIOdrky"/>
      </w:pPr>
      <w:r w:rsidRPr="007434DA">
        <w:t>Zlepšovat zdravotní stav zvířat, například formou tlumení definovaných infekčních chorob (bakteriálních i virových, kde jsou antimikrobika využívána k řešení sekundárních bakteriálních infekcí) nebo investicemi do budov a zařízení směřující ke zlepšení zoohygienických podmínek a usnadňující uplatňování preventivních opatření;</w:t>
      </w:r>
    </w:p>
    <w:p w14:paraId="2AA1767E" w14:textId="77777777" w:rsidR="00CB2594" w:rsidRPr="007434DA" w:rsidRDefault="00CB2594" w:rsidP="00E55CB8">
      <w:pPr>
        <w:pStyle w:val="UZEIOdrky"/>
      </w:pPr>
      <w:r w:rsidRPr="007434DA">
        <w:t>Zavádět účinná preventivní opaření – zejména k omezování rizika zavlečení infekčních původců do chovů, vzniku a rozvoje infekčních onemocnění v chovech, zavlékání rezistentních původců nebo determinant rezistence a omezování možnosti jejich šíření v chovech a hodnocení jejich účinnosti;</w:t>
      </w:r>
    </w:p>
    <w:p w14:paraId="5D20E974" w14:textId="67AEA044" w:rsidR="00CB2594" w:rsidRPr="007434DA" w:rsidRDefault="00CB2594" w:rsidP="00E55CB8">
      <w:pPr>
        <w:pStyle w:val="UZEINormaln"/>
        <w:numPr>
          <w:ilvl w:val="0"/>
          <w:numId w:val="36"/>
        </w:numPr>
      </w:pPr>
      <w:r w:rsidRPr="007434DA">
        <w:t>Zvyšovat kvalitu používání léčiv, včetně např. řádné diagnostiky indikací pro použití léčiv, testování citlivosti původců v chovech k používaných antimikrobikům, správného používání léčiv (dávka, délka, způsob podávání léčiv), hodnocení účinnosti léčiv, dodržování indikačních omezení pro vysoce riziková léčiva; a to vše s cílem snižovat celkovou potřebu použití antimikrobik v chovech zvířat, produkovat zvířata a živočišné produkty, které splňují definované (nadstandardní) parametry biologické a chemické bezpečnosti;</w:t>
      </w:r>
    </w:p>
    <w:p w14:paraId="375825FD" w14:textId="197F033F" w:rsidR="00CB2594" w:rsidRPr="007434DA" w:rsidRDefault="00CB2594" w:rsidP="00E55CB8">
      <w:pPr>
        <w:pStyle w:val="UZEINormaln"/>
      </w:pPr>
      <w:bookmarkStart w:id="236" w:name="_Hlk53669613"/>
      <w:r w:rsidRPr="007434DA">
        <w:t>Realizace opatření zavedených k tlumení a snižováním potřeby použití antimikrobik předpokládá navýšení nákladů například v těchto oblastech:</w:t>
      </w:r>
    </w:p>
    <w:p w14:paraId="4BB63666" w14:textId="177881D8" w:rsidR="00CB2594" w:rsidRPr="007434DA" w:rsidRDefault="00CB2594" w:rsidP="00E55CB8">
      <w:pPr>
        <w:pStyle w:val="UZEINormaln"/>
        <w:numPr>
          <w:ilvl w:val="0"/>
          <w:numId w:val="36"/>
        </w:numPr>
      </w:pPr>
      <w:r w:rsidRPr="007434DA">
        <w:t>investiční náklady (např. repopulace a ozdravné programy pro zvířata, zařízení, investice do budov a zařízení, zavádění systémů „smart farming“ usnadňujících hodnocení definovaných parametrů zdraví či užitkovosti v chovu či ranou diagnostiku infekčních onemocnění v chovu, podpora zavádění automatizace do chovů zvířat…aj.);</w:t>
      </w:r>
    </w:p>
    <w:p w14:paraId="2851B894" w14:textId="77777777" w:rsidR="00CB2594" w:rsidRPr="007434DA" w:rsidRDefault="00CB2594" w:rsidP="00E55CB8">
      <w:pPr>
        <w:pStyle w:val="UZEINormaln"/>
        <w:numPr>
          <w:ilvl w:val="0"/>
          <w:numId w:val="36"/>
        </w:numPr>
      </w:pPr>
      <w:r w:rsidRPr="007434DA">
        <w:t>provozní náklady spojené s opatřeními, např. vakcinace a další „alternativy“, kvalita vstupů, vyšší požadavky na úroveň péče o zvířata, zvýšená opatření v oblasti biologické bezpečnosti, nižší intenzita chovů, nutné „technologické“ odstávky ve vztahu k využívání budov a technologií (očista, desinfekce, veterinární programy, laboratorní rozbory) vyšší nároky na kvalifikaci pracovníků a potřeba jejich průběžného vzdělávání.</w:t>
      </w:r>
    </w:p>
    <w:bookmarkEnd w:id="236"/>
    <w:p w14:paraId="6222D137" w14:textId="77777777" w:rsidR="00CB2594" w:rsidRPr="007434DA" w:rsidRDefault="00CB2594" w:rsidP="00E55CB8">
      <w:pPr>
        <w:pStyle w:val="UZEINormaln"/>
      </w:pPr>
      <w:r w:rsidRPr="007434DA">
        <w:t>Negativní dopady na ekonomiku chovu zvířat spojené s omezením použití antimikrobik se mohou projevit v potřebě vyřazovat bacilonosiče či zvířata s nízkou pravděpodobností vyléčení; zhoršenými parametry užitkovosti/vyššími náklady spojenými s produkcí (delší doba výkrmu a další); sníženými příjmy zemědělců v důsledku zhoršené schopnosti plnit stanovené „technologické cíle“ – například vyrovnanost hejna / stáda, somatické buňky u mléka apod.</w:t>
      </w:r>
    </w:p>
    <w:p w14:paraId="6CC127CF" w14:textId="77777777" w:rsidR="00CB2594" w:rsidRPr="007434DA" w:rsidRDefault="00CB2594" w:rsidP="00E55CB8">
      <w:pPr>
        <w:pStyle w:val="UZEINormaln"/>
      </w:pPr>
      <w:r w:rsidRPr="007434DA">
        <w:t>Na druhou stranu lze předpokládat, že v případě úspěšné realizace programu lze počáteční investice (například do zdraví zvířat) a dodatkové provozní náklady zhodnotit například formou:</w:t>
      </w:r>
    </w:p>
    <w:p w14:paraId="49212191" w14:textId="77777777" w:rsidR="00CB2594" w:rsidRPr="007434DA" w:rsidRDefault="00CB2594" w:rsidP="00E55CB8">
      <w:pPr>
        <w:pStyle w:val="UZEINormaln"/>
        <w:numPr>
          <w:ilvl w:val="0"/>
          <w:numId w:val="36"/>
        </w:numPr>
      </w:pPr>
      <w:r w:rsidRPr="007434DA">
        <w:t>nižších nákladů na léčbu;</w:t>
      </w:r>
    </w:p>
    <w:p w14:paraId="17118AC6" w14:textId="77777777" w:rsidR="00CB2594" w:rsidRPr="007434DA" w:rsidRDefault="00CB2594" w:rsidP="00E55CB8">
      <w:pPr>
        <w:pStyle w:val="UZEINormaln"/>
        <w:numPr>
          <w:ilvl w:val="0"/>
          <w:numId w:val="36"/>
        </w:numPr>
      </w:pPr>
      <w:r w:rsidRPr="007434DA">
        <w:t>vyšší užitkovosti;</w:t>
      </w:r>
    </w:p>
    <w:p w14:paraId="17059244" w14:textId="77777777" w:rsidR="00CB2594" w:rsidRPr="007434DA" w:rsidRDefault="00CB2594" w:rsidP="00E55CB8">
      <w:pPr>
        <w:pStyle w:val="UZEINormaln"/>
        <w:numPr>
          <w:ilvl w:val="0"/>
          <w:numId w:val="36"/>
        </w:numPr>
      </w:pPr>
      <w:r w:rsidRPr="007434DA">
        <w:t>produkcí zvířat a živočišných produktů s přidanou hodnotou odpovídající požadavkům spotřebitelů v oblasti zdraví (chemická či biologická bezpečnost potravin)</w:t>
      </w:r>
    </w:p>
    <w:p w14:paraId="4BC9075B" w14:textId="77777777" w:rsidR="00CB2594" w:rsidRPr="007434DA" w:rsidRDefault="00CB2594" w:rsidP="00E55CB8">
      <w:pPr>
        <w:pStyle w:val="UZEINormaln"/>
        <w:numPr>
          <w:ilvl w:val="0"/>
          <w:numId w:val="36"/>
        </w:numPr>
      </w:pPr>
      <w:r w:rsidRPr="007434DA" w:rsidDel="00095096">
        <w:t xml:space="preserve"> </w:t>
      </w:r>
      <w:r w:rsidRPr="007434DA">
        <w:t>„standardizací“ (lepší předvídatelností, vyšší stabilitou) produkce a omezování výskytu nestandardních situací a tím schopností lepšího plánování;</w:t>
      </w:r>
    </w:p>
    <w:p w14:paraId="7A2C00ED" w14:textId="77777777" w:rsidR="00CB2594" w:rsidRPr="007434DA" w:rsidRDefault="00CB2594" w:rsidP="00E55CB8">
      <w:pPr>
        <w:pStyle w:val="UZEINormaln"/>
        <w:numPr>
          <w:ilvl w:val="0"/>
          <w:numId w:val="36"/>
        </w:numPr>
      </w:pPr>
      <w:r w:rsidRPr="007434DA">
        <w:t>zachování účinnosti „starých“, relativně velmi levných antibiotik pro potřeby léčby (nově vyvinutá antibiotika, pokud budou zavedena do veterinární medicíny, budou velmi drahá  – viz vývoj ceny enrofloxacinu po jeho iniciálním zavedení do praxe (např. cena 1 litru 10% perorálního roztoku v 12/2002 činila 6 100,- Kč) a po nástupu generických kopií se výrazně snížila (aktuální cena generik se pohybuje od 346 Kč za 1 litr 10% perorálního roztoku). Nová legislativa pro VLP povede ke zpoždění v uvádění generik na trh, a to v důsledku prodloužení délky ochrany registračních dat pro originály). Je nutné si uvědomit, že „nová veterinární antimikrobika“ de facto budou pouze ta, která budou nevhodná pro humánní medicínu.</w:t>
      </w:r>
    </w:p>
    <w:p w14:paraId="052C8042" w14:textId="77777777" w:rsidR="00CB2594" w:rsidRPr="007434DA" w:rsidRDefault="00CB2594" w:rsidP="00E55CB8">
      <w:pPr>
        <w:pStyle w:val="UZEINormaln"/>
        <w:numPr>
          <w:ilvl w:val="0"/>
          <w:numId w:val="36"/>
        </w:numPr>
      </w:pPr>
      <w:r w:rsidRPr="007434DA">
        <w:t>vyšší konkurenceschopností produktů (zejména s ohledem na budoucnost, například dánští chovatelé</w:t>
      </w:r>
      <w:r w:rsidRPr="007434DA">
        <w:footnoteReference w:id="49"/>
      </w:r>
      <w:r w:rsidRPr="007434DA">
        <w:t xml:space="preserve"> produkují „antibiotic free pork“).</w:t>
      </w:r>
    </w:p>
    <w:p w14:paraId="174116B5" w14:textId="77777777" w:rsidR="00CB2594" w:rsidRPr="007434DA" w:rsidRDefault="00CB2594" w:rsidP="00E55CB8">
      <w:pPr>
        <w:pStyle w:val="UZEINormaln"/>
        <w:numPr>
          <w:ilvl w:val="0"/>
          <w:numId w:val="36"/>
        </w:numPr>
      </w:pPr>
      <w:r w:rsidRPr="007434DA">
        <w:t>jedním z možných nástrojů, by s ohledem na výše uvedené, mohlo být zavedení specializované pojištění pro případy, kdy je nutné zvířata z chovů vyřazovat jako bacilonosiče nebo kdy pravděpodobnost jejich vyléčení v důsledku infekce rezistentním původcem je velmi nízká (například mastitidy dojnic vyvolané rezistentními kmeny S. aureus).</w:t>
      </w:r>
    </w:p>
    <w:p w14:paraId="1B0C780C" w14:textId="0B20BEC1" w:rsidR="00CB2594" w:rsidRPr="007434DA" w:rsidRDefault="00CB2594" w:rsidP="00E55CB8">
      <w:pPr>
        <w:pStyle w:val="UZEINormaln"/>
        <w:numPr>
          <w:ilvl w:val="0"/>
          <w:numId w:val="36"/>
        </w:numPr>
      </w:pPr>
      <w:r w:rsidRPr="007434DA">
        <w:t>opatření v prvovýrobě by s ohledem na potřebu projekce směrem ke spotřebiteli měla být dále doplněna jednak o opatření směřující k marketingové podpoře potravin vyráběných v režimech kvality s nadstandardními parametry, včetně případného označování potravin, a dále je vhodné uvažovat i o podpoře nových obchodních modelů s cílem zajistit spravedlivé postavení prvovýrobců a zpracovatelů a jejich spravedlivé finanční ohodnocení.</w:t>
      </w:r>
    </w:p>
    <w:p w14:paraId="48662ED7" w14:textId="77777777" w:rsidR="00CB2594" w:rsidRPr="00284643" w:rsidRDefault="00CB2594" w:rsidP="00284643">
      <w:pPr>
        <w:pStyle w:val="UZEINormaln"/>
        <w:rPr>
          <w:b/>
          <w:bCs/>
        </w:rPr>
      </w:pPr>
      <w:r w:rsidRPr="00284643">
        <w:rPr>
          <w:b/>
          <w:bCs/>
        </w:rPr>
        <w:t>Obecné shrnutí přístupu</w:t>
      </w:r>
    </w:p>
    <w:p w14:paraId="131FB6B7" w14:textId="77777777" w:rsidR="00CB2594" w:rsidRPr="007434DA" w:rsidRDefault="00CB2594" w:rsidP="00E55CB8">
      <w:pPr>
        <w:pStyle w:val="UZEINormaln"/>
      </w:pPr>
      <w:r w:rsidRPr="007434DA">
        <w:t>S ohledem na složitost problému a jeho provázanost do dalších oblastí, řadu neznámých a řadu podmiňujících faktorů ovlivňujících jeho úspěšné řešení a dále s ohledem na jeho společenské a ekonomické dopady je zcela zásadní, aby řešení problematiky AMR bylo založeno na následujících obecných principech:</w:t>
      </w:r>
    </w:p>
    <w:p w14:paraId="42B13E55" w14:textId="77777777" w:rsidR="00CB2594" w:rsidRPr="007434DA" w:rsidRDefault="00CB2594" w:rsidP="00E55CB8">
      <w:pPr>
        <w:pStyle w:val="UZEIOdrky"/>
      </w:pPr>
      <w:r w:rsidRPr="007434DA">
        <w:rPr>
          <w:b/>
        </w:rPr>
        <w:t>dlouhodobá strategie a přístup,</w:t>
      </w:r>
      <w:r w:rsidRPr="007434DA">
        <w:t xml:space="preserve"> a to ve všech dotčených sférách, které se na řešení problému podílí – navazující na další politiky a strategie rezortu MZe a MZ a případně i MŽP; v rámci MZe návaznost na strategii MZe do roku 2030;</w:t>
      </w:r>
    </w:p>
    <w:p w14:paraId="24B11108" w14:textId="77777777" w:rsidR="00CB2594" w:rsidRPr="007434DA" w:rsidRDefault="00CB2594" w:rsidP="00E55CB8">
      <w:pPr>
        <w:pStyle w:val="UZEIOdrky"/>
      </w:pPr>
      <w:r w:rsidRPr="007434DA">
        <w:t xml:space="preserve">opatření </w:t>
      </w:r>
      <w:r w:rsidRPr="007434DA">
        <w:rPr>
          <w:b/>
        </w:rPr>
        <w:t>založená na znalostech a na důkazech získávaných lokálně</w:t>
      </w:r>
      <w:r w:rsidRPr="007434DA">
        <w:t xml:space="preserve"> a odrážejících reálnou situaci v ČR – pouze takové informace mohou vést k formulování reálných opatření a ve výsledku k úspěšným řešením;</w:t>
      </w:r>
    </w:p>
    <w:p w14:paraId="37E724B1" w14:textId="77777777" w:rsidR="00CB2594" w:rsidRPr="007434DA" w:rsidRDefault="00CB2594" w:rsidP="00E55CB8">
      <w:pPr>
        <w:pStyle w:val="UZEIOdrky"/>
      </w:pPr>
      <w:r w:rsidRPr="007434DA">
        <w:rPr>
          <w:b/>
        </w:rPr>
        <w:t>definování problému (rizika) primárně jako problému zdraví veřejnosti,</w:t>
      </w:r>
      <w:r w:rsidRPr="007434DA">
        <w:t xml:space="preserve"> sekundárně jako problému zdraví zvířat a životního prostředí – cílem takové definice je jednak cílení komunikace ke spotřebiteli, definování společenské objednávky (míry veřejného zájmu) a konečně i způsoby a zdroje financování programů;</w:t>
      </w:r>
    </w:p>
    <w:p w14:paraId="39776A66" w14:textId="77777777" w:rsidR="00CB2594" w:rsidRPr="007434DA" w:rsidRDefault="00CB2594" w:rsidP="00E55CB8">
      <w:pPr>
        <w:pStyle w:val="UZEIOdrky"/>
      </w:pPr>
      <w:r w:rsidRPr="007434DA">
        <w:t xml:space="preserve">řešení musí přinášet </w:t>
      </w:r>
      <w:r w:rsidRPr="007434DA">
        <w:rPr>
          <w:b/>
        </w:rPr>
        <w:t>efektivní plnění společenské objednávky</w:t>
      </w:r>
      <w:r w:rsidRPr="007434DA">
        <w:t xml:space="preserve">, která s problematikou souvisí (zdraví veřejnosti, ochrana životního prostředí, zdraví zvířat, welfare zvířat). </w:t>
      </w:r>
    </w:p>
    <w:p w14:paraId="3539AB90" w14:textId="77777777" w:rsidR="00CB2594" w:rsidRPr="007434DA" w:rsidRDefault="00CB2594" w:rsidP="00E55CB8">
      <w:pPr>
        <w:pStyle w:val="UZEIOdrky"/>
      </w:pPr>
      <w:r w:rsidRPr="007434DA">
        <w:t>podpora investic jako základního předpokladu pro úspěšnou realizaci programu;</w:t>
      </w:r>
    </w:p>
    <w:p w14:paraId="00778B5C" w14:textId="77777777" w:rsidR="00CB2594" w:rsidRPr="007434DA" w:rsidRDefault="00CB2594" w:rsidP="00E55CB8">
      <w:pPr>
        <w:pStyle w:val="UZEIOdrky"/>
      </w:pPr>
      <w:r w:rsidRPr="007434DA">
        <w:t>kompenzace vyšších nákladů spojených s kvalitou a prevencí;</w:t>
      </w:r>
    </w:p>
    <w:p w14:paraId="0529E5F3" w14:textId="77777777" w:rsidR="00CB2594" w:rsidRPr="007434DA" w:rsidRDefault="00CB2594" w:rsidP="00E55CB8">
      <w:pPr>
        <w:pStyle w:val="UZEIOdrky"/>
      </w:pPr>
      <w:r w:rsidRPr="007434DA">
        <w:t>kompenzace ztrát daných vyřazováním antimikrobik (například formou podpory pojištění obtížně pojistitelných rizik);</w:t>
      </w:r>
    </w:p>
    <w:p w14:paraId="33673E1F" w14:textId="77777777" w:rsidR="00CB2594" w:rsidRPr="007434DA" w:rsidRDefault="00CB2594" w:rsidP="00E55CB8">
      <w:pPr>
        <w:pStyle w:val="UZEIOdrky"/>
      </w:pPr>
      <w:r w:rsidRPr="007434DA">
        <w:t>podpora získávání objektivních lokálních dat (spotřeba antimikrobik, epidemiologická data o rezistenci) k hodnocení účinnosti opatření a hodnocení rizika;</w:t>
      </w:r>
    </w:p>
    <w:p w14:paraId="1AC6FBFF" w14:textId="77777777" w:rsidR="00CB2594" w:rsidRPr="007434DA" w:rsidRDefault="00CB2594" w:rsidP="00E55CB8">
      <w:pPr>
        <w:pStyle w:val="UZEIOdrky"/>
      </w:pPr>
      <w:r w:rsidRPr="007434DA">
        <w:t>podpora VVI s aplikovanými výstupy v oblasti vývoje léčiv, postupů a metod v oblasti prevence a tlumení AMR, vývoje alternativ k použití antimikrobik, vývoje diagnostik a dalších prakticky využitelných výstupů;</w:t>
      </w:r>
    </w:p>
    <w:p w14:paraId="5EBE19D3" w14:textId="77777777" w:rsidR="00CB2594" w:rsidRPr="007434DA" w:rsidRDefault="00CB2594" w:rsidP="00E55CB8">
      <w:pPr>
        <w:pStyle w:val="UZEIOdrky"/>
      </w:pPr>
      <w:r w:rsidRPr="007434DA">
        <w:t>potřeba navázat na další oblasti - podpora komunikace se spotřebitelem (marketingový fond) a podpora nových obchodních modelů – B2C s potravinami produkovanými v systémech kvality.</w:t>
      </w:r>
    </w:p>
    <w:p w14:paraId="76E09B90" w14:textId="204F6120" w:rsidR="00CB2594" w:rsidRPr="007434DA" w:rsidRDefault="00CB2594" w:rsidP="00CB2594">
      <w:pPr>
        <w:pStyle w:val="Nadpis1"/>
      </w:pPr>
      <w:bookmarkStart w:id="237" w:name="_Toc524093562"/>
      <w:bookmarkStart w:id="238" w:name="_Toc12613431"/>
      <w:bookmarkStart w:id="239" w:name="_Toc80877881"/>
      <w:bookmarkStart w:id="240" w:name="_Toc81755624"/>
      <w:r w:rsidRPr="007434DA">
        <w:t>Míra stávajícího řešení problém</w:t>
      </w:r>
      <w:bookmarkEnd w:id="237"/>
      <w:r w:rsidRPr="007434DA">
        <w:t>u</w:t>
      </w:r>
      <w:bookmarkEnd w:id="238"/>
      <w:bookmarkEnd w:id="239"/>
      <w:bookmarkEnd w:id="240"/>
      <w:r w:rsidRPr="007434DA">
        <w:tab/>
      </w:r>
    </w:p>
    <w:p w14:paraId="21BCEB29" w14:textId="6DE446FF" w:rsidR="00CB2594" w:rsidRPr="007434DA" w:rsidRDefault="00CB2594" w:rsidP="009165A0">
      <w:pPr>
        <w:pStyle w:val="Nadpis2"/>
      </w:pPr>
      <w:bookmarkStart w:id="241" w:name="_Toc524093563"/>
      <w:bookmarkStart w:id="242" w:name="_Toc12613432"/>
      <w:bookmarkStart w:id="243" w:name="_Toc80877882"/>
      <w:bookmarkStart w:id="244" w:name="_Toc81755625"/>
      <w:r w:rsidRPr="007434DA">
        <w:t>Míra řešení ve stávající SZP (úspěšnost/neúspěšnost)</w:t>
      </w:r>
      <w:bookmarkEnd w:id="241"/>
      <w:bookmarkEnd w:id="242"/>
      <w:bookmarkEnd w:id="243"/>
      <w:bookmarkEnd w:id="244"/>
      <w:r w:rsidRPr="007434DA">
        <w:t xml:space="preserve"> </w:t>
      </w:r>
    </w:p>
    <w:p w14:paraId="0AA8B43D" w14:textId="1802D03A" w:rsidR="00CB2594" w:rsidRPr="007434DA" w:rsidRDefault="00CB2594" w:rsidP="00F61044">
      <w:pPr>
        <w:pStyle w:val="UZEINormaln"/>
      </w:pPr>
      <w:r w:rsidRPr="007434DA">
        <w:t>Ve stávající SZP 2014-2020 problém samostatně řešen není, jedná se o novou problematiku, která vyvstala na základě tlaku zdravotnických organizací. Nezbytnost řešení nabývá na významu s ohledem na skutečnost, že Světová zdravotnická organizace (WHO) označila antibiotickou rezistenci za globální hrozbu. Podle obecně citované zprávy, která je brána jako východisko pro formulování opatření a akčních plánů na úrovni národní, mezinárodní i globální</w:t>
      </w:r>
      <w:r w:rsidRPr="007434DA">
        <w:rPr>
          <w:vertAlign w:val="superscript"/>
        </w:rPr>
        <w:footnoteReference w:id="50"/>
      </w:r>
      <w:r w:rsidRPr="007434DA">
        <w:t xml:space="preserve"> má v roce 2050 v důsledku AMR ročně umírat asi 10 milionů lidí. Přísnější podmínky pro užívání antibiotik v chovech hospodářských zvířat jsou definovány v režimu ekologického zemědělství.</w:t>
      </w:r>
    </w:p>
    <w:p w14:paraId="05172BC1" w14:textId="33A530EC" w:rsidR="00CB2594" w:rsidRPr="007434DA" w:rsidRDefault="00CB2594" w:rsidP="00F61044">
      <w:pPr>
        <w:pStyle w:val="Nadpis2"/>
      </w:pPr>
      <w:bookmarkStart w:id="245" w:name="_Toc524093564"/>
      <w:bookmarkStart w:id="246" w:name="_Toc12613433"/>
      <w:bookmarkStart w:id="247" w:name="_Toc80877883"/>
      <w:bookmarkStart w:id="248" w:name="_Toc81755626"/>
      <w:r w:rsidRPr="007434DA">
        <w:t>Míra současného řešení problému jinými politikami</w:t>
      </w:r>
      <w:bookmarkEnd w:id="245"/>
      <w:bookmarkEnd w:id="246"/>
      <w:bookmarkEnd w:id="247"/>
      <w:bookmarkEnd w:id="248"/>
    </w:p>
    <w:p w14:paraId="64F6494D" w14:textId="77777777" w:rsidR="00CB2594" w:rsidRPr="007434DA" w:rsidRDefault="00CB2594" w:rsidP="00F61044">
      <w:pPr>
        <w:pStyle w:val="UZEINormaln"/>
      </w:pPr>
      <w:r w:rsidRPr="007434DA">
        <w:t xml:space="preserve">Antibiotická politika má v ČR dlouhou tradici – součástí podmínek registrace je od konce 90. let minulého století i „indikační omezení“ – to je omezení používání jako léčiv první volby a podmíněné dalšími podmínkami v souladu s principem odpovědného používání antimikrobik. Indikační omezení bylo nastaveno a odpovídá prakticky současnému hodnocení rizikovosti jednotlivých antimikrobik, které na žádost EK zajišťuje Evropská léková agentura. </w:t>
      </w:r>
    </w:p>
    <w:p w14:paraId="57670608" w14:textId="77777777" w:rsidR="00CB2594" w:rsidRPr="007434DA" w:rsidRDefault="00CB2594" w:rsidP="00F61044">
      <w:pPr>
        <w:pStyle w:val="UZEINormaln"/>
      </w:pPr>
      <w:r w:rsidRPr="007434DA">
        <w:t xml:space="preserve">Podmínky používání přípravků s indikačním omezením jsou upraveny legislativou – zákon o léčivech a prováděcí vyhláška č. 344/2008 Sb. </w:t>
      </w:r>
    </w:p>
    <w:p w14:paraId="265F52CD" w14:textId="2197CF3F" w:rsidR="00CB2594" w:rsidRPr="007434DA" w:rsidRDefault="00CB2594" w:rsidP="00F61044">
      <w:pPr>
        <w:pStyle w:val="UZEINormaln"/>
      </w:pPr>
      <w:r w:rsidRPr="007434DA">
        <w:t xml:space="preserve">Zajištění zdraví zvířat a bezpečnosti potravinového řetězce podporují požadavky na dodržování pravidel podmíněnosti (Cross Compliance) stanovené na základě nařízení Evropského parlamentu a Rady (ES) č. 178/2002, kterým se stanoví obecné zásady a požadavky potravinového práva ( kondicionalita PPH 5) a směrnice Rady 96/22/ES o zákazu používání některých látek s hormonálním a tyreostatickým účinkem a beta-sympatomimetik v chovech zvířat (kondicionalita PPH 6) pro téma kontrol podmíněnosti – Veřejné zdraví, zdraví zvířat a zdraví rostlin. Požadavky se týkají udržení nezávadnosti krmiv, kontroly produkce živočišného původu a dodržování zákazu podávání zvířatům látek a přípravků, jejichž používání u hospodářských zvířat nebo u zvířat, jejichž produkty jsou určeny k výživě lidí, není povoleno. </w:t>
      </w:r>
    </w:p>
    <w:p w14:paraId="31F8398C" w14:textId="77777777" w:rsidR="00CB2594" w:rsidRPr="007434DA" w:rsidRDefault="00CB2594" w:rsidP="00F61044">
      <w:pPr>
        <w:pStyle w:val="UZEINormaln"/>
      </w:pPr>
      <w:r w:rsidRPr="007434DA">
        <w:t>V ČR je rovněž dlouhodobě nastavena spolupráce mezi humánní a veterinární oblastí v souladu s principem „One Health“ a to ve formě Národního antibiotického programu (NAP), který byl ustanoven na základě usnesení vlády ČR ze dne 4. května 2009 č. 595. Cílem NAP je zajištění dlouhodobě dostupné, účinné, bezpečné a nákladově efektivní antibiotické léčby pacientů s infekčními onemocněními. Toho lze dosáhnout zejména podporou správné praxe v používání antibiotik omezující jejich nadužívání, účinnou prevencí a kontrolou infekcí zabraňující šíření rezistentních mikrobů ve zdravotnických zařízeních i v běžné populaci, vzděláváním a zvyšováním povědomí odborné i laické veřejnosti o této problematice. Základním principem NAP je tzv. mezisektorový koordinační mechanismus, jehož smyslem je zejména zajištění efektivní koordinace činnosti mezi humánním a veterinárním zdravotnictvím a všemi zainteresovanými subjekty, které mohou mít vliv na určování priorit a uskutečňování cílů NAP. Tyto subjekty mohou mít různé role (řídící, koordinační a výkonné, konzultační nebo poradní, mediální, apod.).</w:t>
      </w:r>
    </w:p>
    <w:p w14:paraId="1AC476BE" w14:textId="332DE60B" w:rsidR="00CB2594" w:rsidRPr="007434DA" w:rsidRDefault="00BE5B6F" w:rsidP="00F61044">
      <w:pPr>
        <w:pStyle w:val="UZEINormaln"/>
      </w:pPr>
      <w:r>
        <w:t>D</w:t>
      </w:r>
      <w:r w:rsidR="00CB2594" w:rsidRPr="007434DA">
        <w:t>ruh</w:t>
      </w:r>
      <w:r>
        <w:t>ý</w:t>
      </w:r>
      <w:r w:rsidR="00CB2594" w:rsidRPr="007434DA">
        <w:t xml:space="preserve"> Národní akční plán NAP na období 2018</w:t>
      </w:r>
      <w:r w:rsidR="00CB2594" w:rsidRPr="007434DA">
        <w:noBreakHyphen/>
        <w:t xml:space="preserve">2022, </w:t>
      </w:r>
      <w:r>
        <w:t xml:space="preserve">zahrnuje </w:t>
      </w:r>
      <w:r w:rsidR="00CB2594" w:rsidRPr="007434DA">
        <w:t>v souladu s identifikovanými národními potřebami i mezinárodními doporučeními oblast humánní medicíny, veterinární medicíny i otázky životního prostředí. Mezi hlavní cíle NAP pro období 2018–2022 patří zejména monitoring antibiotické rezistence, zodpovědné používání antibiotik, preventivní opatření a kontrola infekcí, podpora výzkumu a vývoje aj.</w:t>
      </w:r>
    </w:p>
    <w:p w14:paraId="7E0C2A6A" w14:textId="77777777" w:rsidR="00CB2594" w:rsidRPr="007434DA" w:rsidRDefault="00CB2594" w:rsidP="00F61044">
      <w:pPr>
        <w:pStyle w:val="UZEINormaln"/>
      </w:pPr>
      <w:r w:rsidRPr="007434DA">
        <w:t>Akční plán Národního antibiotického programu pro období 2011 – 2013</w:t>
      </w:r>
      <w:r w:rsidRPr="007434DA">
        <w:rPr>
          <w:rStyle w:val="Znakapoznpodarou"/>
          <w:rFonts w:ascii="Arial" w:hAnsi="Arial" w:cs="Arial"/>
          <w:sz w:val="20"/>
          <w:szCs w:val="20"/>
        </w:rPr>
        <w:footnoteReference w:id="51"/>
      </w:r>
      <w:r w:rsidRPr="007434DA">
        <w:t xml:space="preserve"> vypracovaný Ministerstvem zdravotnictví vedl k řadě praktických výstupů, například ustavení Pracovní skupiny pro antimikrobika při MZe, zahájení některých výzkumných projektů s publikovanými výstupy a v návaznosti na ně, k zahájení Národního programu sledování rezistencí k antimikrobikům u veterinárně významných patogenů (od roku 2015), který poskytuje cenné výsledky pro veterinární i chovatelskou praxi i pro úřední místa odpovědná za definování antibiotické politiky. </w:t>
      </w:r>
    </w:p>
    <w:p w14:paraId="33C42B15" w14:textId="77777777" w:rsidR="00CB2594" w:rsidRPr="007434DA" w:rsidRDefault="00CB2594" w:rsidP="00F61044">
      <w:pPr>
        <w:pStyle w:val="UZEINormaln"/>
      </w:pPr>
      <w:r w:rsidRPr="007434DA">
        <w:t>V České republice jsou rámci národních podpor (state aid) prostřednictvím Programu 8 Nákazový fond</w:t>
      </w:r>
      <w:r w:rsidRPr="007434DA">
        <w:rPr>
          <w:vertAlign w:val="superscript"/>
        </w:rPr>
        <w:footnoteReference w:id="52"/>
      </w:r>
      <w:r w:rsidRPr="007434DA">
        <w:t xml:space="preserve"> podporovány činnosti zaměřené na ozdravení chovů prasat a drůbeže. Program je zaměřen na podporu činností souvisejících s plněním Ozdravovacího programu VNP schváleného příslušnou </w:t>
      </w:r>
      <w:bookmarkStart w:id="249" w:name="_Hlk524079482"/>
      <w:r w:rsidRPr="007434DA">
        <w:t>KVS SVS proti rozšiřování chorob prasat (PRRS-resirační a reprodukční syndrom) a nákaz drůbeže (salmonely, aviární influenzy, campylobaktery)</w:t>
      </w:r>
      <w:bookmarkEnd w:id="249"/>
      <w:r w:rsidRPr="007434DA">
        <w:t>. V roce 2016 byl ukončen národní program na ozdravení skotu od IBR</w:t>
      </w:r>
      <w:r w:rsidRPr="007434DA">
        <w:rPr>
          <w:vertAlign w:val="superscript"/>
        </w:rPr>
        <w:footnoteReference w:id="53"/>
      </w:r>
      <w:r w:rsidRPr="007434DA">
        <w:t>.</w:t>
      </w:r>
    </w:p>
    <w:p w14:paraId="07B580CD" w14:textId="77777777" w:rsidR="00CB2594" w:rsidRPr="007434DA" w:rsidRDefault="00CB2594" w:rsidP="00F61044">
      <w:pPr>
        <w:pStyle w:val="UZEINormaln"/>
      </w:pPr>
      <w:r w:rsidRPr="007434DA">
        <w:t xml:space="preserve">Základní očkovacího schéma, které je v ČR pro chovatele nepovinné a není subvencované, je většinou prováděné ve vybraných kategoriích prasat (prasničky, prasnice, selata) a drůbeže (narozená kuřata brojlerů, užitkové chovy nosnic, rodičovské páry). Nemoci, proti nimž se v České republice běžně používají vakcíny u drůbeže jsou: Infekční bronchitida, Markova choroba, infekční burzitida, adenovirus, kokcidióza, Newcastelská choroba, infekční anémie, voliérová encefalomyelitida, reovirus, pneumovirus. V chovech prasat sem náleží escherichia coli, </w:t>
      </w:r>
      <w:r w:rsidRPr="007434DA">
        <w:rPr>
          <w:bCs/>
        </w:rPr>
        <w:t>erysipely a parvoviróza.</w:t>
      </w:r>
    </w:p>
    <w:p w14:paraId="3D142A11" w14:textId="46845972" w:rsidR="00CB2594" w:rsidRPr="007434DA" w:rsidRDefault="00F61044" w:rsidP="00F61044">
      <w:pPr>
        <w:spacing w:after="160" w:line="259" w:lineRule="auto"/>
        <w:jc w:val="left"/>
        <w:rPr>
          <w:rFonts w:ascii="Arial" w:eastAsia="Times New Roman" w:hAnsi="Arial" w:cs="Arial"/>
          <w:sz w:val="20"/>
          <w:szCs w:val="20"/>
          <w:lang w:val="cs-CZ" w:eastAsia="cs-CZ"/>
        </w:rPr>
      </w:pPr>
      <w:r w:rsidRPr="007434DA">
        <w:rPr>
          <w:rFonts w:ascii="Arial" w:eastAsia="Times New Roman" w:hAnsi="Arial" w:cs="Arial"/>
          <w:sz w:val="20"/>
          <w:szCs w:val="20"/>
          <w:lang w:val="cs-CZ" w:eastAsia="cs-CZ"/>
        </w:rPr>
        <w:br w:type="page"/>
      </w:r>
    </w:p>
    <w:p w14:paraId="036303A7" w14:textId="368BD429" w:rsidR="00CB2594" w:rsidRPr="007434DA" w:rsidRDefault="00CB2594" w:rsidP="00CB2594">
      <w:pPr>
        <w:pStyle w:val="Nadpis1"/>
      </w:pPr>
      <w:bookmarkStart w:id="250" w:name="_Toc524093565"/>
      <w:bookmarkStart w:id="251" w:name="_Toc12613434"/>
      <w:bookmarkStart w:id="252" w:name="_Toc80877884"/>
      <w:bookmarkStart w:id="253" w:name="_Toc81755627"/>
      <w:r w:rsidRPr="007434DA">
        <w:t xml:space="preserve">Detailnější </w:t>
      </w:r>
      <w:r w:rsidR="00F61044" w:rsidRPr="007434DA">
        <w:t>p</w:t>
      </w:r>
      <w:r w:rsidRPr="007434DA">
        <w:t>osouzení vlivu předpisů</w:t>
      </w:r>
      <w:bookmarkEnd w:id="250"/>
      <w:bookmarkEnd w:id="251"/>
      <w:bookmarkEnd w:id="252"/>
      <w:bookmarkEnd w:id="253"/>
    </w:p>
    <w:p w14:paraId="088FD08C" w14:textId="77777777" w:rsidR="00CB2594" w:rsidRPr="007434DA" w:rsidRDefault="00CB2594" w:rsidP="00F61044">
      <w:pPr>
        <w:pStyle w:val="UZEINormaln"/>
      </w:pPr>
      <w:r w:rsidRPr="007434DA">
        <w:t>Z oblasti možného vlivu předpisů lze uvést například následující skutečnosti:</w:t>
      </w:r>
    </w:p>
    <w:p w14:paraId="10404B27" w14:textId="77777777" w:rsidR="00CB2594" w:rsidRPr="007434DA" w:rsidRDefault="00CB2594" w:rsidP="00F61044">
      <w:pPr>
        <w:pStyle w:val="UZEIOdrky"/>
      </w:pPr>
      <w:r w:rsidRPr="007434DA">
        <w:t>Dlouhodobě stabilní systém sledování celkových prodejů antimikrobik v ČR z úrovně distributorů a mícháren medikovaných krmiv, který je legislativně podložen zákonem o léčivech (povinnost odevzdávat národní autoritě – ÚSKVBL data o prodejích veterinárních léčivých přípravků).</w:t>
      </w:r>
    </w:p>
    <w:p w14:paraId="0D8FC4CD" w14:textId="77777777" w:rsidR="00CB2594" w:rsidRPr="007434DA" w:rsidRDefault="00CB2594" w:rsidP="00F61044">
      <w:pPr>
        <w:pStyle w:val="UZEIOdrky"/>
      </w:pPr>
      <w:r w:rsidRPr="007434DA">
        <w:t>ČR má v rámci EU zaveden vcelku unikátní systém GMP (správná výrobní praxe) pro výrobu medikovaných krmiv (=medikovaných léčivy, včetně antibiotik). Systémy výroby jsou licencovány (ÚSKVBL) a kontrolovány ÚSKVBL, ve spolupráci s ÚKZUZ, je prováděna kontrola provozů (systémy HACCP). Dále je nastavena i laboratorní kontrola, aby nedocházelo ke křížové kontaminaci krmiv, která mají být „čistá“ a nemají obsahovat ani zbytky léčiv.</w:t>
      </w:r>
    </w:p>
    <w:p w14:paraId="5F7DB7B3" w14:textId="77777777" w:rsidR="00CB2594" w:rsidRPr="007434DA" w:rsidRDefault="00CB2594" w:rsidP="00F61044">
      <w:pPr>
        <w:pStyle w:val="UZEIOdrky"/>
      </w:pPr>
      <w:r w:rsidRPr="007434DA">
        <w:t>Je nastaven systém monitoringu reziduí cizorodých látek (v návaznosti na platnou EU legislativu), kompetence SVS (tzv. povolené látky) a ÚSKVBL (tzv. laboratorní sledování reziduí tzv. zakázaných látek (návaznost na nařízení 37/2010).</w:t>
      </w:r>
    </w:p>
    <w:p w14:paraId="74FD35F3" w14:textId="77777777" w:rsidR="00CB2594" w:rsidRPr="007434DA" w:rsidRDefault="00CB2594" w:rsidP="00F61044">
      <w:pPr>
        <w:pStyle w:val="UZEIOdrky"/>
      </w:pPr>
      <w:r w:rsidRPr="007434DA">
        <w:t xml:space="preserve">Je nastaven systém monitoringu rezistence k antimikrobikům u zoonotických, indikátorových a komensálních mikroorganismů (v návaznosti na platnou legislativu EU). </w:t>
      </w:r>
    </w:p>
    <w:p w14:paraId="310BA902" w14:textId="0FC9C2AF" w:rsidR="00CB2594" w:rsidRPr="007434DA" w:rsidRDefault="00CB2594" w:rsidP="00F61044">
      <w:pPr>
        <w:pStyle w:val="UZEIOdrky"/>
      </w:pPr>
      <w:r w:rsidRPr="007434DA">
        <w:t xml:space="preserve">Zajištění zdraví zvířat a bezpečnosti potravinového řetězce podporují požadavky na dodržování pravidel podmíněnosti (Cross Compliance) stanovené na základě nařízení Evropského parlamentu a Rady (ES) č. 178/2002, kterým se stanoví obecné zásady a požadavky potravinového práva (kondicionalita PPH 5) a směrnice Rady 96/22/ES o zákazu používání některých látek s hormonálním a tyreostatickým účinkem a beta-sympatomimetik v chovech zvířat (kondicionalita PPH 6) pro téma kontrol podmíněnosti – Veřejné zdraví, zdraví zvířat a zdraví rostlin. Požadavky se týkají udržení nezávadnosti krmiv, kontrol produkce živočišného původu a dodržování zákazu podávání zvířatům látek a přípravků, jejichž používání u hospodářských zvířat nebo u zvířat, jejichž produkty jsou určeny k výživě lidí, není povoleno. Počet kontrol podmíněnosti provedených Státní veterinární správou v letech 2015–2017 je shrnut v tabulce </w:t>
      </w:r>
      <w:r w:rsidR="00BE5B6F">
        <w:t>19</w:t>
      </w:r>
      <w:r w:rsidRPr="007434DA">
        <w:t xml:space="preserve">. V roce 2017 byly plánovány a provedeny kontroly v oblasti bezpečnosti potravin (72 kontrol), v oblasti používání veterinárních léčivých prostředků (59 kontrol) a v oblasti zdraví zvířat (50 kontrol), přičemž závady byly zjištěny v 16 případech vztahujících se ke kontrole podmíněnosti v oblasti bezpečnosti potravin. </w:t>
      </w:r>
    </w:p>
    <w:p w14:paraId="275F83C6" w14:textId="77777777" w:rsidR="00CB2594" w:rsidRPr="007434DA" w:rsidRDefault="00CB2594" w:rsidP="00F61044">
      <w:pPr>
        <w:pStyle w:val="UZEIOdrky"/>
        <w:rPr>
          <w:b/>
          <w:bCs/>
          <w:sz w:val="20"/>
          <w:szCs w:val="20"/>
        </w:rPr>
      </w:pPr>
      <w:r w:rsidRPr="007434DA">
        <w:rPr>
          <w:b/>
          <w:bCs/>
          <w:sz w:val="20"/>
          <w:szCs w:val="20"/>
        </w:rPr>
        <w:br w:type="page"/>
      </w:r>
    </w:p>
    <w:p w14:paraId="164F18CD" w14:textId="5AB76112" w:rsidR="00CB2594" w:rsidRPr="007434DA" w:rsidRDefault="00CB2594" w:rsidP="007434DA">
      <w:pPr>
        <w:pStyle w:val="UZEITaB"/>
        <w:ind w:left="1134" w:hanging="1134"/>
      </w:pPr>
      <w:bookmarkStart w:id="254" w:name="_Toc12466348"/>
      <w:bookmarkStart w:id="255" w:name="_Toc12611769"/>
      <w:bookmarkStart w:id="256" w:name="_Toc12613435"/>
      <w:bookmarkStart w:id="257" w:name="_Toc80877885"/>
      <w:bookmarkStart w:id="258" w:name="_Toc94095292"/>
      <w:r w:rsidRPr="007434DA">
        <w:t>Kontroly podmíněnosti provedené v letech 2015 - 2017</w:t>
      </w:r>
      <w:bookmarkEnd w:id="254"/>
      <w:bookmarkEnd w:id="255"/>
      <w:bookmarkEnd w:id="256"/>
      <w:bookmarkEnd w:id="257"/>
      <w:bookmarkEnd w:id="258"/>
    </w:p>
    <w:tbl>
      <w:tblPr>
        <w:tblW w:w="8921" w:type="dxa"/>
        <w:tblInd w:w="-5" w:type="dxa"/>
        <w:tblCellMar>
          <w:left w:w="70" w:type="dxa"/>
          <w:right w:w="70" w:type="dxa"/>
        </w:tblCellMar>
        <w:tblLook w:val="04A0" w:firstRow="1" w:lastRow="0" w:firstColumn="1" w:lastColumn="0" w:noHBand="0" w:noVBand="1"/>
      </w:tblPr>
      <w:tblGrid>
        <w:gridCol w:w="4243"/>
        <w:gridCol w:w="1559"/>
        <w:gridCol w:w="1559"/>
        <w:gridCol w:w="1560"/>
      </w:tblGrid>
      <w:tr w:rsidR="00CB2594" w:rsidRPr="007434DA" w14:paraId="57C518B3" w14:textId="77777777" w:rsidTr="004A57B3">
        <w:trPr>
          <w:trHeight w:val="300"/>
        </w:trPr>
        <w:tc>
          <w:tcPr>
            <w:tcW w:w="4243" w:type="dxa"/>
            <w:vMerge w:val="restart"/>
            <w:tcBorders>
              <w:top w:val="double" w:sz="4" w:space="0" w:color="auto"/>
              <w:left w:val="double" w:sz="4" w:space="0" w:color="auto"/>
              <w:bottom w:val="single" w:sz="4" w:space="0" w:color="auto"/>
              <w:right w:val="single" w:sz="4" w:space="0" w:color="auto"/>
            </w:tcBorders>
            <w:shd w:val="clear" w:color="auto" w:fill="auto"/>
            <w:noWrap/>
            <w:vAlign w:val="center"/>
            <w:hideMark/>
          </w:tcPr>
          <w:p w14:paraId="73772A17" w14:textId="77777777" w:rsidR="00CB2594" w:rsidRPr="007434DA" w:rsidRDefault="00CB2594" w:rsidP="004A57B3">
            <w:pPr>
              <w:rPr>
                <w:rFonts w:eastAsia="Times New Roman" w:cs="Times New Roman"/>
                <w:b/>
                <w:bCs/>
                <w:color w:val="000000"/>
                <w:sz w:val="20"/>
                <w:szCs w:val="20"/>
                <w:lang w:val="cs-CZ" w:eastAsia="cs-CZ"/>
              </w:rPr>
            </w:pPr>
            <w:r w:rsidRPr="007434DA">
              <w:rPr>
                <w:rFonts w:eastAsia="Times New Roman" w:cs="Times New Roman"/>
                <w:b/>
                <w:bCs/>
                <w:color w:val="000000"/>
                <w:sz w:val="20"/>
                <w:szCs w:val="20"/>
                <w:lang w:val="cs-CZ" w:eastAsia="cs-CZ"/>
              </w:rPr>
              <w:t>Oblast</w:t>
            </w:r>
          </w:p>
        </w:tc>
        <w:tc>
          <w:tcPr>
            <w:tcW w:w="4678" w:type="dxa"/>
            <w:gridSpan w:val="3"/>
            <w:tcBorders>
              <w:top w:val="double" w:sz="4" w:space="0" w:color="auto"/>
              <w:left w:val="nil"/>
              <w:bottom w:val="single" w:sz="4" w:space="0" w:color="auto"/>
              <w:right w:val="double" w:sz="4" w:space="0" w:color="auto"/>
            </w:tcBorders>
            <w:shd w:val="clear" w:color="auto" w:fill="auto"/>
            <w:noWrap/>
            <w:vAlign w:val="center"/>
            <w:hideMark/>
          </w:tcPr>
          <w:p w14:paraId="3D96A858" w14:textId="77777777" w:rsidR="00CB2594" w:rsidRPr="007434DA" w:rsidRDefault="00CB2594" w:rsidP="004A57B3">
            <w:pPr>
              <w:jc w:val="center"/>
              <w:rPr>
                <w:rFonts w:eastAsia="Times New Roman" w:cs="Times New Roman"/>
                <w:b/>
                <w:bCs/>
                <w:color w:val="000000"/>
                <w:sz w:val="20"/>
                <w:szCs w:val="20"/>
                <w:lang w:val="cs-CZ" w:eastAsia="cs-CZ"/>
              </w:rPr>
            </w:pPr>
            <w:r w:rsidRPr="007434DA">
              <w:rPr>
                <w:rFonts w:eastAsia="Times New Roman" w:cs="Times New Roman"/>
                <w:b/>
                <w:bCs/>
                <w:color w:val="000000"/>
                <w:sz w:val="20"/>
                <w:szCs w:val="20"/>
                <w:lang w:val="cs-CZ" w:eastAsia="cs-CZ"/>
              </w:rPr>
              <w:t>Počet kontrol/počet závad</w:t>
            </w:r>
          </w:p>
        </w:tc>
      </w:tr>
      <w:tr w:rsidR="00CB2594" w:rsidRPr="007434DA" w14:paraId="0653810A" w14:textId="77777777" w:rsidTr="004A57B3">
        <w:trPr>
          <w:trHeight w:val="300"/>
        </w:trPr>
        <w:tc>
          <w:tcPr>
            <w:tcW w:w="4243" w:type="dxa"/>
            <w:vMerge/>
            <w:tcBorders>
              <w:top w:val="single" w:sz="4" w:space="0" w:color="auto"/>
              <w:left w:val="double" w:sz="4" w:space="0" w:color="auto"/>
              <w:bottom w:val="single" w:sz="4" w:space="0" w:color="auto"/>
              <w:right w:val="single" w:sz="4" w:space="0" w:color="auto"/>
            </w:tcBorders>
            <w:vAlign w:val="center"/>
            <w:hideMark/>
          </w:tcPr>
          <w:p w14:paraId="3F5177F9" w14:textId="77777777" w:rsidR="00CB2594" w:rsidRPr="007434DA" w:rsidRDefault="00CB2594" w:rsidP="004A57B3">
            <w:pPr>
              <w:rPr>
                <w:rFonts w:eastAsia="Times New Roman" w:cs="Times New Roman"/>
                <w:b/>
                <w:bCs/>
                <w:color w:val="000000"/>
                <w:sz w:val="20"/>
                <w:szCs w:val="20"/>
                <w:lang w:val="cs-CZ" w:eastAsia="cs-CZ"/>
              </w:rPr>
            </w:pPr>
          </w:p>
        </w:tc>
        <w:tc>
          <w:tcPr>
            <w:tcW w:w="1559" w:type="dxa"/>
            <w:tcBorders>
              <w:top w:val="nil"/>
              <w:left w:val="nil"/>
              <w:bottom w:val="single" w:sz="4" w:space="0" w:color="auto"/>
              <w:right w:val="single" w:sz="4" w:space="0" w:color="auto"/>
            </w:tcBorders>
            <w:shd w:val="clear" w:color="auto" w:fill="auto"/>
            <w:noWrap/>
            <w:vAlign w:val="center"/>
            <w:hideMark/>
          </w:tcPr>
          <w:p w14:paraId="33746958" w14:textId="77777777" w:rsidR="00CB2594" w:rsidRPr="007434DA" w:rsidRDefault="00CB2594" w:rsidP="004A57B3">
            <w:pPr>
              <w:jc w:val="center"/>
              <w:rPr>
                <w:rFonts w:eastAsia="Times New Roman" w:cs="Times New Roman"/>
                <w:b/>
                <w:bCs/>
                <w:color w:val="000000"/>
                <w:sz w:val="20"/>
                <w:szCs w:val="20"/>
                <w:lang w:val="cs-CZ" w:eastAsia="cs-CZ"/>
              </w:rPr>
            </w:pPr>
            <w:r w:rsidRPr="007434DA">
              <w:rPr>
                <w:rFonts w:eastAsia="Times New Roman" w:cs="Times New Roman"/>
                <w:b/>
                <w:bCs/>
                <w:color w:val="000000"/>
                <w:sz w:val="20"/>
                <w:szCs w:val="20"/>
                <w:lang w:val="cs-CZ" w:eastAsia="cs-CZ"/>
              </w:rPr>
              <w:t>2015</w:t>
            </w:r>
          </w:p>
        </w:tc>
        <w:tc>
          <w:tcPr>
            <w:tcW w:w="1559" w:type="dxa"/>
            <w:tcBorders>
              <w:top w:val="nil"/>
              <w:left w:val="nil"/>
              <w:bottom w:val="single" w:sz="4" w:space="0" w:color="auto"/>
              <w:right w:val="single" w:sz="4" w:space="0" w:color="auto"/>
            </w:tcBorders>
            <w:shd w:val="clear" w:color="auto" w:fill="auto"/>
            <w:noWrap/>
            <w:vAlign w:val="center"/>
            <w:hideMark/>
          </w:tcPr>
          <w:p w14:paraId="13FA1F4D" w14:textId="77777777" w:rsidR="00CB2594" w:rsidRPr="007434DA" w:rsidRDefault="00CB2594" w:rsidP="004A57B3">
            <w:pPr>
              <w:jc w:val="center"/>
              <w:rPr>
                <w:rFonts w:eastAsia="Times New Roman" w:cs="Times New Roman"/>
                <w:b/>
                <w:bCs/>
                <w:color w:val="000000"/>
                <w:sz w:val="20"/>
                <w:szCs w:val="20"/>
                <w:lang w:val="cs-CZ" w:eastAsia="cs-CZ"/>
              </w:rPr>
            </w:pPr>
            <w:r w:rsidRPr="007434DA">
              <w:rPr>
                <w:rFonts w:eastAsia="Times New Roman" w:cs="Times New Roman"/>
                <w:b/>
                <w:bCs/>
                <w:color w:val="000000"/>
                <w:sz w:val="20"/>
                <w:szCs w:val="20"/>
                <w:lang w:val="cs-CZ" w:eastAsia="cs-CZ"/>
              </w:rPr>
              <w:t>2016</w:t>
            </w:r>
          </w:p>
        </w:tc>
        <w:tc>
          <w:tcPr>
            <w:tcW w:w="1560" w:type="dxa"/>
            <w:tcBorders>
              <w:top w:val="nil"/>
              <w:left w:val="nil"/>
              <w:bottom w:val="single" w:sz="4" w:space="0" w:color="auto"/>
              <w:right w:val="double" w:sz="4" w:space="0" w:color="auto"/>
            </w:tcBorders>
            <w:shd w:val="clear" w:color="auto" w:fill="auto"/>
            <w:noWrap/>
            <w:vAlign w:val="center"/>
            <w:hideMark/>
          </w:tcPr>
          <w:p w14:paraId="7D8F87A3" w14:textId="77777777" w:rsidR="00CB2594" w:rsidRPr="007434DA" w:rsidRDefault="00CB2594" w:rsidP="004A57B3">
            <w:pPr>
              <w:jc w:val="center"/>
              <w:rPr>
                <w:rFonts w:eastAsia="Times New Roman" w:cs="Times New Roman"/>
                <w:b/>
                <w:bCs/>
                <w:color w:val="000000"/>
                <w:sz w:val="20"/>
                <w:szCs w:val="20"/>
                <w:lang w:val="cs-CZ" w:eastAsia="cs-CZ"/>
              </w:rPr>
            </w:pPr>
            <w:r w:rsidRPr="007434DA">
              <w:rPr>
                <w:rFonts w:eastAsia="Times New Roman" w:cs="Times New Roman"/>
                <w:b/>
                <w:bCs/>
                <w:color w:val="000000"/>
                <w:sz w:val="20"/>
                <w:szCs w:val="20"/>
                <w:lang w:val="cs-CZ" w:eastAsia="cs-CZ"/>
              </w:rPr>
              <w:t>2017</w:t>
            </w:r>
          </w:p>
        </w:tc>
      </w:tr>
      <w:tr w:rsidR="00CB2594" w:rsidRPr="007434DA" w14:paraId="1BFCC10B" w14:textId="77777777" w:rsidTr="004A57B3">
        <w:trPr>
          <w:trHeight w:val="510"/>
        </w:trPr>
        <w:tc>
          <w:tcPr>
            <w:tcW w:w="4243" w:type="dxa"/>
            <w:tcBorders>
              <w:top w:val="nil"/>
              <w:left w:val="double" w:sz="4" w:space="0" w:color="auto"/>
              <w:bottom w:val="single" w:sz="4" w:space="0" w:color="auto"/>
              <w:right w:val="single" w:sz="4" w:space="0" w:color="auto"/>
            </w:tcBorders>
            <w:shd w:val="clear" w:color="auto" w:fill="auto"/>
            <w:vAlign w:val="center"/>
            <w:hideMark/>
          </w:tcPr>
          <w:p w14:paraId="4C8A03D2" w14:textId="77777777" w:rsidR="00CB2594" w:rsidRPr="007434DA" w:rsidRDefault="00CB2594" w:rsidP="004A57B3">
            <w:pPr>
              <w:rPr>
                <w:rFonts w:eastAsia="Times New Roman" w:cs="Times New Roman"/>
                <w:b/>
                <w:bCs/>
                <w:color w:val="000000"/>
                <w:sz w:val="20"/>
                <w:szCs w:val="20"/>
                <w:lang w:val="cs-CZ" w:eastAsia="cs-CZ"/>
              </w:rPr>
            </w:pPr>
            <w:r w:rsidRPr="007434DA">
              <w:rPr>
                <w:rFonts w:eastAsia="Times New Roman" w:cs="Times New Roman"/>
                <w:b/>
                <w:bCs/>
                <w:color w:val="000000"/>
                <w:sz w:val="20"/>
                <w:szCs w:val="20"/>
                <w:lang w:val="cs-CZ" w:eastAsia="cs-CZ"/>
              </w:rPr>
              <w:t>Kontrola podmíněnosti  - bezpečnost potravin</w:t>
            </w:r>
          </w:p>
        </w:tc>
        <w:tc>
          <w:tcPr>
            <w:tcW w:w="1559" w:type="dxa"/>
            <w:tcBorders>
              <w:top w:val="nil"/>
              <w:left w:val="nil"/>
              <w:bottom w:val="single" w:sz="4" w:space="0" w:color="auto"/>
              <w:right w:val="single" w:sz="4" w:space="0" w:color="auto"/>
            </w:tcBorders>
            <w:shd w:val="clear" w:color="auto" w:fill="auto"/>
            <w:noWrap/>
            <w:vAlign w:val="center"/>
            <w:hideMark/>
          </w:tcPr>
          <w:p w14:paraId="65C1690D" w14:textId="77777777" w:rsidR="00CB2594" w:rsidRPr="007434DA" w:rsidRDefault="00CB2594" w:rsidP="00D40914">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64/8</w:t>
            </w:r>
          </w:p>
        </w:tc>
        <w:tc>
          <w:tcPr>
            <w:tcW w:w="1559" w:type="dxa"/>
            <w:tcBorders>
              <w:top w:val="nil"/>
              <w:left w:val="nil"/>
              <w:bottom w:val="single" w:sz="4" w:space="0" w:color="auto"/>
              <w:right w:val="single" w:sz="4" w:space="0" w:color="auto"/>
            </w:tcBorders>
            <w:shd w:val="clear" w:color="auto" w:fill="auto"/>
            <w:noWrap/>
            <w:vAlign w:val="center"/>
            <w:hideMark/>
          </w:tcPr>
          <w:p w14:paraId="47E808CA" w14:textId="77777777" w:rsidR="00CB2594" w:rsidRPr="007434DA" w:rsidRDefault="00CB2594" w:rsidP="00D40914">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74/14</w:t>
            </w:r>
          </w:p>
        </w:tc>
        <w:tc>
          <w:tcPr>
            <w:tcW w:w="1560" w:type="dxa"/>
            <w:tcBorders>
              <w:top w:val="nil"/>
              <w:left w:val="nil"/>
              <w:bottom w:val="single" w:sz="4" w:space="0" w:color="auto"/>
              <w:right w:val="double" w:sz="4" w:space="0" w:color="auto"/>
            </w:tcBorders>
            <w:shd w:val="clear" w:color="auto" w:fill="auto"/>
            <w:noWrap/>
            <w:vAlign w:val="center"/>
            <w:hideMark/>
          </w:tcPr>
          <w:p w14:paraId="2BA60AE5" w14:textId="77777777" w:rsidR="00CB2594" w:rsidRPr="007434DA" w:rsidRDefault="00CB2594" w:rsidP="00D40914">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72/16</w:t>
            </w:r>
          </w:p>
        </w:tc>
      </w:tr>
      <w:tr w:rsidR="00CB2594" w:rsidRPr="007434DA" w14:paraId="107DD462" w14:textId="77777777" w:rsidTr="004A57B3">
        <w:trPr>
          <w:trHeight w:val="510"/>
        </w:trPr>
        <w:tc>
          <w:tcPr>
            <w:tcW w:w="4243" w:type="dxa"/>
            <w:tcBorders>
              <w:top w:val="nil"/>
              <w:left w:val="double" w:sz="4" w:space="0" w:color="auto"/>
              <w:bottom w:val="single" w:sz="4" w:space="0" w:color="auto"/>
              <w:right w:val="single" w:sz="4" w:space="0" w:color="auto"/>
            </w:tcBorders>
            <w:shd w:val="clear" w:color="auto" w:fill="auto"/>
            <w:vAlign w:val="center"/>
            <w:hideMark/>
          </w:tcPr>
          <w:p w14:paraId="4A869245" w14:textId="77777777" w:rsidR="00CB2594" w:rsidRPr="007434DA" w:rsidRDefault="00CB2594" w:rsidP="004A57B3">
            <w:pPr>
              <w:rPr>
                <w:rFonts w:eastAsia="Times New Roman" w:cs="Times New Roman"/>
                <w:b/>
                <w:bCs/>
                <w:color w:val="000000"/>
                <w:sz w:val="20"/>
                <w:szCs w:val="20"/>
                <w:lang w:val="cs-CZ" w:eastAsia="cs-CZ"/>
              </w:rPr>
            </w:pPr>
            <w:r w:rsidRPr="007434DA">
              <w:rPr>
                <w:rFonts w:eastAsia="Times New Roman" w:cs="Times New Roman"/>
                <w:b/>
                <w:bCs/>
                <w:color w:val="000000"/>
                <w:sz w:val="20"/>
                <w:szCs w:val="20"/>
                <w:lang w:val="cs-CZ" w:eastAsia="cs-CZ"/>
              </w:rPr>
              <w:t>Kontrola podmíněností - zdraví zvířat</w:t>
            </w:r>
          </w:p>
        </w:tc>
        <w:tc>
          <w:tcPr>
            <w:tcW w:w="1559" w:type="dxa"/>
            <w:tcBorders>
              <w:top w:val="nil"/>
              <w:left w:val="nil"/>
              <w:bottom w:val="single" w:sz="4" w:space="0" w:color="auto"/>
              <w:right w:val="single" w:sz="4" w:space="0" w:color="auto"/>
            </w:tcBorders>
            <w:shd w:val="clear" w:color="auto" w:fill="auto"/>
            <w:noWrap/>
            <w:vAlign w:val="center"/>
            <w:hideMark/>
          </w:tcPr>
          <w:p w14:paraId="27A641A7" w14:textId="77777777" w:rsidR="00CB2594" w:rsidRPr="007434DA" w:rsidRDefault="00CB2594" w:rsidP="00D40914">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60/0</w:t>
            </w:r>
          </w:p>
        </w:tc>
        <w:tc>
          <w:tcPr>
            <w:tcW w:w="1559" w:type="dxa"/>
            <w:tcBorders>
              <w:top w:val="nil"/>
              <w:left w:val="nil"/>
              <w:bottom w:val="single" w:sz="4" w:space="0" w:color="auto"/>
              <w:right w:val="single" w:sz="4" w:space="0" w:color="auto"/>
            </w:tcBorders>
            <w:shd w:val="clear" w:color="auto" w:fill="auto"/>
            <w:noWrap/>
            <w:vAlign w:val="center"/>
            <w:hideMark/>
          </w:tcPr>
          <w:p w14:paraId="30315C51" w14:textId="77777777" w:rsidR="00CB2594" w:rsidRPr="007434DA" w:rsidRDefault="00CB2594" w:rsidP="00D40914">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53/0</w:t>
            </w:r>
          </w:p>
        </w:tc>
        <w:tc>
          <w:tcPr>
            <w:tcW w:w="1560" w:type="dxa"/>
            <w:tcBorders>
              <w:top w:val="nil"/>
              <w:left w:val="nil"/>
              <w:bottom w:val="single" w:sz="4" w:space="0" w:color="auto"/>
              <w:right w:val="double" w:sz="4" w:space="0" w:color="auto"/>
            </w:tcBorders>
            <w:shd w:val="clear" w:color="auto" w:fill="auto"/>
            <w:noWrap/>
            <w:vAlign w:val="center"/>
            <w:hideMark/>
          </w:tcPr>
          <w:p w14:paraId="70AF4F30" w14:textId="77777777" w:rsidR="00CB2594" w:rsidRPr="007434DA" w:rsidRDefault="00CB2594" w:rsidP="00D40914">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50/0</w:t>
            </w:r>
          </w:p>
        </w:tc>
      </w:tr>
      <w:tr w:rsidR="00CB2594" w:rsidRPr="007434DA" w14:paraId="4FDC08DF" w14:textId="77777777" w:rsidTr="004A57B3">
        <w:trPr>
          <w:trHeight w:val="765"/>
        </w:trPr>
        <w:tc>
          <w:tcPr>
            <w:tcW w:w="4243" w:type="dxa"/>
            <w:tcBorders>
              <w:top w:val="nil"/>
              <w:left w:val="double" w:sz="4" w:space="0" w:color="auto"/>
              <w:bottom w:val="double" w:sz="4" w:space="0" w:color="auto"/>
              <w:right w:val="single" w:sz="4" w:space="0" w:color="auto"/>
            </w:tcBorders>
            <w:shd w:val="clear" w:color="auto" w:fill="auto"/>
            <w:vAlign w:val="center"/>
            <w:hideMark/>
          </w:tcPr>
          <w:p w14:paraId="46497577" w14:textId="77777777" w:rsidR="00CB2594" w:rsidRPr="007434DA" w:rsidRDefault="00CB2594" w:rsidP="004A57B3">
            <w:pPr>
              <w:rPr>
                <w:rFonts w:eastAsia="Times New Roman" w:cs="Times New Roman"/>
                <w:b/>
                <w:bCs/>
                <w:color w:val="000000"/>
                <w:sz w:val="20"/>
                <w:szCs w:val="20"/>
                <w:lang w:val="cs-CZ" w:eastAsia="cs-CZ"/>
              </w:rPr>
            </w:pPr>
            <w:r w:rsidRPr="007434DA">
              <w:rPr>
                <w:rFonts w:eastAsia="Times New Roman" w:cs="Times New Roman"/>
                <w:b/>
                <w:bCs/>
                <w:color w:val="000000"/>
                <w:sz w:val="20"/>
                <w:szCs w:val="20"/>
                <w:lang w:val="cs-CZ" w:eastAsia="cs-CZ"/>
              </w:rPr>
              <w:t>Kontrola podmíněnosti - používání vet. léčivých prostředků</w:t>
            </w:r>
          </w:p>
        </w:tc>
        <w:tc>
          <w:tcPr>
            <w:tcW w:w="1559" w:type="dxa"/>
            <w:tcBorders>
              <w:top w:val="nil"/>
              <w:left w:val="nil"/>
              <w:bottom w:val="double" w:sz="4" w:space="0" w:color="auto"/>
              <w:right w:val="single" w:sz="4" w:space="0" w:color="auto"/>
            </w:tcBorders>
            <w:shd w:val="clear" w:color="auto" w:fill="auto"/>
            <w:noWrap/>
            <w:vAlign w:val="center"/>
            <w:hideMark/>
          </w:tcPr>
          <w:p w14:paraId="0B2C231C" w14:textId="77777777" w:rsidR="00CB2594" w:rsidRPr="007434DA" w:rsidRDefault="00CB2594" w:rsidP="00D40914">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46/0</w:t>
            </w:r>
          </w:p>
        </w:tc>
        <w:tc>
          <w:tcPr>
            <w:tcW w:w="1559" w:type="dxa"/>
            <w:tcBorders>
              <w:top w:val="nil"/>
              <w:left w:val="nil"/>
              <w:bottom w:val="double" w:sz="4" w:space="0" w:color="auto"/>
              <w:right w:val="single" w:sz="4" w:space="0" w:color="auto"/>
            </w:tcBorders>
            <w:shd w:val="clear" w:color="auto" w:fill="auto"/>
            <w:noWrap/>
            <w:vAlign w:val="center"/>
            <w:hideMark/>
          </w:tcPr>
          <w:p w14:paraId="374BAA96" w14:textId="77777777" w:rsidR="00CB2594" w:rsidRPr="007434DA" w:rsidRDefault="00CB2594" w:rsidP="00D40914">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47/0</w:t>
            </w:r>
          </w:p>
        </w:tc>
        <w:tc>
          <w:tcPr>
            <w:tcW w:w="1560" w:type="dxa"/>
            <w:tcBorders>
              <w:top w:val="nil"/>
              <w:left w:val="nil"/>
              <w:bottom w:val="double" w:sz="4" w:space="0" w:color="auto"/>
              <w:right w:val="double" w:sz="4" w:space="0" w:color="auto"/>
            </w:tcBorders>
            <w:shd w:val="clear" w:color="auto" w:fill="auto"/>
            <w:noWrap/>
            <w:vAlign w:val="center"/>
            <w:hideMark/>
          </w:tcPr>
          <w:p w14:paraId="6CDC05EB" w14:textId="77777777" w:rsidR="00CB2594" w:rsidRPr="007434DA" w:rsidRDefault="00CB2594" w:rsidP="00D40914">
            <w:pPr>
              <w:jc w:val="center"/>
              <w:rPr>
                <w:rFonts w:eastAsia="Times New Roman" w:cs="Times New Roman"/>
                <w:color w:val="000000"/>
                <w:sz w:val="20"/>
                <w:szCs w:val="20"/>
                <w:lang w:val="cs-CZ" w:eastAsia="cs-CZ"/>
              </w:rPr>
            </w:pPr>
            <w:r w:rsidRPr="007434DA">
              <w:rPr>
                <w:rFonts w:eastAsia="Times New Roman" w:cs="Times New Roman"/>
                <w:color w:val="000000"/>
                <w:sz w:val="20"/>
                <w:szCs w:val="20"/>
                <w:lang w:val="cs-CZ" w:eastAsia="cs-CZ"/>
              </w:rPr>
              <w:t>59/0</w:t>
            </w:r>
          </w:p>
        </w:tc>
      </w:tr>
    </w:tbl>
    <w:p w14:paraId="474D40A2" w14:textId="77777777" w:rsidR="00CB2594" w:rsidRPr="007434DA" w:rsidRDefault="00CB2594" w:rsidP="00BC33BC">
      <w:pPr>
        <w:pStyle w:val="UZEIZdroj"/>
      </w:pPr>
      <w:r w:rsidRPr="007434DA">
        <w:t>Pramen: ÚZEI podle údajů SVS</w:t>
      </w:r>
    </w:p>
    <w:p w14:paraId="79B556B9" w14:textId="77777777" w:rsidR="00CB2594" w:rsidRPr="007434DA" w:rsidRDefault="00CB2594" w:rsidP="00CB2594">
      <w:pPr>
        <w:ind w:left="360"/>
        <w:rPr>
          <w:rFonts w:ascii="Arial" w:hAnsi="Arial" w:cs="Arial"/>
          <w:sz w:val="20"/>
          <w:szCs w:val="20"/>
          <w:lang w:val="cs-CZ"/>
        </w:rPr>
      </w:pPr>
    </w:p>
    <w:p w14:paraId="3CCCE92C" w14:textId="77777777" w:rsidR="00CB2594" w:rsidRPr="007434DA" w:rsidRDefault="00CB2594" w:rsidP="00BC33BC">
      <w:pPr>
        <w:pStyle w:val="UZEINormaln"/>
      </w:pPr>
      <w:r w:rsidRPr="007434DA">
        <w:t>Nicméně prozatím chybí legislativní ukotvení (včetně alokace odpovídajících finančních prostředků do budoucna):</w:t>
      </w:r>
    </w:p>
    <w:p w14:paraId="1C1A2177" w14:textId="77777777" w:rsidR="00CB2594" w:rsidRPr="007434DA" w:rsidRDefault="00CB2594" w:rsidP="00BC33BC">
      <w:pPr>
        <w:pStyle w:val="UZEIOdrky"/>
      </w:pPr>
      <w:r w:rsidRPr="007434DA">
        <w:t>Shromažďování a analýza dat o používání antimikrobik na úrovni druhů a kategorií zvířat (sběr prostřednictvím údajů poskytovaných chovateli/veterinárními lékaři).</w:t>
      </w:r>
    </w:p>
    <w:p w14:paraId="7AA5FC03" w14:textId="19A650C0" w:rsidR="00CB2594" w:rsidRPr="007434DA" w:rsidRDefault="00CB2594" w:rsidP="00CB2594">
      <w:pPr>
        <w:pStyle w:val="UZEIOdrky"/>
      </w:pPr>
      <w:r w:rsidRPr="007434DA">
        <w:t>Monitoringu cílových patogenů s veterinárním významem.</w:t>
      </w:r>
    </w:p>
    <w:p w14:paraId="4CC20283" w14:textId="1F128174" w:rsidR="00BC33BC" w:rsidRPr="007434DA" w:rsidRDefault="00CB2594" w:rsidP="00BC33BC">
      <w:pPr>
        <w:pStyle w:val="UZEINormaln"/>
      </w:pPr>
      <w:r w:rsidRPr="007434DA">
        <w:t>K minimalizaci negativních dopadů a maximálnímu využití potenciálu problematiky tlumení AMR je proto nutné využít všech dalších navazujících právních předpisů, které upravují problematiku bezpečnosti potravin a krmiv, označování potravin (vč. NV č. 1169/2011), systémů kvality, dotačních schémat a další oblasti, které musí být využity tak, aby jednotlivá opatření na sebe navazovala a byla maximálně využita ve prospěch tuzemského hospodářství a k prosazování dalších zájmů ČR. Opatření by proto měla být formulována tak, aby se nejen doplňovala, ale pokud možno vytvářela aditivní, nebo lépe multiplikační efekty a zajistila investice pro budoucí rozvoj celého systémy a jeho dlouhodobou udržitelnost a zvyšující se konkurenceschopnost</w:t>
      </w:r>
    </w:p>
    <w:p w14:paraId="23FCF757" w14:textId="77777777" w:rsidR="00BC33BC" w:rsidRPr="007434DA" w:rsidRDefault="00BC33BC">
      <w:pPr>
        <w:spacing w:after="160" w:line="259" w:lineRule="auto"/>
        <w:jc w:val="left"/>
        <w:rPr>
          <w:rFonts w:eastAsia="Times New Roman" w:cstheme="minorHAnsi"/>
          <w:szCs w:val="24"/>
          <w:lang w:val="cs-CZ" w:eastAsia="cs-CZ"/>
        </w:rPr>
      </w:pPr>
      <w:r w:rsidRPr="007434DA">
        <w:rPr>
          <w:lang w:val="cs-CZ"/>
        </w:rPr>
        <w:br w:type="page"/>
      </w:r>
    </w:p>
    <w:p w14:paraId="3F64F4DC" w14:textId="77777777" w:rsidR="00CB2594" w:rsidRPr="007434DA" w:rsidRDefault="00CB2594" w:rsidP="00BC33BC">
      <w:pPr>
        <w:pStyle w:val="UZEINormaln"/>
      </w:pPr>
    </w:p>
    <w:p w14:paraId="49E74C82" w14:textId="769F3720" w:rsidR="00CB2594" w:rsidRPr="007434DA" w:rsidRDefault="00CB2594" w:rsidP="00BC33BC">
      <w:pPr>
        <w:pStyle w:val="Nadpis1"/>
      </w:pPr>
      <w:bookmarkStart w:id="259" w:name="_Toc524093566"/>
      <w:bookmarkStart w:id="260" w:name="_Toc12613436"/>
      <w:bookmarkStart w:id="261" w:name="_Toc80877886"/>
      <w:bookmarkStart w:id="262" w:name="_Toc81755628"/>
      <w:r w:rsidRPr="007434DA">
        <w:t>Jak by s</w:t>
      </w:r>
      <w:r w:rsidR="00BC33BC" w:rsidRPr="007434DA">
        <w:t>e</w:t>
      </w:r>
      <w:r w:rsidRPr="007434DA">
        <w:t xml:space="preserve"> situace vyvíjela bez zavedení příslušných intervencí?</w:t>
      </w:r>
      <w:bookmarkEnd w:id="259"/>
      <w:bookmarkEnd w:id="260"/>
      <w:bookmarkEnd w:id="261"/>
      <w:bookmarkEnd w:id="262"/>
    </w:p>
    <w:p w14:paraId="496EE6CD" w14:textId="77777777" w:rsidR="00CB2594" w:rsidRPr="007434DA" w:rsidRDefault="00CB2594" w:rsidP="00BC33BC">
      <w:pPr>
        <w:pStyle w:val="UZEINormaln"/>
      </w:pPr>
      <w:r w:rsidRPr="007434DA">
        <w:t>Nebyl dosud proveden průzkum o tom, jak by zemědělci skutečně reagovali, pokud by intervence v této oblasti nebyly a zda by byli ochotni omezit využívání antibiotik v chovech hospodářských zvířat. Lze se domnívat, že pokud by bylo zavedení systému v ČR pro chovatele povinné (legislativně zavedeno) lze očekávat, že by bylo spojeno s navýšením nákladů jak v prvovýrobě, tak i v dalších navazujících odvětvích vertikály, došlo by nutně k promítnutí těchto nákladů do ceny produktů. Pokud by se navýšení nákladů v prvovýrobě nepodařilo promítnout do cen produktů, došlo by pak ke snížení příjmů všech zúčastněných subjektů.</w:t>
      </w:r>
    </w:p>
    <w:p w14:paraId="3E991C91" w14:textId="77777777" w:rsidR="00CB2594" w:rsidRPr="007434DA" w:rsidRDefault="00CB2594" w:rsidP="00BC33BC">
      <w:pPr>
        <w:pStyle w:val="UZEINormaln"/>
      </w:pPr>
      <w:r w:rsidRPr="007434DA">
        <w:t xml:space="preserve">V případě dobrovolnosti přijetí těchto opatření by bylo otázkou, zda by prvovýrobci při očekávaném zvýšení nákladů tato opatření zaváděli a byli je ochotni hradit z vlastních zdrojů. Je však možné, že by se dostávali do silného konkurenčního tlaku ze strany producentů těch zemí, kde by opatření byla zavedena a podporována. Další tlak by mohl nastat i ze strany odběratelů (zpracovatelů nebo obchodu), kteří by vyžadovali surovinu s vyššími standardy a nebo ze strany spotřebitelů, kteří mohou požadovat potraviny vyšší kvality. </w:t>
      </w:r>
    </w:p>
    <w:p w14:paraId="12E9B534" w14:textId="77777777" w:rsidR="00CB2594" w:rsidRPr="007434DA" w:rsidRDefault="00CB2594" w:rsidP="00CB2594">
      <w:pPr>
        <w:rPr>
          <w:lang w:val="cs-CZ"/>
        </w:rPr>
      </w:pPr>
      <w:r w:rsidRPr="007434DA">
        <w:rPr>
          <w:lang w:val="cs-CZ"/>
        </w:rPr>
        <w:br w:type="page"/>
      </w:r>
    </w:p>
    <w:p w14:paraId="12E24381" w14:textId="77777777" w:rsidR="00933812" w:rsidRDefault="00CB2594" w:rsidP="00CB2594">
      <w:pPr>
        <w:pStyle w:val="Nadpis1"/>
      </w:pPr>
      <w:bookmarkStart w:id="263" w:name="_Toc81755629"/>
      <w:bookmarkStart w:id="264" w:name="_Toc524093567"/>
      <w:bookmarkStart w:id="265" w:name="_Toc12613437"/>
      <w:bookmarkStart w:id="266" w:name="_Toc80877887"/>
      <w:r w:rsidRPr="007434DA">
        <w:t>SWOT analýza</w:t>
      </w:r>
      <w:bookmarkEnd w:id="263"/>
    </w:p>
    <w:p w14:paraId="6D71B306" w14:textId="15A26068" w:rsidR="00CB2594" w:rsidRPr="007434DA" w:rsidRDefault="00933812" w:rsidP="00933812">
      <w:pPr>
        <w:pStyle w:val="UZEINormaln"/>
      </w:pPr>
      <w:r>
        <w:t>J</w:t>
      </w:r>
      <w:r w:rsidR="00CB2594" w:rsidRPr="007434DA">
        <w:t>ak si stojí jednotlivé důležité stránky sektoru vůči odpovídajícím cílům a jejich naplňování?</w:t>
      </w:r>
      <w:bookmarkEnd w:id="264"/>
      <w:bookmarkEnd w:id="265"/>
      <w:bookmarkEnd w:id="266"/>
    </w:p>
    <w:p w14:paraId="3DEDCF90" w14:textId="77777777" w:rsidR="00CB2594" w:rsidRPr="007434DA" w:rsidRDefault="00CB2594" w:rsidP="00C304DE">
      <w:pPr>
        <w:pStyle w:val="UZEINormaln"/>
        <w:rPr>
          <w:rFonts w:eastAsiaTheme="majorEastAsia"/>
          <w:b/>
          <w:bCs/>
        </w:rPr>
      </w:pPr>
      <w:r w:rsidRPr="007434DA">
        <w:rPr>
          <w:rFonts w:eastAsiaTheme="majorEastAsia"/>
          <w:b/>
          <w:bCs/>
        </w:rPr>
        <w:t>Silné stránky</w:t>
      </w:r>
    </w:p>
    <w:p w14:paraId="67408DD1" w14:textId="23B0502A" w:rsidR="00CB2594" w:rsidRPr="007434DA" w:rsidRDefault="002E3614" w:rsidP="00C304DE">
      <w:pPr>
        <w:pStyle w:val="UZEIOdrky"/>
      </w:pPr>
      <w:r w:rsidRPr="007434DA">
        <w:t xml:space="preserve">S1: </w:t>
      </w:r>
      <w:r w:rsidR="00CB2594" w:rsidRPr="007434DA">
        <w:t>Existence národních ozdravných programů (např. IBR u skotu, PRRS u prasat, salmonely u drůbeže) - Podpora v rámci národních dotací (Nákazový fond), činnosti zaměřené proti rozšiřování nebezpečných nákaz hospodářských zvířat.</w:t>
      </w:r>
    </w:p>
    <w:p w14:paraId="328D8835" w14:textId="215844FB" w:rsidR="00CB2594" w:rsidRPr="007434DA" w:rsidRDefault="002E3614" w:rsidP="00C304DE">
      <w:pPr>
        <w:pStyle w:val="UZEIOdrky"/>
      </w:pPr>
      <w:r w:rsidRPr="007434DA">
        <w:t xml:space="preserve">S2: </w:t>
      </w:r>
      <w:r w:rsidR="00CB2594" w:rsidRPr="007434DA">
        <w:t>Existence nástrojů politiky (např. systém kontrol podmíněnosti (cross compliance), PRV, poradenský systém).</w:t>
      </w:r>
    </w:p>
    <w:p w14:paraId="7AAF27B3" w14:textId="53643A88" w:rsidR="00CB2594" w:rsidRPr="007434DA" w:rsidRDefault="002E3614" w:rsidP="00C304DE">
      <w:pPr>
        <w:pStyle w:val="UZEIOdrky"/>
      </w:pPr>
      <w:r w:rsidRPr="007434DA">
        <w:t xml:space="preserve">S3: </w:t>
      </w:r>
      <w:r w:rsidR="00CB2594" w:rsidRPr="007434DA">
        <w:t>Účast chovatelů na programech cílících na zlepšení DŽPZ - v rámci PRV (dojnice, prasnice, selata), v rámci národních zdrojů (dojnice, prasata, drůbež).</w:t>
      </w:r>
    </w:p>
    <w:p w14:paraId="2C93050D" w14:textId="1C478D5D" w:rsidR="00CB2594" w:rsidRPr="007434DA" w:rsidRDefault="002E3614" w:rsidP="00C304DE">
      <w:pPr>
        <w:pStyle w:val="UZEIOdrky"/>
      </w:pPr>
      <w:r w:rsidRPr="007434DA">
        <w:t xml:space="preserve">S4: </w:t>
      </w:r>
      <w:r w:rsidR="00CB2594" w:rsidRPr="007434DA">
        <w:t>Rozvíjí se systémy kvality pro produkty živočišné výroby - podporované v rámci národních dotací (dojnice – fungující program CZ Q pro mléko, finalizuje se program pro drůbež).</w:t>
      </w:r>
    </w:p>
    <w:p w14:paraId="1F35837D" w14:textId="619CEE8B" w:rsidR="00CB2594" w:rsidRPr="007434DA" w:rsidRDefault="002E3614" w:rsidP="00C304DE">
      <w:pPr>
        <w:pStyle w:val="UZEIOdrky"/>
      </w:pPr>
      <w:r w:rsidRPr="007434DA">
        <w:t xml:space="preserve">S5: </w:t>
      </w:r>
      <w:r w:rsidR="00CB2594" w:rsidRPr="007434DA">
        <w:t>Rostoucí počty zvířat chovaných v systému ekologického zemědělství (zejména KBTPM a ovce a kozy).</w:t>
      </w:r>
    </w:p>
    <w:p w14:paraId="63021BFD" w14:textId="0B520910" w:rsidR="00CB2594" w:rsidRPr="007434DA" w:rsidRDefault="002E3614" w:rsidP="00C304DE">
      <w:pPr>
        <w:pStyle w:val="UZEIOdrky"/>
      </w:pPr>
      <w:r w:rsidRPr="007434DA">
        <w:t xml:space="preserve">S6: </w:t>
      </w:r>
      <w:r w:rsidR="00CB2594" w:rsidRPr="007434DA">
        <w:t xml:space="preserve">Kvalita institucionálního zajištění a úroveň veterinárního dozoru v ČR – v rámci MZe funguje Pracovní skupina pro antimikrobika, sdružující všechny významné subjekty, které mohou problematiku AMR ovlivnit. Oblast potravin je v této fázi zastoupena MZe. </w:t>
      </w:r>
    </w:p>
    <w:p w14:paraId="62F8A0FC" w14:textId="3FAED13D" w:rsidR="00CB2594" w:rsidRPr="007434DA" w:rsidRDefault="002E3614" w:rsidP="00C304DE">
      <w:pPr>
        <w:pStyle w:val="UZEIOdrky"/>
      </w:pPr>
      <w:r w:rsidRPr="007434DA">
        <w:t xml:space="preserve">S7: </w:t>
      </w:r>
      <w:r w:rsidR="00CB2594" w:rsidRPr="007434DA">
        <w:t>Dlouhodobě klesající celková spotřeba antimikrobik., nízká spotřeba v porovnání s zeměmi EU. V rámci sledovaných 31 evropských zemí se ČR ve spotřebě antimikrobik řadí k těm s nižší spotřebou a je v pořadí na 17 místě (rok 2017).</w:t>
      </w:r>
    </w:p>
    <w:p w14:paraId="7744C8D9" w14:textId="3E0CA880" w:rsidR="00CB2594" w:rsidRPr="007434DA" w:rsidRDefault="002E3614" w:rsidP="00C304DE">
      <w:pPr>
        <w:pStyle w:val="UZEIOdrky"/>
      </w:pPr>
      <w:r w:rsidRPr="007434DA">
        <w:t xml:space="preserve">S8: </w:t>
      </w:r>
      <w:r w:rsidR="00CB2594" w:rsidRPr="007434DA">
        <w:t xml:space="preserve">Chovatelé vnímají oblast používání antibiotik u dojnic a problematiku rezistence k antimikrobiotikům v převážné většině jako problém. </w:t>
      </w:r>
    </w:p>
    <w:p w14:paraId="24DA1CDA" w14:textId="3D06681A" w:rsidR="00CB2594" w:rsidRPr="007434DA" w:rsidRDefault="002E3614" w:rsidP="00C304DE">
      <w:pPr>
        <w:pStyle w:val="UZEIOdrky"/>
      </w:pPr>
      <w:r w:rsidRPr="007434DA">
        <w:t xml:space="preserve">S9: </w:t>
      </w:r>
      <w:r w:rsidR="00CB2594" w:rsidRPr="007434DA">
        <w:t>Dostupná kapacita v oblasti VVI schopná poskytovat aplikované výstupy.</w:t>
      </w:r>
    </w:p>
    <w:p w14:paraId="5E919FF3" w14:textId="47253040" w:rsidR="00CB2594" w:rsidRPr="007434DA" w:rsidRDefault="002E3614" w:rsidP="00C304DE">
      <w:pPr>
        <w:pStyle w:val="UZEIOdrky"/>
      </w:pPr>
      <w:r w:rsidRPr="007434DA">
        <w:t xml:space="preserve">S10: </w:t>
      </w:r>
      <w:r w:rsidR="00CB2594" w:rsidRPr="007434DA">
        <w:t xml:space="preserve">Dobře nastavený systém regulace veterinárních léčiv, včetně dozoru a dohledatelnosti, který umožňuje účinně vymáhat pravidla a minimalizovat rizika spojená s porušováním pravidel. </w:t>
      </w:r>
    </w:p>
    <w:p w14:paraId="13B2156E" w14:textId="761986AE" w:rsidR="00CB2594" w:rsidRPr="007434DA" w:rsidRDefault="002E3614" w:rsidP="00C304DE">
      <w:pPr>
        <w:pStyle w:val="UZEIOdrky"/>
      </w:pPr>
      <w:r w:rsidRPr="007434DA">
        <w:t xml:space="preserve">S11: </w:t>
      </w:r>
      <w:r w:rsidR="00CB2594" w:rsidRPr="007434DA">
        <w:t xml:space="preserve">Zachován vývoj a výroba veterinárních léčiv, včetně veterinárních vakcín, umožňující reagovat na potřeby veterinární praxe, pokud jde o vývoj nových vakcín a dalších produktů, které mohou vést ke snižování potřeby používání antimikrobik v chovech zvířat. </w:t>
      </w:r>
    </w:p>
    <w:p w14:paraId="31ECE2DF" w14:textId="36BB5813" w:rsidR="00CB2594" w:rsidRPr="007434DA" w:rsidRDefault="002E3614" w:rsidP="00C304DE">
      <w:pPr>
        <w:pStyle w:val="UZEIOdrky"/>
      </w:pPr>
      <w:r w:rsidRPr="007434DA">
        <w:t xml:space="preserve">S12: </w:t>
      </w:r>
      <w:r w:rsidR="00CB2594" w:rsidRPr="007434DA">
        <w:t>Kvalitní systém výroby medikovaných krmiv v mnoha ohledech předstihující systémy v některých zemích EU (správná výrobní praxe, kvalifikované osoby ve výrobě a kontrole medikovaných krmiv, požadavky na přenos reziduí, zákaz používat medikované premixy mimo podmínky registrace, úřední kontrola, spolupráce ÚSKVBL a ÚKZÚZ, atd.).</w:t>
      </w:r>
    </w:p>
    <w:p w14:paraId="67C84A8B" w14:textId="2CE7F862" w:rsidR="00CB2594" w:rsidRPr="007434DA" w:rsidRDefault="002E3614" w:rsidP="00C304DE">
      <w:pPr>
        <w:pStyle w:val="UZEIOdrky"/>
      </w:pPr>
      <w:r w:rsidRPr="007434DA">
        <w:t xml:space="preserve">S13: </w:t>
      </w:r>
      <w:r w:rsidR="00CB2594" w:rsidRPr="007434DA">
        <w:t xml:space="preserve">Zpracován Akční plán Národního antibiotického programu (AP NAP) na období 2018-2022. </w:t>
      </w:r>
    </w:p>
    <w:p w14:paraId="09E0A5EB" w14:textId="77777777" w:rsidR="00CB2594" w:rsidRPr="007434DA" w:rsidRDefault="00CB2594" w:rsidP="002E3614">
      <w:pPr>
        <w:pStyle w:val="UZEIOdrky"/>
        <w:numPr>
          <w:ilvl w:val="0"/>
          <w:numId w:val="0"/>
        </w:numPr>
        <w:ind w:left="720"/>
      </w:pPr>
    </w:p>
    <w:p w14:paraId="0A49DFAC" w14:textId="77777777" w:rsidR="00CB2594" w:rsidRPr="007434DA" w:rsidRDefault="00CB2594" w:rsidP="00CB2594">
      <w:pPr>
        <w:rPr>
          <w:rFonts w:ascii="Arial" w:eastAsiaTheme="majorEastAsia" w:hAnsi="Arial" w:cs="Arial"/>
          <w:color w:val="2F5496" w:themeColor="accent1" w:themeShade="BF"/>
          <w:szCs w:val="24"/>
          <w:lang w:val="cs-CZ"/>
        </w:rPr>
      </w:pPr>
      <w:r w:rsidRPr="007434DA">
        <w:rPr>
          <w:rFonts w:ascii="Arial" w:eastAsiaTheme="majorEastAsia" w:hAnsi="Arial" w:cs="Arial"/>
          <w:color w:val="2F5496" w:themeColor="accent1" w:themeShade="BF"/>
          <w:szCs w:val="24"/>
          <w:lang w:val="cs-CZ"/>
        </w:rPr>
        <w:br w:type="page"/>
      </w:r>
    </w:p>
    <w:p w14:paraId="4F167EE8" w14:textId="77777777" w:rsidR="00CB2594" w:rsidRPr="007434DA" w:rsidRDefault="00CB2594" w:rsidP="002E3614">
      <w:pPr>
        <w:pStyle w:val="UZEINormaln"/>
        <w:rPr>
          <w:rFonts w:eastAsiaTheme="majorEastAsia"/>
          <w:b/>
          <w:bCs/>
        </w:rPr>
      </w:pPr>
      <w:r w:rsidRPr="007434DA">
        <w:rPr>
          <w:rFonts w:eastAsiaTheme="majorEastAsia"/>
          <w:b/>
          <w:bCs/>
        </w:rPr>
        <w:t>Slabé stránky</w:t>
      </w:r>
    </w:p>
    <w:p w14:paraId="2D0F77AE" w14:textId="710E03D6" w:rsidR="00CB2594" w:rsidRPr="007434DA" w:rsidRDefault="002E3614" w:rsidP="002E3614">
      <w:pPr>
        <w:pStyle w:val="UZEIOdrky"/>
      </w:pPr>
      <w:r w:rsidRPr="007434DA">
        <w:t xml:space="preserve">W1: </w:t>
      </w:r>
      <w:r w:rsidR="00CB2594" w:rsidRPr="007434DA">
        <w:t>V ČR není ideální struktura používání antimikrobik – přibližně 50 % celkové spotřeby antimikrobik tvoří tetracykliny, vysoký podíl skupinového použití antimikrobik.</w:t>
      </w:r>
    </w:p>
    <w:p w14:paraId="456F092E" w14:textId="68AFE9E3" w:rsidR="00CB2594" w:rsidRPr="007434DA" w:rsidRDefault="002E3614" w:rsidP="002E3614">
      <w:pPr>
        <w:pStyle w:val="UZEIOdrky"/>
      </w:pPr>
      <w:r w:rsidRPr="007434DA">
        <w:t xml:space="preserve">W2: </w:t>
      </w:r>
      <w:r w:rsidR="00CB2594" w:rsidRPr="007434DA">
        <w:t>Dovozy plemenných zvířat s rizikem zavlečení nákaz a rezistence do chovů v ČR.</w:t>
      </w:r>
    </w:p>
    <w:p w14:paraId="4FC001AD" w14:textId="6FC416E3" w:rsidR="00CB2594" w:rsidRPr="007434DA" w:rsidRDefault="002E3614" w:rsidP="002E3614">
      <w:pPr>
        <w:pStyle w:val="UZEIOdrky"/>
      </w:pPr>
      <w:r w:rsidRPr="007434DA">
        <w:t xml:space="preserve">W3: </w:t>
      </w:r>
      <w:r w:rsidR="00CB2594" w:rsidRPr="007434DA">
        <w:t xml:space="preserve">Nedostatek kvalifikované pracovní síly v zemědělství, která v řadě případů vede k nedostatkům v péči o zvířata (zejména v době nočních porodů a zajištění včasného podání mleziva telatům a selatům). </w:t>
      </w:r>
    </w:p>
    <w:p w14:paraId="140D2D21" w14:textId="16F7988C" w:rsidR="00CB2594" w:rsidRPr="007434DA" w:rsidRDefault="002E3614" w:rsidP="002E3614">
      <w:pPr>
        <w:pStyle w:val="UZEIOdrky"/>
      </w:pPr>
      <w:r w:rsidRPr="007434DA">
        <w:t xml:space="preserve">W4: </w:t>
      </w:r>
      <w:r w:rsidR="00CB2594" w:rsidRPr="007434DA">
        <w:t xml:space="preserve">Problémy s kvalitou vstupů (např. krmiva, zvířata ve výkrmu). </w:t>
      </w:r>
    </w:p>
    <w:p w14:paraId="58891850" w14:textId="768365A8" w:rsidR="00CB2594" w:rsidRPr="007434DA" w:rsidRDefault="002E3614" w:rsidP="002E3614">
      <w:pPr>
        <w:pStyle w:val="UZEIOdrky"/>
      </w:pPr>
      <w:r w:rsidRPr="007434DA">
        <w:t xml:space="preserve">W5: </w:t>
      </w:r>
      <w:r w:rsidR="00CB2594" w:rsidRPr="007434DA">
        <w:t xml:space="preserve">V řadě případů nedostatečná opatření v oblasti prevence – nízká úroveň prevence vzniku produkčních onemocnění a zánětů mléčné žlázy v chovech dojnic. </w:t>
      </w:r>
    </w:p>
    <w:p w14:paraId="1E76A04A" w14:textId="54D5837B" w:rsidR="00CB2594" w:rsidRPr="007434DA" w:rsidRDefault="002E3614" w:rsidP="002E3614">
      <w:pPr>
        <w:pStyle w:val="UZEIOdrky"/>
      </w:pPr>
      <w:r w:rsidRPr="007434DA">
        <w:t xml:space="preserve">W6: </w:t>
      </w:r>
      <w:r w:rsidR="00CB2594" w:rsidRPr="007434DA">
        <w:t>Potřeba veterinářů a chovatelů adaptovat se na měnící se podmínky</w:t>
      </w:r>
    </w:p>
    <w:p w14:paraId="47EFE796" w14:textId="67FE805E" w:rsidR="00CB2594" w:rsidRPr="007434DA" w:rsidRDefault="002E3614" w:rsidP="002E3614">
      <w:pPr>
        <w:pStyle w:val="UZEIOdrky"/>
      </w:pPr>
      <w:r w:rsidRPr="007434DA">
        <w:t xml:space="preserve">W7: </w:t>
      </w:r>
      <w:r w:rsidR="00CB2594" w:rsidRPr="007434DA">
        <w:t xml:space="preserve">Vysoká spotřeba AMB u výkrmu kuřat, odchovu selat, ve výkrm prasat – v mnoha chovech není odborně správně nastaveno a systematicky uplatňováno vakcinační schéma. </w:t>
      </w:r>
    </w:p>
    <w:p w14:paraId="599441E1" w14:textId="750BE677" w:rsidR="00CB2594" w:rsidRPr="007434DA" w:rsidRDefault="004E5311" w:rsidP="002E3614">
      <w:pPr>
        <w:pStyle w:val="UZEIOdrky"/>
      </w:pPr>
      <w:r w:rsidRPr="007434DA">
        <w:t>W8:</w:t>
      </w:r>
      <w:r w:rsidR="00140657" w:rsidRPr="007434DA">
        <w:t xml:space="preserve"> </w:t>
      </w:r>
      <w:r w:rsidR="00CB2594" w:rsidRPr="007434DA">
        <w:t>U prasat v kategorii předvýkrm a výkrm není běžná selekce slabších a méně životaschopných jedinců a následná zvýšená individuální péče věnovaná těmto zvířatům.</w:t>
      </w:r>
    </w:p>
    <w:p w14:paraId="27B02D28" w14:textId="75DEA99D" w:rsidR="00CB2594" w:rsidRPr="007434DA" w:rsidRDefault="00140657" w:rsidP="002E3614">
      <w:pPr>
        <w:pStyle w:val="UZEIOdrky"/>
      </w:pPr>
      <w:r w:rsidRPr="007434DA">
        <w:t xml:space="preserve">W9: </w:t>
      </w:r>
      <w:r w:rsidR="00CB2594" w:rsidRPr="007434DA">
        <w:t xml:space="preserve">V rámci ČR nebyla dosud problematika antimikrobik definována jako strategická oblast, která má potenciál zásadním způsobem ovlivnit bezpečnost živočišné produkce, její uplatnění na trhu a konkurenceschopnost – viz strategie MZe do r. 2030. </w:t>
      </w:r>
    </w:p>
    <w:p w14:paraId="2CC117E5" w14:textId="70CC003E" w:rsidR="00CB2594" w:rsidRPr="007434DA" w:rsidRDefault="00140657" w:rsidP="002E3614">
      <w:pPr>
        <w:pStyle w:val="UZEIOdrky"/>
      </w:pPr>
      <w:r w:rsidRPr="007434DA">
        <w:t xml:space="preserve">W10: </w:t>
      </w:r>
      <w:r w:rsidR="00CB2594" w:rsidRPr="007434DA">
        <w:t xml:space="preserve">Probíhá plošná aplikace antibiotik ve výkrmu kuřat, předvýkrmu a výkrmu prasat a plošné podávání antibiotik. při zaprahování dojnic. </w:t>
      </w:r>
    </w:p>
    <w:p w14:paraId="06BE8728" w14:textId="727A61F7" w:rsidR="00CB2594" w:rsidRPr="007434DA" w:rsidRDefault="00140657" w:rsidP="002E3614">
      <w:pPr>
        <w:pStyle w:val="UZEIOdrky"/>
      </w:pPr>
      <w:r w:rsidRPr="007434DA">
        <w:t xml:space="preserve">W11: </w:t>
      </w:r>
      <w:r w:rsidR="00CB2594" w:rsidRPr="007434DA">
        <w:t>Výzkum – oblast AMR není posuzována jako prioritní oblast a dosud chybí jednoznačná politická podpora a koncepce k výzkumu v této oblasti.</w:t>
      </w:r>
    </w:p>
    <w:p w14:paraId="6877E583" w14:textId="535FFA41" w:rsidR="00CB2594" w:rsidRPr="007434DA" w:rsidRDefault="00140657" w:rsidP="00CB2594">
      <w:pPr>
        <w:pStyle w:val="UZEIOdrky"/>
      </w:pPr>
      <w:r w:rsidRPr="007434DA">
        <w:t xml:space="preserve">W12: </w:t>
      </w:r>
      <w:r w:rsidR="00CB2594" w:rsidRPr="007434DA">
        <w:t>Nízký zájem zpracovatelů zapojovat se do systémů kvality (nesoulad se zájmy chovatelů).</w:t>
      </w:r>
    </w:p>
    <w:p w14:paraId="5AACCCCC" w14:textId="77777777" w:rsidR="00CB2594" w:rsidRPr="007434DA" w:rsidRDefault="00CB2594" w:rsidP="00E82360">
      <w:pPr>
        <w:pStyle w:val="UZEINormaln"/>
        <w:rPr>
          <w:rFonts w:eastAsiaTheme="majorEastAsia"/>
          <w:b/>
          <w:bCs/>
        </w:rPr>
      </w:pPr>
      <w:r w:rsidRPr="007434DA">
        <w:rPr>
          <w:rFonts w:eastAsiaTheme="majorEastAsia"/>
          <w:b/>
          <w:bCs/>
        </w:rPr>
        <w:t>Příležitosti</w:t>
      </w:r>
    </w:p>
    <w:p w14:paraId="323991C4" w14:textId="61928CEE" w:rsidR="00CB2594" w:rsidRPr="007434DA" w:rsidRDefault="00E82360" w:rsidP="00E82360">
      <w:pPr>
        <w:pStyle w:val="UZEIOdrky"/>
      </w:pPr>
      <w:r w:rsidRPr="007434DA">
        <w:t xml:space="preserve">O1: </w:t>
      </w:r>
      <w:r w:rsidR="00CB2594" w:rsidRPr="007434DA">
        <w:t>Rostoucí požadavky zdravotnických organizací v oblasti snižování rizika pro zdraví veřejnosti od potravinových zvířat, potravin a ze životního prostředí.</w:t>
      </w:r>
    </w:p>
    <w:p w14:paraId="6599D601" w14:textId="701D1B13" w:rsidR="00CB2594" w:rsidRPr="007434DA" w:rsidRDefault="00E82360" w:rsidP="00E82360">
      <w:pPr>
        <w:pStyle w:val="UZEIOdrky"/>
      </w:pPr>
      <w:r w:rsidRPr="007434DA">
        <w:t xml:space="preserve">O2: </w:t>
      </w:r>
      <w:r w:rsidR="00CB2594" w:rsidRPr="007434DA">
        <w:t>Udržení a posilování konkurenceschopnosti, dlouhodobá udržitelnost systémů produkce potravin.</w:t>
      </w:r>
    </w:p>
    <w:p w14:paraId="59B3E158" w14:textId="69C6A1EF" w:rsidR="00CB2594" w:rsidRPr="007434DA" w:rsidRDefault="00E82360" w:rsidP="00E82360">
      <w:pPr>
        <w:pStyle w:val="UZEIOdrky"/>
      </w:pPr>
      <w:r w:rsidRPr="007434DA">
        <w:t xml:space="preserve">O3: </w:t>
      </w:r>
      <w:r w:rsidR="00CB2594" w:rsidRPr="007434DA">
        <w:t>Lepší informovanost spotřebitele o problematice a rizicích antimikrobik a o kvalitě a bezpečnosti potravin v širším slova smyslu, ovlivnění spotřebitelského chování ve prospěch kvality.</w:t>
      </w:r>
    </w:p>
    <w:p w14:paraId="64D8C5E8" w14:textId="4C09D18D" w:rsidR="00CB2594" w:rsidRPr="007434DA" w:rsidRDefault="00E82360" w:rsidP="00E82360">
      <w:pPr>
        <w:pStyle w:val="UZEIOdrky"/>
      </w:pPr>
      <w:r w:rsidRPr="007434DA">
        <w:t xml:space="preserve">O4: </w:t>
      </w:r>
      <w:r w:rsidR="00CB2594" w:rsidRPr="007434DA">
        <w:t>Rostoucí spotřebitelská poptávka po produktech s vyššími standardy (po nízkoreziduálních potravinách z hlediska užívání antibiotik).</w:t>
      </w:r>
    </w:p>
    <w:p w14:paraId="6B2D466C" w14:textId="0D02204E" w:rsidR="00CB2594" w:rsidRPr="007434DA" w:rsidRDefault="00E82360" w:rsidP="00E82360">
      <w:pPr>
        <w:pStyle w:val="UZEIOdrky"/>
      </w:pPr>
      <w:r w:rsidRPr="007434DA">
        <w:t xml:space="preserve">O5: </w:t>
      </w:r>
      <w:r w:rsidR="00CB2594" w:rsidRPr="007434DA">
        <w:t>Exportní příležitosti – především pro chovatele, event. zpracovatele.</w:t>
      </w:r>
    </w:p>
    <w:p w14:paraId="42F381B7" w14:textId="7614F71E" w:rsidR="00CB2594" w:rsidRPr="007434DA" w:rsidRDefault="00E82360" w:rsidP="00E82360">
      <w:pPr>
        <w:pStyle w:val="UZEIOdrky"/>
      </w:pPr>
      <w:r w:rsidRPr="007434DA">
        <w:t xml:space="preserve">O6: </w:t>
      </w:r>
      <w:r w:rsidR="00CB2594" w:rsidRPr="007434DA">
        <w:t>Existence nástrojů nové SZP zaměřených na podporu snižování spotřeby antimikrobik.</w:t>
      </w:r>
    </w:p>
    <w:p w14:paraId="12C4134A" w14:textId="677DE725" w:rsidR="00CB2594" w:rsidRPr="007434DA" w:rsidRDefault="00E82360" w:rsidP="00E82360">
      <w:pPr>
        <w:pStyle w:val="UZEIOdrky"/>
      </w:pPr>
      <w:r w:rsidRPr="007434DA">
        <w:t xml:space="preserve">O7: </w:t>
      </w:r>
      <w:r w:rsidR="00CB2594" w:rsidRPr="007434DA">
        <w:t xml:space="preserve">Budování důvěry spotřebitelů v tuzemskou produkci, snižování rizika kritiky kvality a bezpečnosti potravin živočišného původu z tuzemské produkce. </w:t>
      </w:r>
    </w:p>
    <w:p w14:paraId="0724AE24" w14:textId="629ED92C" w:rsidR="00CB2594" w:rsidRPr="007434DA" w:rsidRDefault="00E82360" w:rsidP="00E82360">
      <w:pPr>
        <w:pStyle w:val="UZEIOdrky"/>
      </w:pPr>
      <w:r w:rsidRPr="007434DA">
        <w:t xml:space="preserve">O8: </w:t>
      </w:r>
      <w:r w:rsidR="00CB2594" w:rsidRPr="007434DA">
        <w:t>Dlouhodobé zachování účinných antimikrobních léčiv pro potřeby veterinární medicíny.</w:t>
      </w:r>
    </w:p>
    <w:p w14:paraId="2264F0D0" w14:textId="71CB688B" w:rsidR="00CB2594" w:rsidRPr="007434DA" w:rsidRDefault="00CB2594" w:rsidP="00E82360">
      <w:pPr>
        <w:pStyle w:val="UZEINormaln"/>
        <w:rPr>
          <w:rFonts w:eastAsiaTheme="majorEastAsia"/>
          <w:b/>
          <w:bCs/>
          <w:color w:val="2F5496" w:themeColor="accent1" w:themeShade="BF"/>
        </w:rPr>
      </w:pPr>
      <w:r w:rsidRPr="007434DA">
        <w:rPr>
          <w:rFonts w:eastAsiaTheme="majorEastAsia"/>
          <w:color w:val="2F5496" w:themeColor="accent1" w:themeShade="BF"/>
        </w:rPr>
        <w:br w:type="page"/>
      </w:r>
      <w:r w:rsidRPr="007434DA">
        <w:rPr>
          <w:rFonts w:eastAsiaTheme="majorEastAsia"/>
          <w:b/>
          <w:bCs/>
        </w:rPr>
        <w:t>Rizika</w:t>
      </w:r>
    </w:p>
    <w:p w14:paraId="157719AE" w14:textId="27CD04E1" w:rsidR="00CB2594" w:rsidRPr="007434DA" w:rsidRDefault="00E82360" w:rsidP="00E82360">
      <w:pPr>
        <w:pStyle w:val="UZEIOdrky"/>
      </w:pPr>
      <w:r w:rsidRPr="007434DA">
        <w:t xml:space="preserve">T1: </w:t>
      </w:r>
      <w:r w:rsidR="00CB2594" w:rsidRPr="007434DA">
        <w:t>Změna vládní politiky.</w:t>
      </w:r>
    </w:p>
    <w:p w14:paraId="1520F1F1" w14:textId="25745099" w:rsidR="00CB2594" w:rsidRPr="007434DA" w:rsidRDefault="00E82360" w:rsidP="00E82360">
      <w:pPr>
        <w:pStyle w:val="UZEIOdrky"/>
      </w:pPr>
      <w:r w:rsidRPr="007434DA">
        <w:t xml:space="preserve">T2: </w:t>
      </w:r>
      <w:r w:rsidR="00CB2594" w:rsidRPr="007434DA">
        <w:t>Nízká ochota spotřebitelů platit za produkty nadstandardní kvality v důsledku možného zhoršení ekonomické situace.</w:t>
      </w:r>
    </w:p>
    <w:p w14:paraId="2BEE7A33" w14:textId="40339AB3" w:rsidR="00CB2594" w:rsidRPr="007434DA" w:rsidRDefault="00E82360" w:rsidP="00E82360">
      <w:pPr>
        <w:pStyle w:val="UZEIOdrky"/>
      </w:pPr>
      <w:r w:rsidRPr="007434DA">
        <w:t xml:space="preserve">T3: </w:t>
      </w:r>
      <w:r w:rsidR="00CB2594" w:rsidRPr="007434DA">
        <w:t>Nedostatečná nebo kolísavá politická podpora omezující přijímání efektivních, dlouhodobých a vzájemně provázaných opatření v podmínkách ČR.</w:t>
      </w:r>
    </w:p>
    <w:p w14:paraId="76D2D396" w14:textId="51C522AC" w:rsidR="00CB2594" w:rsidRPr="007434DA" w:rsidRDefault="00E82360" w:rsidP="00E82360">
      <w:pPr>
        <w:pStyle w:val="UZEIOdrky"/>
      </w:pPr>
      <w:r w:rsidRPr="007434DA">
        <w:t xml:space="preserve">T4: </w:t>
      </w:r>
      <w:r w:rsidR="00CB2594" w:rsidRPr="007434DA">
        <w:t xml:space="preserve">Nízká ochota veterinárních lékařů a chovatelů adaptovat se na nové podmínky, přítomnost objektivních překážek, které adaptaci neumožní. </w:t>
      </w:r>
    </w:p>
    <w:p w14:paraId="110C1243" w14:textId="4DFD2F73" w:rsidR="00CB2594" w:rsidRPr="007434DA" w:rsidRDefault="009B205D" w:rsidP="00E82360">
      <w:pPr>
        <w:pStyle w:val="UZEIOdrky"/>
      </w:pPr>
      <w:r w:rsidRPr="007434DA">
        <w:t xml:space="preserve">T5: </w:t>
      </w:r>
      <w:r w:rsidR="00CB2594" w:rsidRPr="007434DA">
        <w:t>Nedostupnost alternativ nebo přípravků určených k prevenci na trhu v ČR.</w:t>
      </w:r>
    </w:p>
    <w:p w14:paraId="1725560E" w14:textId="4B7803A0" w:rsidR="00CB2594" w:rsidRPr="007434DA" w:rsidRDefault="009B205D" w:rsidP="00E82360">
      <w:pPr>
        <w:pStyle w:val="UZEIOdrky"/>
      </w:pPr>
      <w:r w:rsidRPr="007434DA">
        <w:t xml:space="preserve">T6: </w:t>
      </w:r>
      <w:r w:rsidR="00CB2594" w:rsidRPr="007434DA">
        <w:t>Nedostatečná schopnost účinně komunikovat rozsah a závažnost problému veřejnosti (spotřebitelům), často vše komunikují pouze media.</w:t>
      </w:r>
    </w:p>
    <w:p w14:paraId="0E631607" w14:textId="6C34C598" w:rsidR="00CB2594" w:rsidRPr="007434DA" w:rsidRDefault="009B205D" w:rsidP="00E82360">
      <w:pPr>
        <w:pStyle w:val="UZEIOdrky"/>
      </w:pPr>
      <w:r w:rsidRPr="007434DA">
        <w:t xml:space="preserve">T7: </w:t>
      </w:r>
      <w:r w:rsidR="00CB2594" w:rsidRPr="007434DA">
        <w:t>Konkurence potravin ze zahraničí, které budou splňovat vyšší standardy z pohledu užití antimikrobik u potravinových zvířat (ceriftikace, event. jiná označení)</w:t>
      </w:r>
    </w:p>
    <w:p w14:paraId="0A50D433" w14:textId="77777777" w:rsidR="00CB2594" w:rsidRPr="007434DA" w:rsidRDefault="00CB2594" w:rsidP="00E82360">
      <w:pPr>
        <w:pStyle w:val="UZEIOdrky"/>
      </w:pPr>
      <w:r w:rsidRPr="007434DA">
        <w:br w:type="page"/>
      </w:r>
    </w:p>
    <w:p w14:paraId="59E97135" w14:textId="77777777" w:rsidR="00CB2594" w:rsidRPr="007434DA" w:rsidRDefault="00CB2594" w:rsidP="005B2FCC">
      <w:pPr>
        <w:pStyle w:val="UZEINadpis1stbezsla"/>
      </w:pPr>
      <w:bookmarkStart w:id="267" w:name="_Toc12613438"/>
      <w:bookmarkStart w:id="268" w:name="_Toc80877888"/>
      <w:bookmarkStart w:id="269" w:name="_Toc81755630"/>
      <w:r w:rsidRPr="007434DA">
        <w:t>C. ANIMAL WELFARE</w:t>
      </w:r>
      <w:bookmarkEnd w:id="267"/>
      <w:bookmarkEnd w:id="268"/>
      <w:bookmarkEnd w:id="269"/>
    </w:p>
    <w:p w14:paraId="6BA8DF6F" w14:textId="77777777" w:rsidR="00CB2594" w:rsidRPr="007434DA" w:rsidRDefault="00CB2594" w:rsidP="005B2FCC">
      <w:pPr>
        <w:pStyle w:val="Nadpis1"/>
        <w:numPr>
          <w:ilvl w:val="0"/>
          <w:numId w:val="37"/>
        </w:numPr>
      </w:pPr>
      <w:bookmarkStart w:id="270" w:name="_Toc533068224"/>
      <w:bookmarkStart w:id="271" w:name="_Toc12613439"/>
      <w:bookmarkStart w:id="272" w:name="_Toc80877889"/>
      <w:bookmarkStart w:id="273" w:name="_Toc81755631"/>
      <w:r w:rsidRPr="007434DA">
        <w:t>Analýza stávajících/navrhovaných právních předpisů EK/ČR a pravděpodobné nastavení směrů a cílů SZ</w:t>
      </w:r>
      <w:bookmarkEnd w:id="270"/>
      <w:r w:rsidRPr="007434DA">
        <w:t>P</w:t>
      </w:r>
      <w:bookmarkEnd w:id="271"/>
      <w:bookmarkEnd w:id="272"/>
      <w:bookmarkEnd w:id="273"/>
    </w:p>
    <w:p w14:paraId="489095B7" w14:textId="77777777" w:rsidR="00CB2594" w:rsidRPr="00284643" w:rsidRDefault="00CB2594" w:rsidP="00284643">
      <w:pPr>
        <w:pStyle w:val="UZEINormaln"/>
        <w:rPr>
          <w:b/>
          <w:bCs/>
        </w:rPr>
      </w:pPr>
      <w:r w:rsidRPr="00284643">
        <w:rPr>
          <w:b/>
          <w:bCs/>
        </w:rPr>
        <w:t>Dokumenty</w:t>
      </w:r>
    </w:p>
    <w:p w14:paraId="6DCC7900" w14:textId="77777777" w:rsidR="00CB2594" w:rsidRPr="007434DA" w:rsidRDefault="00CB2594" w:rsidP="00491F2D">
      <w:pPr>
        <w:pStyle w:val="UZEINormaln"/>
      </w:pPr>
      <w:bookmarkStart w:id="274" w:name="_Hlk523420884"/>
      <w:r w:rsidRPr="007434DA">
        <w:t>Zájem veřejnosti o to, jak jsou zvířata určená pro produkci potravin chována se stále zvyšuje</w:t>
      </w:r>
      <w:bookmarkEnd w:id="274"/>
      <w:r w:rsidRPr="007434DA">
        <w:t>. Z průzkumu</w:t>
      </w:r>
      <w:r w:rsidRPr="007434DA">
        <w:rPr>
          <w:vertAlign w:val="superscript"/>
        </w:rPr>
        <w:footnoteReference w:id="54"/>
      </w:r>
      <w:r w:rsidRPr="007434DA">
        <w:t xml:space="preserve"> v celé EU vyplývá, že dobré životní podmínky zvířat (animal welfare) považuje za významnou otázku 64 % obyvatel. Nicméně studie</w:t>
      </w:r>
      <w:r w:rsidRPr="007434DA">
        <w:rPr>
          <w:vertAlign w:val="superscript"/>
        </w:rPr>
        <w:t xml:space="preserve"> </w:t>
      </w:r>
      <w:r w:rsidRPr="007434DA">
        <w:t>ukazují, že zájem o dobré životní podmínky zvířat je pouze jedním z faktorů ovlivňujících spotřebitele a často pro ně tento aspekt nehraje v rozhodování při výběru nakupovaných potravin významnou roli. Spotřebitel se nakonec rozhoduje podle ceny nebo na základě přímo ověřitelných informací o nakupovaném produktu. V EU téměř 74 % dotázaných respondentů věřilo, že by mohli ovlivnit podmínky welfare zvířat tím, že budou nakupovat produkty deklarující, že zvířata byla chována v příznivějších životních podmínkách, než ukládají povinné zákonné normy. Spotřebitelé tedy mohou být nakonec hybnou silou ke zvyšování současných norem AW zvířat tím, že vytváří tlak v podobě preferencí produktů na jednotlivé segmenty trhu</w:t>
      </w:r>
      <w:r w:rsidRPr="007434DA">
        <w:rPr>
          <w:rStyle w:val="Znakapoznpodarou"/>
          <w:rFonts w:ascii="Arial" w:hAnsi="Arial" w:cs="Arial"/>
          <w:sz w:val="20"/>
          <w:szCs w:val="20"/>
        </w:rPr>
        <w:footnoteReference w:id="55"/>
      </w:r>
      <w:r w:rsidRPr="007434DA">
        <w:t>.</w:t>
      </w:r>
    </w:p>
    <w:p w14:paraId="584AE7F0" w14:textId="77777777" w:rsidR="00CB2594" w:rsidRPr="007434DA" w:rsidRDefault="00CB2594" w:rsidP="00491F2D">
      <w:pPr>
        <w:pStyle w:val="UZEINormaln"/>
      </w:pPr>
      <w:r w:rsidRPr="007434DA">
        <w:t>Evropská komise považuje za hlavní problém dosud nedostatečné informace spotřebitelů o aspektech DŽPZ. Jednou z klíčových priorit EK pro další období je podpora intenzivnějšího dialogu o otázkách týkajících se dobrých životních podmínek zvířat, které jsou na úrovni EU důležité mezi příslušnými orgány, podniky, společností a vědci. K dosažení těchto priorit byla založena Platforma EU o dobrých životních podmínkách zvířat</w:t>
      </w:r>
      <w:r w:rsidRPr="007434DA">
        <w:rPr>
          <w:vertAlign w:val="superscript"/>
        </w:rPr>
        <w:footnoteReference w:id="56"/>
      </w:r>
      <w:r w:rsidRPr="007434DA">
        <w:t>. Platforma pro dobré životní podmínky zvířat (dále jen „platforma“) by měla být nápomocna Komisi při vedení pravidelných dialogů týkajících se záležitostí Unie, které přímo souvisejí s dobrými životními podmínkami zvířat, jako je např. prosazování právních předpisů, výměna vědeckých poznatků, inovací a osvědčených postupů či iniciativ v oblasti dobrých životních podmínek zvířat nebo mezinárodní aktivity v této oblasti. Platforma by měla rovněž Komisi poskytovat podporu v otázkách, které mohou mít vliv na AW zvířat, jako je např. obchod, antimikrobiální rezistence, bezpečnost potravin, výzkum či životní prostředí. Dále by při své činnosti měla přihlížet k činnostem ostatních skupin nebo sítí zapojených do dialogu o dobrých životních podmínkách zvířat, jako jsou např. pracovní skupiny a sítě Evropského úřadu pro bezpečnost potravin nebo regionální platforma Světové organizace pro zdraví zvířat zaměřená na dobré životní podmínky zvířat v Evropě.</w:t>
      </w:r>
    </w:p>
    <w:p w14:paraId="4CB0D49A" w14:textId="77777777" w:rsidR="00CB2594" w:rsidRPr="007434DA" w:rsidRDefault="00CB2594" w:rsidP="00C86FBD">
      <w:pPr>
        <w:pStyle w:val="UZEINormaln"/>
      </w:pPr>
      <w:r w:rsidRPr="007434DA">
        <w:rPr>
          <w:rFonts w:eastAsiaTheme="minorHAnsi"/>
        </w:rPr>
        <w:t>V poslední době se stále více také česká společnost zajímá i o to, jak je se zvířaty chovanými pro výrobu potravin zacházeno. Podle šetření ÚZEI</w:t>
      </w:r>
      <w:r w:rsidRPr="00FA3A37">
        <w:rPr>
          <w:rFonts w:eastAsiaTheme="minorHAnsi"/>
          <w:vertAlign w:val="superscript"/>
        </w:rPr>
        <w:footnoteReference w:id="57"/>
      </w:r>
      <w:r w:rsidRPr="007434DA">
        <w:rPr>
          <w:rFonts w:eastAsiaTheme="minorHAnsi"/>
        </w:rPr>
        <w:t xml:space="preserve"> by bylo ochotno si připlatit za potraviny pocházející od hospodářských zvířat, která byla chována v nadstandardních podmínkách celkem 80 %</w:t>
      </w:r>
      <w:r w:rsidRPr="007434DA">
        <w:t xml:space="preserve"> respondentů. Na základě tohoto šetření uvedlo 27 % respondentů, že šetrné přístupy v chovu mají spíše etický charakter, zatímco 56 % je přesvědčeno že ovlivňují i kvalitu potravin a pouze 17 % nedokázalo odpovědět. Například o vejce z alternativních chovů neprojevilo zájem pouze 26 % respondentů, ostatní by byli ochotni si za vejce od nosnic, kde je uplatňován nadstandardní welfare, zaplatit vyšší cenu.</w:t>
      </w:r>
    </w:p>
    <w:p w14:paraId="36D8FFCC" w14:textId="68AACE69" w:rsidR="00CB2594" w:rsidRDefault="00CB2594" w:rsidP="00C86FBD">
      <w:pPr>
        <w:pStyle w:val="UZEINormaln"/>
      </w:pPr>
      <w:r w:rsidRPr="007434DA">
        <w:t>V ČR jsou základní zákonné podmínky DŽPZ stanoveny, navrhované intervence by měly jít nad rámec legislativy nebo běžné praxe a měly by reflektovat potřeby zvířat.</w:t>
      </w:r>
    </w:p>
    <w:p w14:paraId="7012223E" w14:textId="202A2356" w:rsidR="00CB2594" w:rsidRPr="00284643" w:rsidRDefault="00CB2594" w:rsidP="00284643">
      <w:pPr>
        <w:pStyle w:val="UZEINormaln"/>
        <w:rPr>
          <w:rFonts w:ascii="Arial" w:hAnsi="Arial" w:cs="Arial"/>
          <w:b/>
          <w:bCs/>
          <w:sz w:val="20"/>
          <w:szCs w:val="20"/>
        </w:rPr>
      </w:pPr>
      <w:r w:rsidRPr="00284643">
        <w:rPr>
          <w:b/>
          <w:bCs/>
        </w:rPr>
        <w:t>Právní předpisy EU</w:t>
      </w:r>
    </w:p>
    <w:p w14:paraId="02B89273" w14:textId="77777777" w:rsidR="00CB2594" w:rsidRPr="007434DA" w:rsidRDefault="00CB2594" w:rsidP="00491F2D">
      <w:pPr>
        <w:pStyle w:val="UZEINormaln"/>
        <w:rPr>
          <w:b/>
          <w:bCs/>
        </w:rPr>
      </w:pPr>
      <w:r w:rsidRPr="007434DA">
        <w:rPr>
          <w:b/>
          <w:bCs/>
        </w:rPr>
        <w:t xml:space="preserve">Právní rámec pro požadavky podmíněnosti pro oblast veřejné zdraví, zdraví zvířat a zdraví rostlin: </w:t>
      </w:r>
    </w:p>
    <w:p w14:paraId="7DD6E4DF" w14:textId="77777777" w:rsidR="00CB2594" w:rsidRPr="007434DA" w:rsidRDefault="00CB2594" w:rsidP="00B1703F">
      <w:pPr>
        <w:pStyle w:val="Odstavecseseznamem"/>
        <w:numPr>
          <w:ilvl w:val="0"/>
          <w:numId w:val="14"/>
        </w:numPr>
        <w:spacing w:before="120" w:line="360" w:lineRule="atLeast"/>
        <w:rPr>
          <w:b/>
        </w:rPr>
      </w:pPr>
      <w:r w:rsidRPr="007434DA">
        <w:rPr>
          <w:b/>
        </w:rPr>
        <w:t>Bezpečnost potravin</w:t>
      </w:r>
    </w:p>
    <w:p w14:paraId="38172777" w14:textId="77777777" w:rsidR="00CB2594" w:rsidRPr="007434DA" w:rsidRDefault="00CB2594" w:rsidP="0056328F">
      <w:pPr>
        <w:pStyle w:val="UZEIOdrky"/>
      </w:pPr>
      <w:r w:rsidRPr="007434DA">
        <w:t xml:space="preserve">Nařízení Evropského parlamentu a Rady (ES) č. 178/2002 ze dne 28. ledna 2002, kterým se stanoví obecné zásady a požadavky potravinového práva, zřizuje se Evropský úřad pro bezpečnost potravin a stanoví postupy týkající se bezpečnosti potravin </w:t>
      </w:r>
    </w:p>
    <w:p w14:paraId="6B51D2B9" w14:textId="1D7DD36C" w:rsidR="00CB2594" w:rsidRPr="007434DA" w:rsidRDefault="00CB2594" w:rsidP="0056328F">
      <w:pPr>
        <w:pStyle w:val="UZEINormaln"/>
        <w:numPr>
          <w:ilvl w:val="0"/>
          <w:numId w:val="14"/>
        </w:numPr>
        <w:rPr>
          <w:b/>
        </w:rPr>
      </w:pPr>
      <w:r w:rsidRPr="007434DA">
        <w:t>Směrnice Rady 96/22/ES ze dne 29. dubna 1996 o zákazu používání některých látek s hormonálním nebo tyreostatickým účinkem a beta-sympatomimetik v chovech zvířat a o zrušení směrnic 81/602/EHS, 88/146/EHS a 88/299/EHS (Úř. věst. L 125, 23.5.1996, s. 3</w:t>
      </w:r>
      <w:r w:rsidRPr="007434DA">
        <w:rPr>
          <w:b/>
        </w:rPr>
        <w:t>Identifikace a evidence zvířat</w:t>
      </w:r>
    </w:p>
    <w:p w14:paraId="3D0E02E3" w14:textId="77777777" w:rsidR="00CB2594" w:rsidRPr="007434DA" w:rsidRDefault="00CB2594" w:rsidP="0056328F">
      <w:pPr>
        <w:pStyle w:val="UZEIOdrky"/>
      </w:pPr>
      <w:r w:rsidRPr="007434DA">
        <w:t>Směrnice Rady 2008/71/ES ze dne 15. července 2008 o identifikaci a evidování prasat (Úř. věst. L 213, 8.8.2008, s. 31)</w:t>
      </w:r>
    </w:p>
    <w:p w14:paraId="5D9185B8" w14:textId="77777777" w:rsidR="00CB2594" w:rsidRPr="007434DA" w:rsidRDefault="00CB2594" w:rsidP="0056328F">
      <w:pPr>
        <w:pStyle w:val="UZEIOdrky"/>
      </w:pPr>
      <w:r w:rsidRPr="007434DA">
        <w:t>Nařízení Evropského parlamentu a Rady (ES) č. 1760/2000 ze dne 17. července 2000 o systému identifikace a evidence skotu, o označování hovězího masa a výrobků z hovězího masa a o zrušení nařízení Rady (ES) č. 820/97 (Úř. věst. L 204, 11.8.2000, s. 1): články 4 a 7</w:t>
      </w:r>
    </w:p>
    <w:p w14:paraId="32C3DA15" w14:textId="77777777" w:rsidR="00CB2594" w:rsidRPr="007434DA" w:rsidRDefault="00CB2594" w:rsidP="0056328F">
      <w:pPr>
        <w:pStyle w:val="UZEIOdrky"/>
      </w:pPr>
      <w:r w:rsidRPr="007434DA">
        <w:t>Nařízení Rady (ES) č. 21/2004 ze dne 17. prosince 2003 o stanovení systému identifikace a evidence ovcí a koz a o změně nařízení (ES) č. 1782/2003 a směrnic 92/102/EHS a 64/432/EHS (Úř. věst. L 5, 9.1.2004, s. 8)</w:t>
      </w:r>
    </w:p>
    <w:p w14:paraId="1E92233C" w14:textId="77777777" w:rsidR="00CB2594" w:rsidRPr="007434DA" w:rsidRDefault="00CB2594" w:rsidP="00B1703F">
      <w:pPr>
        <w:pStyle w:val="Odstavecseseznamem"/>
        <w:numPr>
          <w:ilvl w:val="0"/>
          <w:numId w:val="14"/>
        </w:numPr>
        <w:spacing w:before="120" w:line="360" w:lineRule="atLeast"/>
        <w:rPr>
          <w:b/>
        </w:rPr>
      </w:pPr>
      <w:r w:rsidRPr="007434DA">
        <w:rPr>
          <w:b/>
        </w:rPr>
        <w:t>Nákazy zvířat</w:t>
      </w:r>
    </w:p>
    <w:p w14:paraId="675E72D6" w14:textId="77777777" w:rsidR="00CB2594" w:rsidRPr="007434DA" w:rsidRDefault="00CB2594" w:rsidP="0056328F">
      <w:pPr>
        <w:pStyle w:val="UZEIOdrky"/>
      </w:pPr>
      <w:r w:rsidRPr="007434DA">
        <w:t>Nařízení Evropského parlamentu a Rady (ES) č. 999/2001 ze dne 22. května 2001 o stanovení pravidel pro prevenci, tlumení a eradikaci některých přenosných spongiformních encefalopatií (Úř. věst. L 147, 31.5.2001, s. 1)</w:t>
      </w:r>
    </w:p>
    <w:p w14:paraId="2D6864DE" w14:textId="43E2E538" w:rsidR="00CB2594" w:rsidRPr="007434DA" w:rsidRDefault="00CB2594" w:rsidP="003F5EB5">
      <w:pPr>
        <w:pStyle w:val="UZEINormaln"/>
        <w:numPr>
          <w:ilvl w:val="0"/>
          <w:numId w:val="14"/>
        </w:numPr>
        <w:rPr>
          <w:b/>
        </w:rPr>
      </w:pPr>
      <w:r w:rsidRPr="007434DA">
        <w:t xml:space="preserve">Nařízení Evropského parlamentu a Rady (EU) 2016/429 ze dne 9. března 2016 o nákazách zvířat (Úř. věst. L 84, 31.3.2016, s. 1): </w:t>
      </w:r>
      <w:r w:rsidRPr="007434DA">
        <w:rPr>
          <w:b/>
        </w:rPr>
        <w:t>Dobré životní podmínky zvířat a zdraví zvířat</w:t>
      </w:r>
    </w:p>
    <w:p w14:paraId="18F26C6C" w14:textId="77777777" w:rsidR="00CB2594" w:rsidRPr="007434DA" w:rsidRDefault="00CB2594" w:rsidP="003F5EB5">
      <w:pPr>
        <w:pStyle w:val="UZEIOdrky"/>
      </w:pPr>
      <w:r w:rsidRPr="007434DA">
        <w:t xml:space="preserve">Směrnice Rady 2008/119/ES ze dne 18. prosince 2008, kterou se stanoví minimální požadavky pro ochranu telat (Úř. věst. L 10, 15.1.2009, s. 7): </w:t>
      </w:r>
    </w:p>
    <w:p w14:paraId="2736218F" w14:textId="77777777" w:rsidR="00CB2594" w:rsidRPr="007434DA" w:rsidRDefault="00CB2594" w:rsidP="003F5EB5">
      <w:pPr>
        <w:pStyle w:val="UZEIOdrky"/>
      </w:pPr>
      <w:r w:rsidRPr="007434DA">
        <w:t>Směrnice Rady 2008/120/ES ze dne 18. prosince 2008, kterou se stanoví minimální požadavky pro ochranu prasat (Úř. věst. L 47, 18.2.2009, s. 5):</w:t>
      </w:r>
    </w:p>
    <w:p w14:paraId="62B238DF" w14:textId="77777777" w:rsidR="00CB2594" w:rsidRPr="007434DA" w:rsidRDefault="00CB2594" w:rsidP="003F5EB5">
      <w:pPr>
        <w:pStyle w:val="UZEIOdrky"/>
      </w:pPr>
      <w:r w:rsidRPr="007434DA">
        <w:t>Směrnice Rady 98/58/ES ze dne 20. července 1998 o ochraně zvířat chovaných pro hospodářské účely (Úř. věst. L 221, 8.8.1998, s. 23): článek 4 Nařízení Rady (ES) č. 1/2005 ze dne 22. prosince 2004 o ochraně zvířat během přepravy a souvisejících činností a o změně směrnic 64/432/EHS a 93/119/ES a nařízení Rady (ES) č. 1255/97</w:t>
      </w:r>
    </w:p>
    <w:p w14:paraId="6A3CBF9D" w14:textId="77777777" w:rsidR="00CB2594" w:rsidRPr="007434DA" w:rsidRDefault="00CB2594" w:rsidP="003F5EB5">
      <w:pPr>
        <w:pStyle w:val="UZEIOdrky"/>
      </w:pPr>
      <w:r w:rsidRPr="007434DA">
        <w:t xml:space="preserve">Nařízení Rady (ES) č. 1099/2009 ze dne 24. září 2009 o ochraně zvířat při usmrcování </w:t>
      </w:r>
    </w:p>
    <w:p w14:paraId="378FECDC" w14:textId="77777777" w:rsidR="00CB2594" w:rsidRPr="007434DA" w:rsidRDefault="00CB2594" w:rsidP="003F5EB5">
      <w:pPr>
        <w:pStyle w:val="UZEIOdrky"/>
      </w:pPr>
      <w:r w:rsidRPr="007434DA">
        <w:t>Směrnice Rady 2007/43/ES ze dne 28. června 2007 o minimálních pravidlech pro ochranu kuřat chovaných na maso</w:t>
      </w:r>
    </w:p>
    <w:p w14:paraId="277E934F" w14:textId="77777777" w:rsidR="00CB2594" w:rsidRPr="007434DA" w:rsidRDefault="00CB2594" w:rsidP="003F5EB5">
      <w:pPr>
        <w:pStyle w:val="UZEIOdrky"/>
      </w:pPr>
      <w:r w:rsidRPr="007434DA">
        <w:t>Směrnice Evropského parlamentu a Rady 2010/63/EU ze dne 22. září 2010 o ochraně zvířat používaných pro vědecké účely</w:t>
      </w:r>
    </w:p>
    <w:p w14:paraId="3DE5F9F1" w14:textId="77777777" w:rsidR="00CB2594" w:rsidRPr="007434DA" w:rsidRDefault="00CB2594" w:rsidP="003F5EB5">
      <w:pPr>
        <w:pStyle w:val="UZEIOdrky"/>
      </w:pPr>
      <w:r w:rsidRPr="007434DA">
        <w:t>Směrnice Rady 1999/74/ES, ze dne 19. července 1999, kterou se stanoví minimální požadavky na ochranu nosnic</w:t>
      </w:r>
    </w:p>
    <w:p w14:paraId="3AB26DE4" w14:textId="77777777" w:rsidR="00CB2594" w:rsidRPr="007434DA" w:rsidRDefault="00CB2594" w:rsidP="003F5EB5">
      <w:pPr>
        <w:pStyle w:val="UZEIOdrky"/>
      </w:pPr>
      <w:r w:rsidRPr="007434DA">
        <w:t>Směrnice Rady 93/119/ES ze dne 22. prosince 1993 o ochraně zvířat při porážení nebo usmrcování</w:t>
      </w:r>
    </w:p>
    <w:p w14:paraId="160DC135" w14:textId="4A3E5B36" w:rsidR="00CB2594" w:rsidRPr="007434DA" w:rsidRDefault="00CB2594" w:rsidP="00045D43">
      <w:pPr>
        <w:pStyle w:val="UZEIOdrky"/>
      </w:pPr>
      <w:r w:rsidRPr="007434DA">
        <w:t>Nařízení Evropského parlamentu a Rady (ES) 178/2002, kterým se stanoví obecné zásady a požadavky potravinového práva (kondicionalita PPH 5) a směrnice Rady 96/22/ES o zákazu používání některých látek s hormonálním a tyreostatickým účinkem a  v chovech zvířat pro téma kontrol podmíněnosti –betasimptomimetik.</w:t>
      </w:r>
    </w:p>
    <w:p w14:paraId="28B9BD9C" w14:textId="5E11E2F1" w:rsidR="00CB2594" w:rsidRPr="00284643" w:rsidRDefault="00CB2594" w:rsidP="00284643">
      <w:pPr>
        <w:pStyle w:val="UZEINormaln"/>
        <w:rPr>
          <w:b/>
          <w:bCs/>
        </w:rPr>
      </w:pPr>
      <w:r w:rsidRPr="00284643">
        <w:rPr>
          <w:b/>
          <w:bCs/>
        </w:rPr>
        <w:t>Právní předpisy ČR</w:t>
      </w:r>
    </w:p>
    <w:p w14:paraId="78ABDBB7" w14:textId="77777777" w:rsidR="00CB2594" w:rsidRPr="007434DA" w:rsidRDefault="00CB2594" w:rsidP="00045D43">
      <w:pPr>
        <w:pStyle w:val="UZEINormaln"/>
      </w:pPr>
      <w:r w:rsidRPr="007434DA">
        <w:t>Ochrana zvířat proti týrání je v podmínkách ČR upravena příslušným zákonem a dalšími právními předpisy v aktuálním znění. Tyto zákony upravují např. výživu, transport, plemenitbu, usmrcování aj.</w:t>
      </w:r>
      <w:r w:rsidRPr="007434DA">
        <w:rPr>
          <w:rStyle w:val="Znakapoznpodarou"/>
          <w:rFonts w:ascii="Arial" w:hAnsi="Arial" w:cs="Arial"/>
          <w:sz w:val="20"/>
          <w:szCs w:val="20"/>
        </w:rPr>
        <w:footnoteReference w:id="58"/>
      </w:r>
      <w:r w:rsidRPr="007434DA">
        <w:t xml:space="preserve"> </w:t>
      </w:r>
    </w:p>
    <w:p w14:paraId="7418F7B5" w14:textId="77777777" w:rsidR="00CB2594" w:rsidRPr="007434DA" w:rsidRDefault="00CB2594" w:rsidP="00045D43">
      <w:pPr>
        <w:pStyle w:val="UZEINormaln"/>
        <w:rPr>
          <w:b/>
          <w:bCs/>
        </w:rPr>
      </w:pPr>
      <w:r w:rsidRPr="007434DA">
        <w:rPr>
          <w:b/>
          <w:bCs/>
        </w:rPr>
        <w:t xml:space="preserve">Hlavními vybranými zákony jsou: </w:t>
      </w:r>
    </w:p>
    <w:p w14:paraId="7CE3E13F" w14:textId="77777777" w:rsidR="00CB2594" w:rsidRPr="007434DA" w:rsidRDefault="00CB2594" w:rsidP="00045D43">
      <w:pPr>
        <w:pStyle w:val="UZEIOdrky"/>
      </w:pPr>
      <w:r w:rsidRPr="007434DA">
        <w:t xml:space="preserve">Zákon č. 166/1999 Sb., o veterinární péči a o změně některých souvisejících zákonů (veterinární zákon), ve znění pozdějších předpisů </w:t>
      </w:r>
    </w:p>
    <w:p w14:paraId="4D452FE3" w14:textId="77777777" w:rsidR="00CB2594" w:rsidRPr="007434DA" w:rsidRDefault="00CB2594" w:rsidP="00045D43">
      <w:pPr>
        <w:pStyle w:val="UZEIOdrky"/>
      </w:pPr>
      <w:r w:rsidRPr="007434DA">
        <w:t>Zákon č. 252/1997 Sb. o zemědělství ve znění pozdějších předpisů</w:t>
      </w:r>
    </w:p>
    <w:p w14:paraId="724AF6FF" w14:textId="77777777" w:rsidR="00CB2594" w:rsidRPr="007434DA" w:rsidRDefault="00CB2594" w:rsidP="00045D43">
      <w:pPr>
        <w:pStyle w:val="UZEIOdrky"/>
      </w:pPr>
      <w:r w:rsidRPr="007434DA">
        <w:t>Zákon č. 154/2000 Sb., o šlechtění, plemenitbě a evidenci hospodářských zvířat a o změně některých souvisejících zákonů (plemenářský zákon), ve znění pozdějších předpisů</w:t>
      </w:r>
    </w:p>
    <w:p w14:paraId="40F2852E" w14:textId="4725B45B" w:rsidR="00CB2594" w:rsidRPr="007434DA" w:rsidRDefault="00CB2594" w:rsidP="00045D43">
      <w:pPr>
        <w:pStyle w:val="UZEIOdrky"/>
      </w:pPr>
      <w:r w:rsidRPr="007434DA">
        <w:t xml:space="preserve">Zákon č. 246/1992 Sb., na ochranu zvířat proti týrání, ve znění pozdějších předpisů </w:t>
      </w:r>
    </w:p>
    <w:p w14:paraId="3C1964EE" w14:textId="0C84E6D2" w:rsidR="00F60BBD" w:rsidRDefault="00CB2594" w:rsidP="00FA3A37">
      <w:pPr>
        <w:pStyle w:val="UZEIOdrky"/>
        <w:numPr>
          <w:ilvl w:val="0"/>
          <w:numId w:val="0"/>
        </w:numPr>
        <w:ind w:left="720" w:hanging="360"/>
      </w:pPr>
      <w:r w:rsidRPr="007434DA">
        <w:t>Vyhláška č. 208/2004 Sb. o minimálních standardech pro ochranu hospodářských zvířat, ve znění pozdějších předpisů</w:t>
      </w:r>
      <w:r w:rsidR="00F60BBD">
        <w:t>.</w:t>
      </w:r>
    </w:p>
    <w:p w14:paraId="64CC0D61" w14:textId="1AAB02BA" w:rsidR="008E36A5" w:rsidRPr="00FA3A37" w:rsidRDefault="008E36A5" w:rsidP="00FA3A37">
      <w:pPr>
        <w:pStyle w:val="UZEIOdrky"/>
        <w:numPr>
          <w:ilvl w:val="0"/>
          <w:numId w:val="0"/>
        </w:numPr>
        <w:ind w:left="360"/>
        <w:rPr>
          <w:b/>
        </w:rPr>
      </w:pPr>
      <w:r w:rsidRPr="00FA3A37">
        <w:rPr>
          <w:b/>
        </w:rPr>
        <w:t xml:space="preserve">Řešení situace afrického moru prasat </w:t>
      </w:r>
    </w:p>
    <w:p w14:paraId="284F7B69" w14:textId="16A46EE0" w:rsidR="008E36A5" w:rsidRPr="00645921" w:rsidRDefault="008E36A5" w:rsidP="00FA3A37">
      <w:pPr>
        <w:pStyle w:val="UZEIOdrky"/>
        <w:numPr>
          <w:ilvl w:val="0"/>
          <w:numId w:val="0"/>
        </w:numPr>
        <w:ind w:left="360"/>
        <w:rPr>
          <w:rFonts w:eastAsiaTheme="minorHAnsi"/>
        </w:rPr>
      </w:pPr>
      <w:r w:rsidRPr="00645921">
        <w:rPr>
          <w:rFonts w:eastAsiaTheme="minorHAnsi"/>
        </w:rPr>
        <w:t>V ČR je prováděn monitoring afrického moru prasat (AMP) u prasat divokých i u prasat domácích (pasivní surveillance) a informování dle veterinárního zákona č. 166/19998 Sb. (odběr vzorků, zajištění laboratorního vyšetření).</w:t>
      </w:r>
    </w:p>
    <w:p w14:paraId="0C3E290A" w14:textId="77777777" w:rsidR="008E36A5" w:rsidRPr="00645921" w:rsidRDefault="008E36A5" w:rsidP="008E36A5">
      <w:pPr>
        <w:pStyle w:val="UZEIOdrky"/>
        <w:rPr>
          <w:rFonts w:eastAsiaTheme="minorHAnsi"/>
        </w:rPr>
      </w:pPr>
      <w:r w:rsidRPr="00645921">
        <w:rPr>
          <w:rFonts w:eastAsiaTheme="minorHAnsi"/>
        </w:rPr>
        <w:t>Je vyhodnocována nákazová situace AMP u prasat divokých i domácích zvláště v příhraničních oblastech (zejména DE, PL a SK) a zajištěna informovanost chovatelů, myslivců i široké veřejnosti - letáky, QR kódy (internetové stránky SVS).</w:t>
      </w:r>
    </w:p>
    <w:p w14:paraId="47B91975" w14:textId="77777777" w:rsidR="008E36A5" w:rsidRPr="00645921" w:rsidRDefault="008E36A5" w:rsidP="008E36A5">
      <w:pPr>
        <w:pStyle w:val="UZEIOdrky"/>
        <w:rPr>
          <w:rFonts w:eastAsiaTheme="minorHAnsi"/>
        </w:rPr>
      </w:pPr>
      <w:r w:rsidRPr="00645921">
        <w:rPr>
          <w:rFonts w:eastAsiaTheme="minorHAnsi"/>
        </w:rPr>
        <w:t>Jsou vymezeny oblasti s intenzivním odlovem prasat divokých (podpořeno vyplácení zástřelného a nálezného – odběr a vyšetření vzorků).</w:t>
      </w:r>
    </w:p>
    <w:p w14:paraId="180715E2" w14:textId="77777777" w:rsidR="00BF7204" w:rsidRDefault="008E36A5" w:rsidP="00FA4ADF">
      <w:pPr>
        <w:pStyle w:val="UZEIOdrky"/>
        <w:rPr>
          <w:rFonts w:eastAsiaTheme="minorHAnsi"/>
        </w:rPr>
      </w:pPr>
      <w:r w:rsidRPr="00741DAC">
        <w:rPr>
          <w:rFonts w:eastAsiaTheme="minorHAnsi"/>
        </w:rPr>
        <w:t xml:space="preserve">Pro biologickou bezpečnost v chovech prasat domácích je uplatňován </w:t>
      </w:r>
    </w:p>
    <w:p w14:paraId="16CC98E5" w14:textId="211E0734" w:rsidR="008E36A5" w:rsidRPr="00741DAC" w:rsidRDefault="008E36A5" w:rsidP="00FA3A37">
      <w:pPr>
        <w:pStyle w:val="UZEIOdrky"/>
        <w:numPr>
          <w:ilvl w:val="0"/>
          <w:numId w:val="58"/>
        </w:numPr>
        <w:rPr>
          <w:rFonts w:eastAsiaTheme="minorHAnsi"/>
        </w:rPr>
      </w:pPr>
      <w:r w:rsidRPr="00741DAC">
        <w:rPr>
          <w:rFonts w:eastAsiaTheme="minorHAnsi"/>
        </w:rPr>
        <w:t xml:space="preserve">požadavek na oplocení chovů prasat (§2a vyhlášky č. 342/2012 Sb.), </w:t>
      </w:r>
    </w:p>
    <w:p w14:paraId="421237CC" w14:textId="4CD73CF7" w:rsidR="008E36A5" w:rsidRPr="00645921" w:rsidRDefault="008E36A5" w:rsidP="00FA3A37">
      <w:pPr>
        <w:pStyle w:val="UZEIOdrky"/>
        <w:numPr>
          <w:ilvl w:val="0"/>
          <w:numId w:val="58"/>
        </w:numPr>
        <w:rPr>
          <w:rFonts w:eastAsiaTheme="minorHAnsi"/>
        </w:rPr>
      </w:pPr>
      <w:r w:rsidRPr="00645921">
        <w:rPr>
          <w:rFonts w:eastAsiaTheme="minorHAnsi"/>
        </w:rPr>
        <w:t xml:space="preserve">u všech chovů a chovatelů prasat je dle národní legislativy stanovena povinnost vedení evidence prasat - hlášení do ústřední evidence IZR (plemenářský zákon č. 154/2000 Sb. a vyhláška č. 136/2004 Sb.), </w:t>
      </w:r>
    </w:p>
    <w:p w14:paraId="4FF36633" w14:textId="07F0F95F" w:rsidR="008E36A5" w:rsidRPr="00645921" w:rsidRDefault="008E36A5" w:rsidP="00FA3A37">
      <w:pPr>
        <w:pStyle w:val="UZEIOdrky"/>
        <w:numPr>
          <w:ilvl w:val="0"/>
          <w:numId w:val="58"/>
        </w:numPr>
        <w:rPr>
          <w:rFonts w:eastAsiaTheme="minorHAnsi"/>
        </w:rPr>
      </w:pPr>
      <w:r w:rsidRPr="00645921">
        <w:rPr>
          <w:rFonts w:eastAsiaTheme="minorHAnsi"/>
        </w:rPr>
        <w:t>je vydán zákaz zkrmování odpadů se stravovacích zařízení a kuchyňských odpadů a používání sena a slámy, které pochází ze zemí s výskytem AMP (mimořádná veterinární opatření - MVO),</w:t>
      </w:r>
    </w:p>
    <w:p w14:paraId="47A48B3E" w14:textId="33729F2B" w:rsidR="008E36A5" w:rsidRPr="00645921" w:rsidRDefault="008E36A5" w:rsidP="00FA3A37">
      <w:pPr>
        <w:pStyle w:val="UZEIOdrky"/>
        <w:numPr>
          <w:ilvl w:val="0"/>
          <w:numId w:val="58"/>
        </w:numPr>
        <w:rPr>
          <w:rFonts w:eastAsiaTheme="minorHAnsi"/>
        </w:rPr>
      </w:pPr>
      <w:r w:rsidRPr="00645921">
        <w:rPr>
          <w:rFonts w:eastAsiaTheme="minorHAnsi"/>
        </w:rPr>
        <w:t>v chovech je používána dezinfekce, je zajištěn černo bílý provoz, hygienická smyčka, zamezení kontaktu chovaných prasat domácích s divokými,</w:t>
      </w:r>
    </w:p>
    <w:p w14:paraId="0E7EA5C3" w14:textId="264D76DB" w:rsidR="008E36A5" w:rsidRPr="00645921" w:rsidRDefault="008E36A5" w:rsidP="00FA3A37">
      <w:pPr>
        <w:pStyle w:val="UZEIOdrky"/>
        <w:numPr>
          <w:ilvl w:val="0"/>
          <w:numId w:val="58"/>
        </w:numPr>
        <w:rPr>
          <w:rFonts w:eastAsiaTheme="minorHAnsi"/>
        </w:rPr>
      </w:pPr>
      <w:r w:rsidRPr="00645921">
        <w:rPr>
          <w:rFonts w:eastAsiaTheme="minorHAnsi"/>
        </w:rPr>
        <w:t>je zajištěna informovanost personálu o AMP,</w:t>
      </w:r>
    </w:p>
    <w:p w14:paraId="2BA9F452" w14:textId="4ACF986F" w:rsidR="008E36A5" w:rsidRPr="008E36A5" w:rsidRDefault="008E36A5" w:rsidP="00FA3A37">
      <w:pPr>
        <w:pStyle w:val="UZEIOdrky"/>
        <w:numPr>
          <w:ilvl w:val="0"/>
          <w:numId w:val="58"/>
        </w:numPr>
        <w:rPr>
          <w:rFonts w:eastAsiaTheme="minorHAnsi"/>
        </w:rPr>
      </w:pPr>
      <w:r w:rsidRPr="00645921">
        <w:rPr>
          <w:rFonts w:eastAsiaTheme="minorHAnsi"/>
        </w:rPr>
        <w:t>jsou prováděny pravidelné kontroly chovů ze strany Státní veterinární správy (KVS).</w:t>
      </w:r>
    </w:p>
    <w:p w14:paraId="4F808E71" w14:textId="77777777" w:rsidR="008E36A5" w:rsidRPr="002A224B" w:rsidRDefault="008E36A5" w:rsidP="002A224B">
      <w:pPr>
        <w:pStyle w:val="UZEIOdrky"/>
        <w:numPr>
          <w:ilvl w:val="0"/>
          <w:numId w:val="0"/>
        </w:numPr>
        <w:ind w:left="360"/>
        <w:rPr>
          <w:b/>
          <w:bCs/>
        </w:rPr>
      </w:pPr>
    </w:p>
    <w:p w14:paraId="0BA67535" w14:textId="45C5C76E" w:rsidR="00CB2594" w:rsidRPr="00284643" w:rsidRDefault="00CB2594" w:rsidP="00F60BBD">
      <w:pPr>
        <w:pStyle w:val="UZEIOdrky"/>
        <w:numPr>
          <w:ilvl w:val="0"/>
          <w:numId w:val="0"/>
        </w:numPr>
        <w:ind w:left="284"/>
        <w:rPr>
          <w:b/>
          <w:bCs/>
        </w:rPr>
      </w:pPr>
      <w:r w:rsidRPr="00284643">
        <w:rPr>
          <w:b/>
          <w:bCs/>
        </w:rPr>
        <w:t>Strategie</w:t>
      </w:r>
    </w:p>
    <w:p w14:paraId="0BEB1F84" w14:textId="77777777" w:rsidR="00CB2594" w:rsidRPr="007434DA" w:rsidRDefault="00CB2594" w:rsidP="00351DCB">
      <w:pPr>
        <w:pStyle w:val="UZEIOdrky"/>
      </w:pPr>
      <w:r w:rsidRPr="007434DA">
        <w:t>Strategie resortu Ministerstva zemědělství České republiky s výhledem do roku 2030</w:t>
      </w:r>
    </w:p>
    <w:p w14:paraId="5624B357" w14:textId="141598B7" w:rsidR="00CB2594" w:rsidRPr="007434DA" w:rsidRDefault="00CB2594" w:rsidP="00351DCB">
      <w:pPr>
        <w:pStyle w:val="UZEIOdrky"/>
      </w:pPr>
      <w:r w:rsidRPr="007434DA">
        <w:t>Implementační plán Strategie resortu Ministerstva zemědělství na období 2017</w:t>
      </w:r>
      <w:r w:rsidR="005F00C5" w:rsidRPr="007434DA">
        <w:t xml:space="preserve"> –</w:t>
      </w:r>
      <w:r w:rsidRPr="007434DA">
        <w:t xml:space="preserve"> 2020</w:t>
      </w:r>
      <w:r w:rsidR="005F00C5" w:rsidRPr="007434DA">
        <w:t xml:space="preserve"> </w:t>
      </w:r>
    </w:p>
    <w:p w14:paraId="5900E6C6" w14:textId="77777777" w:rsidR="00CB2594" w:rsidRPr="007434DA" w:rsidRDefault="00CB2594" w:rsidP="00351DCB">
      <w:pPr>
        <w:pStyle w:val="UZEIOdrky"/>
      </w:pPr>
      <w:r w:rsidRPr="007434DA">
        <w:t>Koncepce výzkumu, vývoje a inovací Ministerstva zemědělství na léta 2016 – 2020</w:t>
      </w:r>
    </w:p>
    <w:p w14:paraId="12A20F6D" w14:textId="0AEA2AEC" w:rsidR="00CB2594" w:rsidRPr="007434DA" w:rsidRDefault="00CB2594" w:rsidP="00351DCB">
      <w:pPr>
        <w:pStyle w:val="UZEIOdrky"/>
      </w:pPr>
      <w:r w:rsidRPr="007434DA">
        <w:t>Program aplikovaného výzkumu Ministerstva zemědělství na období 2017 – 2025</w:t>
      </w:r>
    </w:p>
    <w:p w14:paraId="6E3685BD" w14:textId="77777777" w:rsidR="00CB2594" w:rsidRPr="007434DA" w:rsidRDefault="00CB2594" w:rsidP="00351DCB">
      <w:pPr>
        <w:pStyle w:val="UZEIOdrky"/>
        <w:numPr>
          <w:ilvl w:val="0"/>
          <w:numId w:val="0"/>
        </w:numPr>
        <w:ind w:left="720"/>
        <w:rPr>
          <w:b/>
        </w:rPr>
      </w:pPr>
      <w:bookmarkStart w:id="275" w:name="_Toc80877890"/>
      <w:bookmarkStart w:id="276" w:name="_Toc517081644"/>
      <w:bookmarkEnd w:id="275"/>
    </w:p>
    <w:bookmarkEnd w:id="276"/>
    <w:p w14:paraId="1ADE5AC4" w14:textId="09BCAC10" w:rsidR="00CB2594" w:rsidRPr="007434DA" w:rsidRDefault="00CB2594" w:rsidP="005F00C5">
      <w:pPr>
        <w:rPr>
          <w:rFonts w:ascii="Arial" w:hAnsi="Arial" w:cs="Arial"/>
          <w:b/>
          <w:bCs/>
          <w:lang w:val="cs-CZ"/>
        </w:rPr>
      </w:pPr>
      <w:r w:rsidRPr="007434DA">
        <w:rPr>
          <w:b/>
          <w:bCs/>
          <w:lang w:val="cs-CZ"/>
        </w:rPr>
        <w:t>Specifický cíl:</w:t>
      </w:r>
    </w:p>
    <w:p w14:paraId="7CBB9A6B" w14:textId="77777777" w:rsidR="00F90F35" w:rsidRPr="007434DA" w:rsidRDefault="00F90F35" w:rsidP="00F90F35">
      <w:pPr>
        <w:pStyle w:val="UZEINormaln"/>
      </w:pPr>
      <w:r w:rsidRPr="007434DA">
        <w:t xml:space="preserve">Zlepšovat reakci zemědělství </w:t>
      </w:r>
      <w:r>
        <w:t>Unie</w:t>
      </w:r>
      <w:r w:rsidRPr="007434DA">
        <w:t xml:space="preserve"> na společenskou poptávku </w:t>
      </w:r>
      <w:r>
        <w:t xml:space="preserve">týkající se potravin </w:t>
      </w:r>
      <w:r w:rsidRPr="007434DA">
        <w:t>a zdraví, včetně</w:t>
      </w:r>
      <w:r>
        <w:t xml:space="preserve"> vysoce kvalitních,</w:t>
      </w:r>
      <w:r w:rsidRPr="007434DA">
        <w:t xml:space="preserve"> bezpečných </w:t>
      </w:r>
      <w:r>
        <w:t xml:space="preserve">a </w:t>
      </w:r>
      <w:r w:rsidRPr="007434DA">
        <w:t xml:space="preserve">výživných potravin </w:t>
      </w:r>
      <w:r>
        <w:t>vyprodukovaných udržitelným způsobem, omezit plýtvání potravinami, jakož i zlepšit životní podmínky zvířat a eliminovat antimikrobiální rezistenci</w:t>
      </w:r>
    </w:p>
    <w:p w14:paraId="1FEE2FB4" w14:textId="50CB861A" w:rsidR="00CB2594" w:rsidRPr="007434DA" w:rsidRDefault="00CB2594" w:rsidP="005F00C5">
      <w:pPr>
        <w:pStyle w:val="UZEINormaln"/>
      </w:pPr>
    </w:p>
    <w:p w14:paraId="0FA8CDBB" w14:textId="77777777" w:rsidR="00CB2594" w:rsidRPr="00284643" w:rsidRDefault="00CB2594" w:rsidP="00284643">
      <w:pPr>
        <w:pStyle w:val="UZEINormaln"/>
        <w:rPr>
          <w:b/>
          <w:bCs/>
        </w:rPr>
      </w:pPr>
      <w:bookmarkStart w:id="277" w:name="_Toc533068225"/>
      <w:bookmarkStart w:id="278" w:name="_Toc12466353"/>
      <w:bookmarkStart w:id="279" w:name="_Toc12611774"/>
      <w:bookmarkStart w:id="280" w:name="_Toc12613440"/>
      <w:bookmarkStart w:id="281" w:name="_Toc80877891"/>
      <w:r w:rsidRPr="00284643">
        <w:rPr>
          <w:b/>
          <w:bCs/>
        </w:rPr>
        <w:t>Uvažované ukazatele - indikátory (dopadové, výsledkové, výstupové)</w:t>
      </w:r>
      <w:bookmarkEnd w:id="277"/>
      <w:bookmarkEnd w:id="278"/>
      <w:bookmarkEnd w:id="279"/>
      <w:bookmarkEnd w:id="280"/>
      <w:bookmarkEnd w:id="281"/>
    </w:p>
    <w:p w14:paraId="59E94165" w14:textId="77777777" w:rsidR="00CB2594" w:rsidRPr="007434DA" w:rsidRDefault="00CB2594" w:rsidP="005F00C5">
      <w:pPr>
        <w:pStyle w:val="UZEINormaln"/>
        <w:rPr>
          <w:b/>
          <w:bCs/>
        </w:rPr>
      </w:pPr>
      <w:r w:rsidRPr="007434DA">
        <w:rPr>
          <w:b/>
          <w:bCs/>
        </w:rPr>
        <w:t>Základní soubor ukazatelů:</w:t>
      </w:r>
    </w:p>
    <w:p w14:paraId="28543868" w14:textId="77777777" w:rsidR="006D38A8" w:rsidRPr="007434DA" w:rsidRDefault="006D38A8" w:rsidP="005F00C5">
      <w:pPr>
        <w:pStyle w:val="UZEINormaln"/>
        <w:rPr>
          <w:b/>
          <w:bCs/>
        </w:rPr>
      </w:pPr>
    </w:p>
    <w:p w14:paraId="687E6072" w14:textId="4CC7CEC5" w:rsidR="00CB2594" w:rsidRPr="007434DA" w:rsidRDefault="00CB2594" w:rsidP="005F00C5">
      <w:pPr>
        <w:pStyle w:val="UZEINormaln"/>
        <w:rPr>
          <w:b/>
          <w:bCs/>
        </w:rPr>
      </w:pPr>
      <w:r w:rsidRPr="007434DA">
        <w:rPr>
          <w:b/>
          <w:bCs/>
        </w:rPr>
        <w:t>Dopadové indikátory:</w:t>
      </w:r>
    </w:p>
    <w:p w14:paraId="5346E834" w14:textId="236BB78C" w:rsidR="00CB2594" w:rsidRPr="007434DA" w:rsidRDefault="00F56B20" w:rsidP="005F00C5">
      <w:pPr>
        <w:pStyle w:val="UZEINormaln"/>
        <w:ind w:left="425"/>
      </w:pPr>
      <w:r>
        <w:t>I.29</w:t>
      </w:r>
      <w:r w:rsidR="00CB2594" w:rsidRPr="007434DA">
        <w:t xml:space="preserve"> Reakce na poptávku spotřebitelů po kvalitních potravinách: </w:t>
      </w:r>
      <w:r>
        <w:t>H</w:t>
      </w:r>
      <w:r w:rsidR="00CB2594" w:rsidRPr="007434DA">
        <w:t xml:space="preserve">odnota produkce v rámci režimů jakosti </w:t>
      </w:r>
      <w:r>
        <w:t>Unie a produkce ekologického zemědělství</w:t>
      </w:r>
      <w:r w:rsidR="00CB2594" w:rsidRPr="007434DA">
        <w:t>.</w:t>
      </w:r>
    </w:p>
    <w:p w14:paraId="6246F738" w14:textId="72246BCB" w:rsidR="00CB2594" w:rsidRDefault="00CB2594" w:rsidP="005F00C5">
      <w:pPr>
        <w:pStyle w:val="UZEINormaln"/>
        <w:rPr>
          <w:b/>
          <w:bCs/>
        </w:rPr>
      </w:pPr>
      <w:r w:rsidRPr="007434DA">
        <w:rPr>
          <w:b/>
          <w:bCs/>
        </w:rPr>
        <w:t>Výsledkové indikátory:</w:t>
      </w:r>
    </w:p>
    <w:p w14:paraId="57870180" w14:textId="684598FD" w:rsidR="00CB2594" w:rsidRPr="007434DA" w:rsidRDefault="00CB2594" w:rsidP="00F65C97">
      <w:pPr>
        <w:pStyle w:val="UZEINormaln"/>
        <w:ind w:left="425"/>
        <w:jc w:val="left"/>
      </w:pPr>
      <w:r w:rsidRPr="007434DA">
        <w:t>R.</w:t>
      </w:r>
      <w:r w:rsidR="009662E4">
        <w:t>44</w:t>
      </w:r>
      <w:r w:rsidR="00F65C97" w:rsidRPr="00F65C97">
        <w:rPr>
          <w:vertAlign w:val="superscript"/>
        </w:rPr>
        <w:t>PR</w:t>
      </w:r>
      <w:r w:rsidRPr="007434DA">
        <w:t xml:space="preserve"> Zlepšování dobrých životních podmínek zvířat: </w:t>
      </w:r>
      <w:r w:rsidR="00F65C97">
        <w:t>P</w:t>
      </w:r>
      <w:r w:rsidRPr="007434DA">
        <w:t>odíl dobytčích jednotek</w:t>
      </w:r>
      <w:r w:rsidR="00F65C97">
        <w:t xml:space="preserve"> (DJ)</w:t>
      </w:r>
      <w:r w:rsidRPr="007434DA">
        <w:t xml:space="preserve">, na něž se vztahují </w:t>
      </w:r>
      <w:r w:rsidR="00F65C97">
        <w:t xml:space="preserve">podpořená </w:t>
      </w:r>
      <w:r w:rsidRPr="007434DA">
        <w:t>opatření ke zlepšení dobrých životních podmínek zvířat.</w:t>
      </w:r>
    </w:p>
    <w:p w14:paraId="71516363" w14:textId="77777777" w:rsidR="00CB2594" w:rsidRPr="007434DA" w:rsidRDefault="00CB2594" w:rsidP="00F65C97">
      <w:pPr>
        <w:pStyle w:val="UZEINormaln"/>
        <w:jc w:val="left"/>
        <w:rPr>
          <w:b/>
          <w:bCs/>
        </w:rPr>
      </w:pPr>
      <w:r w:rsidRPr="007434DA">
        <w:rPr>
          <w:b/>
          <w:bCs/>
        </w:rPr>
        <w:t>Výstupové indikátory:</w:t>
      </w:r>
    </w:p>
    <w:p w14:paraId="59A8D0EC" w14:textId="52042190" w:rsidR="009662E4" w:rsidRDefault="009662E4" w:rsidP="00F65C97">
      <w:pPr>
        <w:pStyle w:val="UZEINormaln"/>
        <w:ind w:left="425"/>
        <w:jc w:val="left"/>
      </w:pPr>
      <w:r w:rsidRPr="009662E4">
        <w:t>O.</w:t>
      </w:r>
      <w:r w:rsidR="00D9475C">
        <w:t>1</w:t>
      </w:r>
      <w:r w:rsidRPr="009662E4">
        <w:t xml:space="preserve">8 </w:t>
      </w:r>
      <w:r w:rsidR="00F65C97">
        <w:t xml:space="preserve"> Počet dobytčích jednotek (DJ) využívajících podporu na dobré životní podmínky a zdraví zvířat nebo zvýšená opatření v oblasti biologické bezpečnosti.</w:t>
      </w:r>
    </w:p>
    <w:p w14:paraId="24A90509" w14:textId="36A33564" w:rsidR="00D9475C" w:rsidRPr="009662E4" w:rsidRDefault="00D9475C" w:rsidP="009662E4">
      <w:pPr>
        <w:pStyle w:val="UZEINormaln"/>
        <w:ind w:left="425"/>
      </w:pPr>
    </w:p>
    <w:p w14:paraId="43A6D64D" w14:textId="77777777" w:rsidR="009662E4" w:rsidRPr="007434DA" w:rsidRDefault="009662E4" w:rsidP="005F00C5">
      <w:pPr>
        <w:pStyle w:val="UZEINormaln"/>
        <w:ind w:left="425"/>
      </w:pPr>
    </w:p>
    <w:p w14:paraId="02509807" w14:textId="77777777" w:rsidR="00CB2594" w:rsidRPr="007434DA" w:rsidRDefault="00CB2594" w:rsidP="005F00C5">
      <w:pPr>
        <w:pStyle w:val="UZEINormaln"/>
        <w:rPr>
          <w:lang w:eastAsia="x-none"/>
        </w:rPr>
      </w:pPr>
      <w:r w:rsidRPr="007434DA">
        <w:br w:type="page"/>
      </w:r>
    </w:p>
    <w:p w14:paraId="68E50906" w14:textId="77777777" w:rsidR="00CB2594" w:rsidRPr="007434DA" w:rsidRDefault="00CB2594" w:rsidP="006D38A8">
      <w:pPr>
        <w:pStyle w:val="Nadpis1"/>
      </w:pPr>
      <w:bookmarkStart w:id="282" w:name="_Toc533068226"/>
      <w:bookmarkStart w:id="283" w:name="_Toc12613441"/>
      <w:bookmarkStart w:id="284" w:name="_Toc80877892"/>
      <w:bookmarkStart w:id="285" w:name="_Toc81755632"/>
      <w:r w:rsidRPr="007434DA">
        <w:t>Stanovení skutečného problému, na který má politika reagovat (Co je skutečným problémem, na který má/by měla politika v rámci jednotlivých dílčích cílů reagovat)?</w:t>
      </w:r>
      <w:bookmarkEnd w:id="282"/>
      <w:bookmarkEnd w:id="283"/>
      <w:bookmarkEnd w:id="284"/>
      <w:bookmarkEnd w:id="285"/>
    </w:p>
    <w:p w14:paraId="35982C22" w14:textId="77777777" w:rsidR="00CB2594" w:rsidRPr="007434DA" w:rsidRDefault="00CB2594" w:rsidP="006D38A8">
      <w:pPr>
        <w:pStyle w:val="UZEINormaln"/>
      </w:pPr>
      <w:r w:rsidRPr="007434DA">
        <w:t>Rostoucí koncentrace chovů hospodářských zvířat je nejen evropským, ale celosvětovým trendem, neboť umožnila produkování suroviny efektivněji, tzn. s nižšími náklady, a tím přispívala k zajištění výroby cenově dostupnějších potravin. Kromě toho jsou hospodářská zvířata trvale šlechtěna na vysokou výkonnost (užitkovost) a jsou tedy náchylnější, oproti původním druhům, ke zdravotním problémům. Proto je nutné zavádět takové způsoby chovu, které budou lépe akceptovat potřeby hospodářských zvířat a zajistí jim tak i v intenzivním zemědělství příznivější životní podmínky. Také společnost (spotřebitel) se stále více zajímá o to, v jakých podmínkách jsou hospodářská zvířata, reprezentující zdroj výchozí suroviny pro výrobu potravin v zemědělských podnicích chována a jak je s nimi během jejich života zacházeno. Dochází k tomu, že společnost vytváří stále častěji tlak na uplatňování vyšších standardů při chovu hospodářských zvířat, než jsou stanoveny legislativou. Aktuální základní požadavky pro žadatele zemědělských dotací jsou upravovány prostřednictvím požadavků podmíněnosti. Jedná se zejména o povinné požadavky na hospodaření (PPH) týkající se minimálních požadavků pro ochranu telat, prasat a požadavků na ochranu zvířat chovaných pro hospodářské účely.</w:t>
      </w:r>
    </w:p>
    <w:p w14:paraId="29E1F5FC" w14:textId="77777777" w:rsidR="00CB2594" w:rsidRPr="007434DA" w:rsidRDefault="00CB2594" w:rsidP="006D38A8">
      <w:pPr>
        <w:pStyle w:val="UZEINormaln"/>
      </w:pPr>
      <w:r w:rsidRPr="007434DA">
        <w:t>Evropská komise se proto problematikou welfare zvířat zabývá stále intenzivněji. Byla vytvořena Strategie EU</w:t>
      </w:r>
      <w:r w:rsidRPr="007434DA">
        <w:rPr>
          <w:vertAlign w:val="superscript"/>
        </w:rPr>
        <w:footnoteReference w:id="59"/>
      </w:r>
      <w:r w:rsidRPr="007434DA">
        <w:rPr>
          <w:vertAlign w:val="superscript"/>
        </w:rPr>
        <w:t xml:space="preserve"> </w:t>
      </w:r>
      <w:r w:rsidRPr="007434DA">
        <w:t>pro ochranu a dobré životní podmínky zvířat na období 2012-2015, která představovala základ pro zlepšení standardů, stejně jako že tyto normy budou uplatňovány a prosazovány ve všech členských zemích. Další z klíčových priorit Komise je podpora intenzivnějšího dialogu o otázkách dobrých životních podmínek zvířat, které jsou na úrovni EU důležité mezi příslušnými orgány, podniky, občanskou společností a vědci. K dosažení těchto priorit ustanovila EK v roce 2017 Platformu</w:t>
      </w:r>
      <w:r w:rsidRPr="007434DA">
        <w:rPr>
          <w:vertAlign w:val="superscript"/>
        </w:rPr>
        <w:footnoteReference w:id="60"/>
      </w:r>
      <w:r w:rsidRPr="007434DA">
        <w:t>, která si klade za cíl napomáhat Komisi při vývoji a výměně koordinovaných akcí v oblasti dobrých životních podmínek zvířat se zaměřením na: 1. přehlednější uplatňování pravidel EU o dobrých životních podmínkách zvířat prostřednictvím výměny informací a osvědčených postupů a přímého zapojení zúčastněných stran, 2. vyvíjení a využívání dobrovolných závazků ze strany podniků k dalšímu zlepšování welfare zvířat, 3. podporování norem EU v oblasti welfare zvířat s cílem zhodnotit tržní hodnotu produktů Unie na globální úrovni. Následně počátkem roku 2018 jmenovala EK první referenční centrum Evropské unie</w:t>
      </w:r>
      <w:r w:rsidRPr="007434DA">
        <w:rPr>
          <w:vertAlign w:val="superscript"/>
        </w:rPr>
        <w:footnoteReference w:id="61"/>
      </w:r>
      <w:r w:rsidRPr="007434DA">
        <w:rPr>
          <w:vertAlign w:val="superscript"/>
        </w:rPr>
        <w:t xml:space="preserve"> </w:t>
      </w:r>
      <w:r w:rsidRPr="007434DA">
        <w:t>pro dobré životní podmínky zvířat. Po vytvoření Platformy to představuje další milník ve vývoji vysokých standardů EU v oblasti welfare zvířat.</w:t>
      </w:r>
    </w:p>
    <w:p w14:paraId="7D3CC2F9" w14:textId="6C58D1FE" w:rsidR="00CB2594" w:rsidRPr="007434DA" w:rsidRDefault="00CB2594" w:rsidP="004C05BD">
      <w:pPr>
        <w:rPr>
          <w:rFonts w:ascii="Arial" w:hAnsi="Arial" w:cs="Arial"/>
          <w:sz w:val="20"/>
          <w:szCs w:val="20"/>
          <w:lang w:val="cs-CZ"/>
        </w:rPr>
      </w:pPr>
      <w:r w:rsidRPr="007434DA">
        <w:rPr>
          <w:lang w:val="cs-CZ"/>
        </w:rPr>
        <w:t xml:space="preserve">Současný stav a problémy v oblasti uplatňování zásad welfare v chovech hospodářských zvířat souvisí se sociálním a ekonomickým vývojem společnosti. Normy dobrých životních podmínek zvířat se v různých kontextech značně liší. Tyto normy jsou neustále přezkoumávány a jsou diskutovány, vytvářeny a revidovány skupinami pro dobré životní podmínky zvířat, zákonodárci a akademickými pracovníky po celém světě. Věda o dobrých životních podmínkách zvířat používá pro hodnocení jejich kvality života různá kritéria, jako je dlouhověkost, nemoci, imunosuprese, chování, fyziologie a reprodukce. Nicméně není jasné, který z těchto indikátorů poskytuje nejlepší informace, debaty v tomto směru neustále pokračují. Co nejvyšší míra pohody chovaných zvířat je prioritou i v České republice. </w:t>
      </w:r>
    </w:p>
    <w:p w14:paraId="1F10BFA6" w14:textId="77777777" w:rsidR="00CB2594" w:rsidRPr="007434DA" w:rsidRDefault="00CB2594" w:rsidP="004C05BD">
      <w:pPr>
        <w:pStyle w:val="UZEINormaln"/>
      </w:pPr>
      <w:r w:rsidRPr="007434DA">
        <w:t>Základní normy DŽPZ byly ustanoveny v roce 1993 na Farm Animal Welfare Council (FAWC) v podobě vymezení 5 svobod</w:t>
      </w:r>
      <w:r w:rsidRPr="007434DA">
        <w:rPr>
          <w:rStyle w:val="Znakapoznpodarou"/>
          <w:rFonts w:ascii="Arial" w:hAnsi="Arial" w:cs="Arial"/>
          <w:sz w:val="20"/>
          <w:szCs w:val="20"/>
        </w:rPr>
        <w:footnoteReference w:id="62"/>
      </w:r>
      <w:r w:rsidRPr="007434DA">
        <w:t xml:space="preserve"> a byla vytvořena definice ideálního stavu dobré pohody zvířat. Podle posledních výzkumů jsou dobré životní podmínky zvířat (welfare) nejstručněji charakterizovány jako pojem pro vyjádření kvality života zvířete. Toto podrobněji formuluje Strategie EU pro podporu dobrých životních podmínek zvířat na období 2012-2015</w:t>
      </w:r>
      <w:r w:rsidRPr="007434DA">
        <w:rPr>
          <w:vertAlign w:val="superscript"/>
        </w:rPr>
        <w:footnoteReference w:id="63"/>
      </w:r>
      <w:r w:rsidRPr="007434DA">
        <w:t>, jejímž cílem je zajistit všem zvířatům v Evropě „život hodný žití“. Lze tedy pojem welfare chápat tak, že kladné stránky života a prožívání by měly v životě zvířete převládnout nad zápornými</w:t>
      </w:r>
      <w:r w:rsidRPr="007434DA">
        <w:rPr>
          <w:vertAlign w:val="superscript"/>
        </w:rPr>
        <w:footnoteReference w:id="64"/>
      </w:r>
      <w:r w:rsidRPr="007434DA">
        <w:rPr>
          <w:vertAlign w:val="superscript"/>
        </w:rPr>
        <w:t>.</w:t>
      </w:r>
      <w:r w:rsidRPr="007434DA">
        <w:t xml:space="preserve"> Odborníci se zde shodují na třech hlavních elementech DŽPZ: První zkoumá, jak se zvířeti daří po stránce fyzické, druhý vyhodnocuje, jak se zvíře cítí, jak život prožívá po stránce psychické a třetí se zabývá tím do jaké míry může zvíře žít způsobem, který je přirozený pro daný druh.</w:t>
      </w:r>
    </w:p>
    <w:p w14:paraId="6094FA13" w14:textId="77777777" w:rsidR="00CB2594" w:rsidRPr="007434DA" w:rsidRDefault="00CB2594" w:rsidP="004C05BD">
      <w:pPr>
        <w:pStyle w:val="UZEINormaln"/>
      </w:pPr>
      <w:r w:rsidRPr="007434DA">
        <w:t xml:space="preserve">Byly lokalizovány tři přístupy k chovu zvířat a hodnocení jejich životní pohody (Fraser, 2004): </w:t>
      </w:r>
    </w:p>
    <w:p w14:paraId="4E4AA2A3" w14:textId="2B739C8A" w:rsidR="00CB2594" w:rsidRPr="007434DA" w:rsidRDefault="00CB2594" w:rsidP="004C05BD">
      <w:pPr>
        <w:pStyle w:val="UZEINormaln"/>
        <w:numPr>
          <w:ilvl w:val="1"/>
          <w:numId w:val="39"/>
        </w:numPr>
      </w:pPr>
      <w:r w:rsidRPr="007434DA">
        <w:t xml:space="preserve">První přístup </w:t>
      </w:r>
      <w:r w:rsidRPr="007434DA">
        <w:noBreakHyphen/>
        <w:t xml:space="preserve"> zastávají chovatelé: Za klíčové kritérium dobrých životních podmínek považují biologické fungování.</w:t>
      </w:r>
    </w:p>
    <w:p w14:paraId="204E2B19" w14:textId="7804814E" w:rsidR="00CB2594" w:rsidRPr="007434DA" w:rsidRDefault="00CB2594" w:rsidP="004C05BD">
      <w:pPr>
        <w:pStyle w:val="UZEINormaln"/>
        <w:numPr>
          <w:ilvl w:val="1"/>
          <w:numId w:val="39"/>
        </w:numPr>
      </w:pPr>
      <w:r w:rsidRPr="007434DA">
        <w:t xml:space="preserve">Druhý přístup – je zastáván vědci zabývajícími se welfare: Kladou důraz na emoční stav zvířete. </w:t>
      </w:r>
    </w:p>
    <w:p w14:paraId="09E14438" w14:textId="750576D5" w:rsidR="00CB2594" w:rsidRPr="007434DA" w:rsidRDefault="00CB2594" w:rsidP="001C354E">
      <w:pPr>
        <w:pStyle w:val="UZEINormaln"/>
        <w:numPr>
          <w:ilvl w:val="1"/>
          <w:numId w:val="39"/>
        </w:numPr>
        <w:rPr>
          <w:iCs/>
        </w:rPr>
      </w:pPr>
      <w:r w:rsidRPr="007434DA">
        <w:t>Třetí přístup – zastávají spotřebitelé: Zásadní je pro ně nechat zvířata žít</w:t>
      </w:r>
      <w:r w:rsidRPr="007434DA">
        <w:rPr>
          <w:i/>
          <w:iCs/>
        </w:rPr>
        <w:t xml:space="preserve"> </w:t>
      </w:r>
      <w:r w:rsidRPr="007434DA">
        <w:rPr>
          <w:iCs/>
        </w:rPr>
        <w:t>jejich přirozený život, aby mohla svobodně projevit své chování.</w:t>
      </w:r>
      <w:bookmarkStart w:id="286" w:name="_Hlk520194486"/>
    </w:p>
    <w:p w14:paraId="2202CC1F" w14:textId="77777777" w:rsidR="00CB2594" w:rsidRPr="007434DA" w:rsidRDefault="00CB2594" w:rsidP="001C354E">
      <w:pPr>
        <w:pStyle w:val="UZEINormaln"/>
        <w:jc w:val="center"/>
        <w:rPr>
          <w:b/>
          <w:bCs/>
          <w:i/>
          <w:iCs/>
        </w:rPr>
      </w:pPr>
      <w:r w:rsidRPr="007434DA">
        <w:rPr>
          <w:b/>
          <w:bCs/>
          <w:i/>
          <w:iCs/>
        </w:rPr>
        <w:t>Hlavní problém, na který by měla nová politika reagovat:</w:t>
      </w:r>
    </w:p>
    <w:p w14:paraId="605D8871" w14:textId="7190566B" w:rsidR="00CB2594" w:rsidRPr="007434DA" w:rsidRDefault="00CB2594" w:rsidP="007F39E6">
      <w:pPr>
        <w:pStyle w:val="UZEINormaln"/>
      </w:pPr>
      <w:r w:rsidRPr="007434DA">
        <w:t xml:space="preserve">Zlepšit kvalitu života v chovech hospodářských zvířat (skotu, prasat, drůbeže) </w:t>
      </w:r>
      <w:r w:rsidRPr="007434DA">
        <w:rPr>
          <w:b/>
          <w:bCs/>
        </w:rPr>
        <w:t>nad rámec stanovených zákonných norem, kterými jsou v rámci SZP zejména povinné požadavky na hospodaření na ochranu telat, prasat a hospodářských zvířat</w:t>
      </w:r>
      <w:r w:rsidRPr="007434DA">
        <w:t xml:space="preserve">, a reagovat tak na poptávku veřejnosti směrem k zajištění co možná nejvyššího komfortu chovaných zvířat především z hlediska naplnění jejich přirozených životních potřeb. </w:t>
      </w:r>
    </w:p>
    <w:p w14:paraId="49503D55" w14:textId="20F5EC72" w:rsidR="007F39E6" w:rsidRPr="007434DA" w:rsidRDefault="007F39E6">
      <w:pPr>
        <w:spacing w:after="160" w:line="259" w:lineRule="auto"/>
        <w:jc w:val="left"/>
        <w:rPr>
          <w:rFonts w:eastAsia="Times New Roman" w:cstheme="minorHAnsi"/>
          <w:szCs w:val="24"/>
          <w:lang w:val="cs-CZ" w:eastAsia="cs-CZ"/>
        </w:rPr>
      </w:pPr>
      <w:r w:rsidRPr="007434DA">
        <w:rPr>
          <w:lang w:val="cs-CZ"/>
        </w:rPr>
        <w:br w:type="page"/>
      </w:r>
    </w:p>
    <w:p w14:paraId="157C9321" w14:textId="77777777" w:rsidR="007F39E6" w:rsidRPr="007434DA" w:rsidRDefault="007F39E6" w:rsidP="007F39E6">
      <w:pPr>
        <w:pStyle w:val="UZEINormaln"/>
      </w:pPr>
    </w:p>
    <w:p w14:paraId="12BE8784" w14:textId="55CF875E" w:rsidR="00CB2594" w:rsidRPr="007434DA" w:rsidRDefault="00CB2594" w:rsidP="00CB2594">
      <w:pPr>
        <w:pStyle w:val="Nadpis1"/>
      </w:pPr>
      <w:bookmarkStart w:id="287" w:name="_Toc533068227"/>
      <w:bookmarkStart w:id="288" w:name="_Toc12613442"/>
      <w:bookmarkStart w:id="289" w:name="_Toc80877893"/>
      <w:bookmarkStart w:id="290" w:name="_Toc81755633"/>
      <w:bookmarkEnd w:id="286"/>
      <w:r w:rsidRPr="007434DA">
        <w:t>Mechani</w:t>
      </w:r>
      <w:r w:rsidR="007F39E6" w:rsidRPr="007434DA">
        <w:t>s</w:t>
      </w:r>
      <w:r w:rsidRPr="007434DA">
        <w:t>mus a příčiny problému</w:t>
      </w:r>
      <w:bookmarkEnd w:id="287"/>
      <w:bookmarkEnd w:id="288"/>
      <w:bookmarkEnd w:id="289"/>
      <w:bookmarkEnd w:id="290"/>
      <w:r w:rsidRPr="007434DA">
        <w:t xml:space="preserve"> </w:t>
      </w:r>
    </w:p>
    <w:p w14:paraId="3261909F" w14:textId="77777777" w:rsidR="00CB2594" w:rsidRPr="007434DA" w:rsidRDefault="00CB2594" w:rsidP="007F39E6">
      <w:pPr>
        <w:pStyle w:val="UZEINormaln"/>
        <w:rPr>
          <w:b/>
          <w:bCs/>
        </w:rPr>
      </w:pPr>
      <w:r w:rsidRPr="007434DA">
        <w:rPr>
          <w:b/>
          <w:bCs/>
        </w:rPr>
        <w:t xml:space="preserve">Hlavní problémy při uplatňování dobrých životních podmínek zvířat v ČR nad rámec zákonných norem v chovech hospodářských zvířat: </w:t>
      </w:r>
    </w:p>
    <w:p w14:paraId="63F5EA0B" w14:textId="77777777" w:rsidR="00CB2594" w:rsidRPr="007434DA" w:rsidRDefault="00CB2594" w:rsidP="007F39E6">
      <w:pPr>
        <w:pStyle w:val="UZEINormaln"/>
        <w:numPr>
          <w:ilvl w:val="0"/>
          <w:numId w:val="40"/>
        </w:numPr>
      </w:pPr>
      <w:r w:rsidRPr="007434DA">
        <w:t>Není dostatečné poradenství chovatelům v oboru DŽPZ – netýká se jen problematiky plnění podmínek zavedených opatření, ale poradenství obecně ve vztahu k DŽPZ - zdravotní přínosy, přínos užitkovosti, nové trendy prosazované v EU, základního pojmu welfare, apod.</w:t>
      </w:r>
    </w:p>
    <w:p w14:paraId="6C20905E" w14:textId="77777777" w:rsidR="00CB2594" w:rsidRPr="007434DA" w:rsidRDefault="00CB2594" w:rsidP="007F39E6">
      <w:pPr>
        <w:pStyle w:val="UZEINormaln"/>
        <w:numPr>
          <w:ilvl w:val="0"/>
          <w:numId w:val="40"/>
        </w:numPr>
      </w:pPr>
      <w:r w:rsidRPr="007434DA">
        <w:t>Chybí dostatečné propojení výzkumu v jednotlivých oborech ve vztahu k DŽPZ (existuje mnoho dílčích výzkumů z pohledu zootechnického, veterinárního, etologického, ekonomického, chybí však komplexní propojení, ze kterého by byl pro chovatele zřejmý přínos při zapojení se do projektů zaměřených na zlepšení životních podmínek zvířat nad rámec zákonných norem).</w:t>
      </w:r>
    </w:p>
    <w:p w14:paraId="384F6753" w14:textId="77777777" w:rsidR="00CB2594" w:rsidRPr="007434DA" w:rsidRDefault="00CB2594" w:rsidP="007F39E6">
      <w:pPr>
        <w:pStyle w:val="UZEINormaln"/>
        <w:numPr>
          <w:ilvl w:val="0"/>
          <w:numId w:val="40"/>
        </w:numPr>
      </w:pPr>
      <w:r w:rsidRPr="007434DA">
        <w:t>Nízká ochota zemědělců dobrovolně přistupovat ke zpřísňování pravidel nad rámec platné legislativy zapříčiněná obavou, že se nepodaří pokrýt zvýšené náklady DŽPZ.</w:t>
      </w:r>
    </w:p>
    <w:p w14:paraId="593BBAAF" w14:textId="6412B535" w:rsidR="00CB2594" w:rsidRPr="007434DA" w:rsidRDefault="00CB2594" w:rsidP="007F39E6">
      <w:pPr>
        <w:pStyle w:val="UZEINormaln"/>
        <w:numPr>
          <w:ilvl w:val="0"/>
          <w:numId w:val="40"/>
        </w:numPr>
        <w:rPr>
          <w:color w:val="000000" w:themeColor="text1"/>
        </w:rPr>
      </w:pPr>
      <w:r w:rsidRPr="007434DA">
        <w:rPr>
          <w:color w:val="000000" w:themeColor="text1"/>
        </w:rPr>
        <w:t>Nízká nebo jen částečná informovanost spotřebitele o tom, v jakých podmínkách jsou zvířata</w:t>
      </w:r>
      <w:r w:rsidR="005E2222">
        <w:rPr>
          <w:color w:val="000000" w:themeColor="text1"/>
        </w:rPr>
        <w:t>,</w:t>
      </w:r>
      <w:r w:rsidRPr="007434DA">
        <w:rPr>
          <w:color w:val="000000" w:themeColor="text1"/>
        </w:rPr>
        <w:t xml:space="preserve"> z nichž pochází potravina</w:t>
      </w:r>
      <w:r w:rsidR="005E2222">
        <w:rPr>
          <w:color w:val="000000" w:themeColor="text1"/>
        </w:rPr>
        <w:t>,</w:t>
      </w:r>
      <w:r w:rsidRPr="007434DA">
        <w:rPr>
          <w:color w:val="000000" w:themeColor="text1"/>
        </w:rPr>
        <w:t xml:space="preserve"> chována, nedostatečná odborná a marketingová osvěta týkající se problematiky DŽPZ a jejího řešení chovateli.</w:t>
      </w:r>
    </w:p>
    <w:p w14:paraId="6375BC1D" w14:textId="77777777" w:rsidR="00CB2594" w:rsidRPr="007434DA" w:rsidRDefault="00CB2594" w:rsidP="007F39E6">
      <w:pPr>
        <w:pStyle w:val="UZEINormaln"/>
        <w:numPr>
          <w:ilvl w:val="0"/>
          <w:numId w:val="40"/>
        </w:numPr>
      </w:pPr>
      <w:r w:rsidRPr="007434DA">
        <w:t>V ČR chybí kompletní přehled za celé odvětví živočišné výroby o běžné praxi technologie a techniky v chovech hospodářských zvířat. Není k dispozici ucelený přehled o stáří, event. provedené modernizaci budov sloužících k ustájení jednotlivých druhů a kategorií hospodářských zvířat. Tento souhrnný přehled by měl sloužit jako východisko pro neplacený základ (zastoupení technologií v chovech, možnosti technologií pro zlepšení DŽPZ, rezervy v chovech pro zlepšení DŽPZ). Kompletní informace existují pouze o typech technologií využívaných v chovech nosnic. V důsledku změny unijní legislativy</w:t>
      </w:r>
      <w:r w:rsidRPr="007434DA">
        <w:rPr>
          <w:vertAlign w:val="superscript"/>
        </w:rPr>
        <w:footnoteReference w:id="65"/>
      </w:r>
      <w:r w:rsidRPr="007434DA">
        <w:t xml:space="preserve"> určující minimální rozměr podlahové plochy pro každého jedince v klecovém chovu je tento přehled o způsobu chovu evidován (obohacené klece, voliéry, chov na podestýlce pod.). </w:t>
      </w:r>
    </w:p>
    <w:p w14:paraId="36BE9DFF" w14:textId="77777777" w:rsidR="00CB2594" w:rsidRPr="007434DA" w:rsidRDefault="00CB2594" w:rsidP="00FD1EC0">
      <w:pPr>
        <w:pStyle w:val="UZEINormaln"/>
      </w:pPr>
      <w:r w:rsidRPr="007434DA">
        <w:t xml:space="preserve">V rámci analýzy zabývající se problematikou welfare hospodářských zvířat v konvenčních chovech v ČR byl ve spolupráci s oslovenými odborníky z VÚŽV vytvořen přehled hlavních problémů, které mají negativní dopad na úroveň životní pohody chovaných zvířat nebo nesplňují normy pěti svobod. Souhrn problémů vytipovaných u jednotlivých kategorií skotu, prasat a drůbeže, příčiny těchto problémů a jejich rozsah vyjádřený procentuálním podílem zvířat chovaných na území ČR, která jsou tímto problémem zasažena, je uveden v přílohách B.1, B.2 a B.3 tohoto dokumentu, závažnost problému je v tabulkách označena stupněm 1 - n.., kdy nejnižší číslo označuje nejvyšší míru závažnosti.  </w:t>
      </w:r>
    </w:p>
    <w:p w14:paraId="49C003F9" w14:textId="0388750C" w:rsidR="00CB2594" w:rsidRPr="007434DA" w:rsidRDefault="00CB2594" w:rsidP="00FD1EC0">
      <w:pPr>
        <w:pStyle w:val="UZEINormaln"/>
      </w:pPr>
      <w:r w:rsidRPr="007434DA">
        <w:rPr>
          <w:b/>
        </w:rPr>
        <w:t>V chovech skotu</w:t>
      </w:r>
      <w:r w:rsidRPr="007434DA">
        <w:t xml:space="preserve"> bylo nejvíce problémů identifikováno u kategorií dojnice a telata (viz. příloha B.1) V případě dojnic se vytypované problémy týkají zejména nedostatečné prevence v oblasti předcházení nebo tlumení výskytu klinických mastitid a onemocnění končetin, vedoucí k častým zdravotním problémům zvířat. Vlivem šlechtění dochází mimo jiné ke zvětšování tělesného rámce a průměrné hmotnosti dojnic, což se promítá do větších nároků jedinců na životní prostor. Se zvyšujícím se výkonem dojnic (rostoucí užitkovostí) dochází k vyšším nárokům na kvalitu péče o jedince. Na některé z mnoha faktorů způsobujících výše uvedené problémy v chovech dojnic je zaměřeno opatření „Dobré životní podmínky zvířat“ podporované v rámci PRV 2014-2020. Cílem podopatření „Zlepšení stájového prostředí v chovu dojnic“ je omezit výskyt mikroorganismů v prostorách lože (úpravou pH podestýlky), snížit výskyt ektoparazitů a přispět tak ke zmírnění iritačního tlaku prostředí na ustájená zvířata. V rámci tohoto podopatření volí žadatel mezi chemickou a biologickou metodou eliminace nežádoucího hmyzu. Z analýzy údajů o podaných žádostech o podporu v rámci tohoto opatření je zřejmé, že mezi žadateli převládá zájem o likvidaci hmyzu pomocí chemických prostředků. Bi</w:t>
      </w:r>
      <w:r w:rsidR="00E86D58">
        <w:t>o</w:t>
      </w:r>
      <w:r w:rsidRPr="007434DA">
        <w:t xml:space="preserve">logickou metodu, tj. aplikaci dravého hmyzu do podestýlky využilo v roce 2020 pouze 5 % žadatelů. Na zlepšení zdravotního stavu dojnic je zaměřeno také podopatření „Zajištění přístupu do výběhu pro krávy stojící na sucho“. Cílem tohoto podopatření je umožnit suchostojným kravám pobyt v udržovaných venkovních prostorách a pozitivně tak působit na jejich zdravotní stav, zejména na zdravotní stav končetin, na lepší průběh porodu a na životaschopnost narozených telat. Dojnice tráví  ležením cca až 14 hodin denně, proto potřebují i dostatečný prostor k tomuto odpočinku. Je prokázáno, že dostatečná doba odpočinku má příznivý vliv na užitkovost zvířete. Zlepšení pohody jedince v době odpočinku je řešeno podopatřením „Zvětšením lehacího prostoru v chovu dojnic“. Problematika onemocnění paznehtů a kulhání se ve velké míře týká také jalovic. Častým jevem je totiž zanedbání prevence péče o končetiny a chybějící úprava paznehtů březích jalovic před přesunem na porodnu. Dalšími problémy jsou nedostatečná evidence a provádění analýzy onemocnění vyskytujících se v chovech dojnic nebo tepelný stres dojnic způsobený například nedostatečnou izolací stájí. Dále se jedná také o nevhodnou manipulaci se zvířaty během veterinárních zákroků, což je v mnoha případech způsobeno využitím nevyhovujícího fixačního zařízení, a další. </w:t>
      </w:r>
    </w:p>
    <w:p w14:paraId="6665341B" w14:textId="44F3A0E4" w:rsidR="00CB2594" w:rsidRPr="007434DA" w:rsidRDefault="00CB2594" w:rsidP="00FD1EC0">
      <w:pPr>
        <w:pStyle w:val="UZEINormaln"/>
      </w:pPr>
      <w:r w:rsidRPr="007434DA">
        <w:t xml:space="preserve">Problémy identifikované </w:t>
      </w:r>
      <w:r w:rsidRPr="007434DA">
        <w:rPr>
          <w:b/>
        </w:rPr>
        <w:t>pro kategorii telat</w:t>
      </w:r>
      <w:r w:rsidRPr="007434DA">
        <w:t xml:space="preserve"> se týkají především odrohování, jehož provádění bez využití anestezie je legislativně dovoleno do 1. měsíce věku zvířat. Obecně se odborníci ale shodují, že odrohování ve </w:t>
      </w:r>
      <w:r w:rsidR="00044150">
        <w:t xml:space="preserve">věku </w:t>
      </w:r>
      <w:r w:rsidRPr="007434DA">
        <w:t>8 dní věku po narození je pro tele nejméně stresující</w:t>
      </w:r>
      <w:r w:rsidRPr="007434DA">
        <w:rPr>
          <w:rStyle w:val="Znakapoznpodarou"/>
          <w:rFonts w:ascii="Arial" w:hAnsi="Arial" w:cs="Arial"/>
          <w:color w:val="000000" w:themeColor="text1"/>
          <w:sz w:val="20"/>
          <w:szCs w:val="20"/>
        </w:rPr>
        <w:footnoteReference w:id="66"/>
      </w:r>
      <w:r w:rsidRPr="007434DA">
        <w:t>.</w:t>
      </w:r>
      <w:r w:rsidRPr="007434DA">
        <w:rPr>
          <w:rFonts w:ascii="Verdana" w:hAnsi="Verdana"/>
          <w:color w:val="222222"/>
          <w:sz w:val="23"/>
          <w:szCs w:val="23"/>
          <w:shd w:val="clear" w:color="auto" w:fill="FFFFFF"/>
        </w:rPr>
        <w:t xml:space="preserve"> </w:t>
      </w:r>
      <w:r w:rsidRPr="007434DA">
        <w:t>Čím mladší jsou telata, tím snadněji se s nimi zachází a tím méně trpí stresem a lépe se zotavují</w:t>
      </w:r>
      <w:r w:rsidRPr="007434DA">
        <w:rPr>
          <w:rStyle w:val="Znakapoznpodarou"/>
          <w:rFonts w:ascii="Arial" w:hAnsi="Arial" w:cs="Arial"/>
          <w:color w:val="000000" w:themeColor="text1"/>
          <w:sz w:val="20"/>
          <w:szCs w:val="20"/>
        </w:rPr>
        <w:footnoteReference w:id="67"/>
      </w:r>
      <w:r w:rsidRPr="007434DA">
        <w:t xml:space="preserve">. </w:t>
      </w:r>
    </w:p>
    <w:p w14:paraId="538CE90B" w14:textId="77777777" w:rsidR="00CB2594" w:rsidRPr="007434DA" w:rsidRDefault="00CB2594" w:rsidP="00FD1EC0">
      <w:pPr>
        <w:pStyle w:val="UZEINormaln"/>
      </w:pPr>
      <w:r w:rsidRPr="007434DA">
        <w:t xml:space="preserve">U kategorie </w:t>
      </w:r>
      <w:r w:rsidRPr="007434DA">
        <w:rPr>
          <w:b/>
        </w:rPr>
        <w:t>výkrm býků</w:t>
      </w:r>
      <w:r w:rsidRPr="007434DA">
        <w:t xml:space="preserve"> byly identifikovány problémy spojené s využíváním nevhodných typů napajedel, kdy při instalaci miskových či míčových napáječek dochází k výskytu zhoršené kvality napájecí vody, ale také nedostatečné měrné délce napajedla na ustájený kus. Odlišnými problémy jsou zatíženy </w:t>
      </w:r>
      <w:r w:rsidRPr="007434DA">
        <w:rPr>
          <w:b/>
        </w:rPr>
        <w:t>krávy bez tržní produkce mléka</w:t>
      </w:r>
      <w:r w:rsidRPr="007434DA">
        <w:t>, což je do jisté míry způsobeno odlišným managementem chovu této kategorie. Během pastevní sezony jsou tato zvířata vystavena například vyššímu tlaku ekto a endoparazitů. Problematické je také podceňování péče o zvířata v době pastvy, s čímž souvisí především nedostatečné zastínění pastvin či špatný přístup k napájecí vodě, nebo nedostatečně udržovaná plocha kolem napajedel.</w:t>
      </w:r>
    </w:p>
    <w:p w14:paraId="5FD520CA" w14:textId="77777777" w:rsidR="00CB2594" w:rsidRPr="007434DA" w:rsidRDefault="00CB2594" w:rsidP="00FD1EC0">
      <w:pPr>
        <w:pStyle w:val="UZEINormaln"/>
      </w:pPr>
      <w:r w:rsidRPr="007434DA">
        <w:t xml:space="preserve">Také v </w:t>
      </w:r>
      <w:r w:rsidRPr="007434DA">
        <w:rPr>
          <w:b/>
        </w:rPr>
        <w:t>chovu prasat</w:t>
      </w:r>
      <w:r w:rsidRPr="007434DA">
        <w:t xml:space="preserve"> byly identifikovány faktory snižující životní pohodu zvířat v konvenčních chovech a rozděleny podle jednotlivých kategorií. U </w:t>
      </w:r>
      <w:r w:rsidRPr="007434DA">
        <w:rPr>
          <w:b/>
        </w:rPr>
        <w:t>selat</w:t>
      </w:r>
      <w:r w:rsidRPr="007434DA">
        <w:t xml:space="preserve"> je to především kastrace kanečků bez anestezie a krácení ocásků (prováděno jako plošné a preventivní opatření). Okusování ocásků ve skupinách ustájených selat může být vyvoláno různou kombinací vlivů, způsobujících vznik tohoto nežádoucího modelu chování zvířat. Jedním z nich je nedostatečná plocha kotce pro odstavená selata, vedoucí k příliš vysoké koncentraci ustájených zvířat. Na tuto problematiku je zaměřeno podopatření „Zvětšení plochy pro odstavená selata“ podporované v rámci současného PRV. Dále se u selat vyskytují infekce trávícího aparátu vznikající v návaznosti na poodstavový stres. U p</w:t>
      </w:r>
      <w:r w:rsidRPr="007434DA">
        <w:rPr>
          <w:b/>
        </w:rPr>
        <w:t>rasat ve výkrmu</w:t>
      </w:r>
      <w:r w:rsidRPr="007434DA">
        <w:t xml:space="preserve"> dochází k agresivnímu chování zvířat, které se projevuje poraněním slabších jedinců, kdy následně dochází ke stresu a může vést i k selekci zvířete. Jedná se o projev chování způsobený jednak nedostatečným ustájovacím prostorem, ale i absencí objemného krmiva, slámy či jiného materiálu, který by umožňoval uspokojení přirozených potřeb ustájených zvířat. Problémem je rovněž výskyt plicního onemocnění z důvodů nízké zoohygieny, výskytu stájových plynů apod. Prasata ve výkrmu jsou často zatížena (až 60 % výskytu) nevhodným nebo zastaralým vybavením stájí. Jedná se především o špatné osvětlení a ventilaci ustájovacích prostor a celkově nízkou úroveň zoohygieny. Problematické je mnohdy také poškozené zařízení stájí způsobující zranění zvířat. Problémy identifikované pro kategorii výkrm prasat jsou do značné míry aktuální také v případě prasnic a prasniček. Dalším významným problémem specifickým pro kategorie chovu prasnic a prasniček je naprosté omezení přirozených potřeb zvířat vlivem fixace jedince v individuálním ustájení v klecích, a to v období po zapuštění a dále v období cca týden před porodem a po porodu do odstavu selat (absence svobody pohodlí). Dalším problémem jsou ztráty selat při porodu způsobené nedostatečným zajištěním chovatelské péče. Problémy spojené se snížením životní pohody zvířat v chovech prasat jsou popsány v příloze B.2. </w:t>
      </w:r>
    </w:p>
    <w:p w14:paraId="0E57BE67" w14:textId="77777777" w:rsidR="00CB2594" w:rsidRPr="007434DA" w:rsidRDefault="00CB2594" w:rsidP="00E34762">
      <w:pPr>
        <w:pStyle w:val="UZEINormaln"/>
        <w:rPr>
          <w:b/>
          <w:i/>
        </w:rPr>
      </w:pPr>
      <w:r w:rsidRPr="007434DA">
        <w:t xml:space="preserve">Problémy identifikované pro jednotlivé </w:t>
      </w:r>
      <w:r w:rsidRPr="007434DA">
        <w:rPr>
          <w:b/>
        </w:rPr>
        <w:t>kategorie drůbeže</w:t>
      </w:r>
      <w:r w:rsidRPr="007434DA">
        <w:t xml:space="preserve"> jsou uvedeny v příloze B.3. U drůbeže chované v systémech ustájení na podestýlce dochází k častým výskytům respiratorních problémů, podráždění očí a sliznic v návaznosti na vysokou prašnost a zvýšenou koncentraci amoniaku. Ve výkrmu brojlerů byl navíc identifikován výskyt kontaktních dermatitid projevujících se v návaznosti na příliš vlhkou podestýlku</w:t>
      </w:r>
      <w:r w:rsidRPr="007434DA">
        <w:rPr>
          <w:b/>
          <w:i/>
        </w:rPr>
        <w:t xml:space="preserve">. </w:t>
      </w:r>
    </w:p>
    <w:p w14:paraId="573020CD" w14:textId="77DC9F11" w:rsidR="00CB2594" w:rsidRPr="007434DA" w:rsidRDefault="00CB2594" w:rsidP="00E34762">
      <w:pPr>
        <w:pStyle w:val="UZEINormaln"/>
      </w:pPr>
      <w:r w:rsidRPr="007434DA">
        <w:rPr>
          <w:b/>
        </w:rPr>
        <w:t>Nosnice</w:t>
      </w:r>
      <w:r w:rsidRPr="007434DA">
        <w:t xml:space="preserve"> ustájené v klecích jsou náchylné ke snížení pevnosti kostí v důsledku nízké fyzické aktivity (absence svobody uskutečnit normální chování) a zatěžování kostí (platí také pro odchov kuřic) a také ke zhoršené kvalitě opeření na konci snáškového cyklu, způsobené odíráním peří o dráty klecí. V ČR je nyní ustájeno (rok 2020) v obohacených klecích 66 % z celkového stavu nosnic. Naproti tomu nosnice z voliérových chovů a zejména chovů s přístupem do výběhu jsou, v důsledku většího kontaktu s vnějším prostředím, např. vystaveny vyššímu tlaku ektoparazitů a infekčních chorob. V těchto systémech chovu dochází častěji také k projevům kanibalismu, protože vysoký počet zvířat ve skupině snižuje jejich schopnost utvářet stabilní sociální vztahy (snížená svoboda od bolesti, zranění, onemocnění).</w:t>
      </w:r>
    </w:p>
    <w:p w14:paraId="6813E895" w14:textId="103B7A05" w:rsidR="00F16954" w:rsidRPr="007434DA" w:rsidRDefault="00F16954" w:rsidP="00F16954">
      <w:pPr>
        <w:spacing w:after="160" w:line="259" w:lineRule="auto"/>
        <w:jc w:val="left"/>
        <w:rPr>
          <w:rFonts w:eastAsia="Times New Roman" w:cstheme="minorHAnsi"/>
          <w:szCs w:val="24"/>
          <w:lang w:val="cs-CZ" w:eastAsia="cs-CZ"/>
        </w:rPr>
      </w:pPr>
      <w:r w:rsidRPr="007434DA">
        <w:rPr>
          <w:lang w:val="cs-CZ"/>
        </w:rPr>
        <w:br w:type="page"/>
      </w:r>
    </w:p>
    <w:p w14:paraId="6C6738D4" w14:textId="62F95EC4" w:rsidR="00CB2594" w:rsidRPr="007434DA" w:rsidRDefault="000C779B" w:rsidP="000C779B">
      <w:pPr>
        <w:pStyle w:val="Nadpis1"/>
      </w:pPr>
      <w:bookmarkStart w:id="291" w:name="_Toc81755634"/>
      <w:r w:rsidRPr="007434DA">
        <w:t>Závažnost problému</w:t>
      </w:r>
      <w:bookmarkEnd w:id="291"/>
    </w:p>
    <w:p w14:paraId="4EFC0D7B" w14:textId="77777777" w:rsidR="00CB2594" w:rsidRPr="007434DA" w:rsidRDefault="00CB2594" w:rsidP="00F16954">
      <w:pPr>
        <w:pStyle w:val="UZEINormaln"/>
      </w:pPr>
      <w:r w:rsidRPr="007434DA">
        <w:t>V ČR existují v rámci EU poměrně velké zemědělské podniky, a s tím souvisí i vysoká koncentrace zvířat v podniku i ve stájích. Podle ČMSCH</w:t>
      </w:r>
      <w:r w:rsidRPr="007434DA">
        <w:rPr>
          <w:vertAlign w:val="superscript"/>
        </w:rPr>
        <w:footnoteReference w:id="68"/>
      </w:r>
      <w:r w:rsidRPr="007434DA">
        <w:t xml:space="preserve"> např. u krav s tržní produkcí mléka je chováno více než 46 % zvířat ve stájích s kapacitou nad 400 ks. To sebou nese vysoké nároky na kvalitu ošetřujícího personálu, neboť chov dojnic náleží z hlediska chovatelské péče k nejnáročnějšímu odvětvím živočišné výroby. Vysoká kapacita stájí je v chovech monogastrů. V chovu prasat je více než 80 % zvířat koncentrováno ve 148 podnicích. V chovech drůbeže jsou kapacity stájí ještě daleko vyšší. </w:t>
      </w:r>
    </w:p>
    <w:p w14:paraId="369E1A40" w14:textId="77777777" w:rsidR="00CB2594" w:rsidRPr="007434DA" w:rsidRDefault="00CB2594" w:rsidP="00F16954">
      <w:pPr>
        <w:pStyle w:val="UZEINormaln"/>
      </w:pPr>
      <w:r w:rsidRPr="007434DA">
        <w:t xml:space="preserve">Rozsah jednotlivých problémů souvisejících s úrovní dobrých životních podmínek hospodářských zvířat, tedy podíl zvířat, která jsou v rámci jednotlivých kategorií zasažena identifikovanými problémy, je uveden v tabulkových přílohách 1, 2 a 3. V těchto přílohách jsou uvedeny kvalifikované odhady expertů VÚŽV, ÚZEI a externích odborníků. Problémy jsou v jednotlivých přílohách seřazeny podle výše odhadovaného podílu chovaných zvířat a významnosti, pro který jsou aktuální. </w:t>
      </w:r>
    </w:p>
    <w:p w14:paraId="6A61D8AC" w14:textId="55294007" w:rsidR="00CB2594" w:rsidRPr="007434DA" w:rsidRDefault="00CB2594" w:rsidP="00F16954">
      <w:pPr>
        <w:pStyle w:val="UZEINormaln"/>
      </w:pPr>
      <w:r w:rsidRPr="007434DA">
        <w:t xml:space="preserve">Z přílohy č. 1 vyplývá, že podíl </w:t>
      </w:r>
      <w:r w:rsidRPr="007434DA">
        <w:rPr>
          <w:b/>
        </w:rPr>
        <w:t>telat</w:t>
      </w:r>
      <w:r w:rsidRPr="007434DA">
        <w:t xml:space="preserve"> z chovu dojeného skotu je uvedenými faktory snižujícími životní pohodu zvířat zasažen v rozmezí 40 – 95 %. </w:t>
      </w:r>
      <w:r w:rsidRPr="00F70B57">
        <w:t>U nejvyššího podílu (odhadováno je až 95 %, těchto zvířat z celkového počtu chovaných v ČR) je prováděno odrohování bez využití anestezie. V tomto případě</w:t>
      </w:r>
      <w:r w:rsidRPr="00F70B57">
        <w:rPr>
          <w:color w:val="000000" w:themeColor="text1"/>
        </w:rPr>
        <w:t xml:space="preserve"> je nutno konstatovat, že zásah je pro zvíře bolestivý, stresující a je potlačena jedna z pěti svobod zvířete (svoboda od bolesti).</w:t>
      </w:r>
      <w:r w:rsidRPr="007434DA">
        <w:rPr>
          <w:color w:val="000000" w:themeColor="text1"/>
        </w:rPr>
        <w:t xml:space="preserve"> </w:t>
      </w:r>
      <w:r w:rsidRPr="007434DA">
        <w:t>Zvýšeným výskytem hmyzu a zdravotními problémy spojenými s nedostatečnou výměnou podestýlky v individuálním ustájení je zatíženo cca 92 % telat dojeného skotu.</w:t>
      </w:r>
    </w:p>
    <w:p w14:paraId="46C22D01" w14:textId="77777777" w:rsidR="00CB2594" w:rsidRPr="007434DA" w:rsidRDefault="00CB2594" w:rsidP="00F16954">
      <w:pPr>
        <w:pStyle w:val="UZEINormaln"/>
      </w:pPr>
      <w:r w:rsidRPr="007434DA">
        <w:t xml:space="preserve">Podíl </w:t>
      </w:r>
      <w:r w:rsidRPr="007434DA">
        <w:rPr>
          <w:b/>
        </w:rPr>
        <w:t xml:space="preserve">dojnic </w:t>
      </w:r>
      <w:r w:rsidRPr="007434DA">
        <w:t xml:space="preserve">zasažených identifikovanými problémy se pohybuje v rozmezí 10 – 70 %, přičemž nejvyšší počet (cca 70 %) zvířat v této kategorii je, dle odhadu oslovených odborníků, zasaženo onemocněním vemene v důsledku nedostatečné kontroly „zdraví vemene“ po otelení. Častý je také tepelný stres dojnic způsobený nedostatečnou izolací střech stájí či ventilací objektů (cca 60 % zvířat), stres při ošetřování zvířat vznikající v důsledku využití nevhodných fixačních zařízení (cca 50 %) nebo onemocnění paznehtů zapříčiněné mimo jiné zanedbáním preventivních desinfekčních koupelí (cca 45 %). </w:t>
      </w:r>
    </w:p>
    <w:p w14:paraId="22455622" w14:textId="1130D662" w:rsidR="00CB2594" w:rsidRPr="007434DA" w:rsidRDefault="00CB2594" w:rsidP="00F16954">
      <w:pPr>
        <w:pStyle w:val="UZEINormaln"/>
      </w:pPr>
      <w:r w:rsidRPr="007434DA">
        <w:t>Výsledky kontroly užitkovosti dle ČMSCH a.s. evidují mimo jiné i důvody vyřazování dojnic ať už ze zdravotního hlediska, tak i ze zootechnických důvodů. Údaje shrnuté v</w:t>
      </w:r>
      <w:r w:rsidR="004A57B3">
        <w:t> grafu 1</w:t>
      </w:r>
      <w:r w:rsidR="000F5D6E">
        <w:t>4</w:t>
      </w:r>
      <w:r w:rsidRPr="007434DA">
        <w:t xml:space="preserve">, uvádějí jednotlivé důvody vedoucí k vyřazení dojnic z kontroly užitkovosti (KU) za </w:t>
      </w:r>
      <w:r w:rsidR="004A57B3">
        <w:t>sledované období</w:t>
      </w:r>
      <w:r w:rsidRPr="007434DA">
        <w:t xml:space="preserve">. Nejzávažnější důvody pro vyřazení krav představovaly ze skupiny zdravotních problémů „Ostatní zdravotní důvody“. Podíl z celkového počtu vyřazených dojnic v průměru </w:t>
      </w:r>
      <w:r w:rsidR="00F16954" w:rsidRPr="007434DA">
        <w:t>l</w:t>
      </w:r>
      <w:r w:rsidRPr="007434DA">
        <w:t>et 2012/13 až 20</w:t>
      </w:r>
      <w:r w:rsidR="004A57B3">
        <w:t>20/21</w:t>
      </w:r>
      <w:r w:rsidRPr="007434DA">
        <w:t xml:space="preserve"> činil z ostatních zdravotních důvodů 4</w:t>
      </w:r>
      <w:r w:rsidR="004A57B3">
        <w:t>1,4</w:t>
      </w:r>
      <w:r w:rsidRPr="007434DA">
        <w:t xml:space="preserve">  %. Mimo jiné se do této kategorie zahrnují i závažná onemocnění končetin. K dalším významným důvodům pro vyřazení dojnic patří plodnost (podíl z celkem vyřazených dosáhl 19,</w:t>
      </w:r>
      <w:r w:rsidR="004A57B3">
        <w:t xml:space="preserve">3 </w:t>
      </w:r>
      <w:r w:rsidRPr="007434DA">
        <w:t xml:space="preserve">%), problematické porody (podíl 10 %) a onemocnění mléčné žlázy (podíl </w:t>
      </w:r>
      <w:r w:rsidR="004A57B3">
        <w:t>9,3</w:t>
      </w:r>
      <w:r w:rsidRPr="007434DA">
        <w:t xml:space="preserve"> %)</w:t>
      </w:r>
    </w:p>
    <w:p w14:paraId="590616DD" w14:textId="5F386E32" w:rsidR="004A57B3" w:rsidRDefault="004A57B3">
      <w:pPr>
        <w:spacing w:after="160" w:line="259" w:lineRule="auto"/>
        <w:jc w:val="left"/>
        <w:rPr>
          <w:rFonts w:ascii="Arial" w:hAnsi="Arial" w:cs="Arial"/>
          <w:sz w:val="20"/>
          <w:szCs w:val="20"/>
          <w:lang w:val="cs-CZ"/>
        </w:rPr>
      </w:pPr>
      <w:r>
        <w:rPr>
          <w:rFonts w:ascii="Arial" w:hAnsi="Arial" w:cs="Arial"/>
          <w:sz w:val="20"/>
          <w:szCs w:val="20"/>
          <w:lang w:val="cs-CZ"/>
        </w:rPr>
        <w:br w:type="page"/>
      </w:r>
    </w:p>
    <w:p w14:paraId="12E86948" w14:textId="77777777" w:rsidR="00CB2594" w:rsidRDefault="00CB2594" w:rsidP="00CB2594">
      <w:pPr>
        <w:spacing w:before="120" w:line="360" w:lineRule="atLeast"/>
        <w:ind w:firstLine="567"/>
        <w:rPr>
          <w:rFonts w:ascii="Arial" w:hAnsi="Arial" w:cs="Arial"/>
          <w:sz w:val="20"/>
          <w:szCs w:val="20"/>
          <w:lang w:val="cs-CZ"/>
        </w:rPr>
      </w:pPr>
    </w:p>
    <w:p w14:paraId="1058F4E7" w14:textId="42B982FC" w:rsidR="004A57B3" w:rsidRPr="004A57B3" w:rsidRDefault="004A57B3" w:rsidP="00FA3A37">
      <w:pPr>
        <w:pStyle w:val="UZEIGraf"/>
        <w:ind w:hanging="720"/>
      </w:pPr>
      <w:bookmarkStart w:id="292" w:name="_Toc93676672"/>
      <w:r>
        <w:t>Důvody vyřazení krav z kontroly užitkovosti  - průměr období 2012/13 až 2020/21</w:t>
      </w:r>
      <w:bookmarkEnd w:id="292"/>
    </w:p>
    <w:p w14:paraId="08E3C638" w14:textId="61EE80EF" w:rsidR="00E30F8D" w:rsidRPr="007434DA" w:rsidRDefault="004A57B3" w:rsidP="00FA3A37">
      <w:pPr>
        <w:spacing w:before="120" w:line="360" w:lineRule="atLeast"/>
        <w:rPr>
          <w:rFonts w:ascii="Arial" w:hAnsi="Arial" w:cs="Arial"/>
          <w:sz w:val="20"/>
          <w:szCs w:val="20"/>
          <w:lang w:val="cs-CZ"/>
        </w:rPr>
      </w:pPr>
      <w:r>
        <w:rPr>
          <w:noProof/>
          <w:lang w:val="cs-CZ" w:eastAsia="cs-CZ"/>
        </w:rPr>
        <w:drawing>
          <wp:inline distT="0" distB="0" distL="0" distR="0" wp14:anchorId="4F97F1AF" wp14:editId="3D0D201A">
            <wp:extent cx="5760085" cy="3343910"/>
            <wp:effectExtent l="0" t="0" r="12065" b="8890"/>
            <wp:docPr id="1" name="Graf 1">
              <a:extLst xmlns:a="http://schemas.openxmlformats.org/drawingml/2006/main">
                <a:ext uri="{FF2B5EF4-FFF2-40B4-BE49-F238E27FC236}">
                  <a16:creationId xmlns:a16="http://schemas.microsoft.com/office/drawing/2014/main" id="{9EF0B8AF-4368-4EAF-A37E-1590E84F4B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407C793F" w14:textId="7CBC0AF3" w:rsidR="00CB2594" w:rsidRPr="007434DA" w:rsidRDefault="00CB2594" w:rsidP="00CB2594">
      <w:pPr>
        <w:rPr>
          <w:rFonts w:cs="Times New Roman"/>
          <w:lang w:val="cs-CZ"/>
        </w:rPr>
      </w:pPr>
      <w:r w:rsidRPr="007434DA">
        <w:rPr>
          <w:rFonts w:eastAsia="Arial" w:cs="Times New Roman"/>
          <w:i/>
          <w:iCs/>
          <w:color w:val="000000" w:themeColor="text1"/>
          <w:sz w:val="18"/>
          <w:szCs w:val="18"/>
          <w:lang w:val="cs-CZ"/>
        </w:rPr>
        <w:t>Pramen: ČMSCH a.s. - Ročenka kontroly užitkovosti 2014-20</w:t>
      </w:r>
      <w:r w:rsidR="004A57B3">
        <w:rPr>
          <w:rFonts w:eastAsia="Arial" w:cs="Times New Roman"/>
          <w:i/>
          <w:iCs/>
          <w:color w:val="000000" w:themeColor="text1"/>
          <w:sz w:val="18"/>
          <w:szCs w:val="18"/>
          <w:lang w:val="cs-CZ"/>
        </w:rPr>
        <w:t>21</w:t>
      </w:r>
    </w:p>
    <w:p w14:paraId="0D4B0B65" w14:textId="1ABFE419" w:rsidR="00CB2594" w:rsidRPr="007434DA" w:rsidRDefault="00CB2594" w:rsidP="00CB2594">
      <w:pPr>
        <w:rPr>
          <w:rFonts w:cs="Times New Roman"/>
          <w:lang w:val="cs-CZ"/>
        </w:rPr>
      </w:pPr>
      <w:r w:rsidRPr="007434DA">
        <w:rPr>
          <w:rFonts w:eastAsia="Arial" w:cs="Times New Roman"/>
          <w:i/>
          <w:iCs/>
          <w:color w:val="000000" w:themeColor="text1"/>
          <w:sz w:val="18"/>
          <w:szCs w:val="18"/>
          <w:lang w:val="cs-CZ"/>
        </w:rPr>
        <w:t>Pozn.: Kontrola užitkovosti za rok probíhá v období od října do září následujícího roku</w:t>
      </w:r>
    </w:p>
    <w:p w14:paraId="1300DD7D" w14:textId="54FD152C" w:rsidR="00CB2594" w:rsidRPr="007434DA" w:rsidRDefault="00CB2594" w:rsidP="00D607D2">
      <w:pPr>
        <w:pStyle w:val="UZEINormaln"/>
      </w:pPr>
      <w:r w:rsidRPr="007434DA">
        <w:t xml:space="preserve"> Jak již bylo uvedeno, problematika onemocnění mléčné žlázy a onemocnění končetin je do jisté míry řešena v rámci současného PRV podopatřením „Zlepšení stájového prostředí v chovu dojnic“, do kterého se v roce 2017 zapojilo 746  chovatelů dojnic (tj. téměř 42 % z počtu chovatelů s prodejem mléka v ČR). K problematice zlepšení zdravotního stavu krav, jejich kondice a průběhu telení je vázáno také podopatření „Zajištění přístupu do výběhu pro krávy stojící na sucho“. K tomuto titulu se v roce 2017 přihlásilo 460 (tj. téměř 26 %) chovatelů dojnic.</w:t>
      </w:r>
    </w:p>
    <w:p w14:paraId="14EBB0D3" w14:textId="0C220D6F" w:rsidR="00CB2594" w:rsidRPr="007434DA" w:rsidRDefault="00CB2594" w:rsidP="003F4EEE">
      <w:pPr>
        <w:pStyle w:val="UZEINormaln"/>
      </w:pPr>
      <w:r w:rsidRPr="007434DA">
        <w:t>Také z materiálu ÚZEI zpracovaného na základě výsledků dotazníkového šetření ČMSCH</w:t>
      </w:r>
      <w:r w:rsidRPr="007434DA">
        <w:rPr>
          <w:vertAlign w:val="superscript"/>
        </w:rPr>
        <w:footnoteReference w:id="69"/>
      </w:r>
      <w:r w:rsidRPr="007434DA">
        <w:t xml:space="preserve"> v roce 2016 vyplývá, že z celkového počtu 722 respondentů-chovatelů dojnic (reprezentují 40,3 % z počtu chovatelů s prodejem mléka v ČR) uvedlo jako nejčastější diagnózu vyskytující se během sledovaného období u dojnic právě onemocnění mléčné žlázy. Respondenti uvedli, že bylo léčeno v těchto chovech celkem 60 % dojnic. Za další nejčastější onemocnění označili chovatelé poruchy reprodukce (léčeno 24 % dojnic) dále onemocnění končetin. Naopak metabolické poruchy a onemocnění trávicího traktu označili respondenti jako nejméně často se vyskytující diagnózu v chovu dojných krav (viz graf 1</w:t>
      </w:r>
      <w:r w:rsidR="000F5D6E">
        <w:t>5</w:t>
      </w:r>
      <w:r w:rsidRPr="007434DA">
        <w:t>).</w:t>
      </w:r>
    </w:p>
    <w:p w14:paraId="0AE9C6B4" w14:textId="4578959F" w:rsidR="009525D2" w:rsidRPr="007434DA" w:rsidRDefault="009525D2" w:rsidP="003F4EEE">
      <w:pPr>
        <w:pStyle w:val="UZEINormaln"/>
      </w:pPr>
    </w:p>
    <w:p w14:paraId="3E10D160" w14:textId="28DF2C1D" w:rsidR="009525D2" w:rsidRPr="007434DA" w:rsidRDefault="009525D2" w:rsidP="003F4EEE">
      <w:pPr>
        <w:pStyle w:val="UZEINormaln"/>
      </w:pPr>
    </w:p>
    <w:p w14:paraId="14AC1115" w14:textId="7156A431" w:rsidR="009525D2" w:rsidRPr="007434DA" w:rsidRDefault="009525D2" w:rsidP="003F4EEE">
      <w:pPr>
        <w:pStyle w:val="UZEINormaln"/>
      </w:pPr>
    </w:p>
    <w:p w14:paraId="23E5D9CC" w14:textId="196E7E5A" w:rsidR="009525D2" w:rsidRPr="007434DA" w:rsidRDefault="009525D2" w:rsidP="003F4EEE">
      <w:pPr>
        <w:pStyle w:val="UZEINormaln"/>
      </w:pPr>
    </w:p>
    <w:p w14:paraId="3EF1F3D9" w14:textId="293FB42D" w:rsidR="009525D2" w:rsidRPr="007434DA" w:rsidRDefault="009525D2" w:rsidP="003F4EEE">
      <w:pPr>
        <w:pStyle w:val="UZEINormaln"/>
      </w:pPr>
    </w:p>
    <w:p w14:paraId="0BEFE82F" w14:textId="39DB0266" w:rsidR="009525D2" w:rsidRPr="007434DA" w:rsidRDefault="009525D2" w:rsidP="003F4EEE">
      <w:pPr>
        <w:pStyle w:val="UZEINormaln"/>
      </w:pPr>
    </w:p>
    <w:p w14:paraId="21F7E271" w14:textId="6565A313" w:rsidR="009525D2" w:rsidRPr="007434DA" w:rsidRDefault="009525D2" w:rsidP="003F4EEE">
      <w:pPr>
        <w:pStyle w:val="UZEINormaln"/>
      </w:pPr>
    </w:p>
    <w:p w14:paraId="072E09F7" w14:textId="7277F37F" w:rsidR="009525D2" w:rsidRPr="007434DA" w:rsidRDefault="009525D2" w:rsidP="003F4EEE">
      <w:pPr>
        <w:pStyle w:val="UZEINormaln"/>
      </w:pPr>
    </w:p>
    <w:p w14:paraId="7EC5557B" w14:textId="6907ABF1" w:rsidR="009525D2" w:rsidRDefault="009525D2" w:rsidP="003F4EEE">
      <w:pPr>
        <w:pStyle w:val="UZEINormaln"/>
      </w:pPr>
    </w:p>
    <w:p w14:paraId="665C18C9" w14:textId="77777777" w:rsidR="007434DA" w:rsidRPr="007434DA" w:rsidRDefault="007434DA" w:rsidP="003F4EEE">
      <w:pPr>
        <w:pStyle w:val="UZEINormaln"/>
      </w:pPr>
    </w:p>
    <w:p w14:paraId="2E601E0C" w14:textId="2AC67B89" w:rsidR="00D07B92" w:rsidRPr="007434DA" w:rsidRDefault="00CB2594" w:rsidP="007434DA">
      <w:pPr>
        <w:pStyle w:val="UZEIGraf"/>
        <w:ind w:left="993" w:hanging="851"/>
      </w:pPr>
      <w:bookmarkStart w:id="293" w:name="_Toc12466358"/>
      <w:bookmarkStart w:id="294" w:name="_Toc12611779"/>
      <w:bookmarkStart w:id="295" w:name="_Toc12613445"/>
      <w:bookmarkStart w:id="296" w:name="_Toc80877896"/>
      <w:bookmarkStart w:id="297" w:name="_Toc93676673"/>
      <w:r w:rsidRPr="007434DA">
        <w:t>Problematika výskytu onemocnění dojnic podle údajů respondentů - chovatelů v %</w:t>
      </w:r>
      <w:bookmarkEnd w:id="293"/>
      <w:bookmarkEnd w:id="294"/>
      <w:bookmarkEnd w:id="295"/>
      <w:bookmarkEnd w:id="296"/>
      <w:bookmarkEnd w:id="297"/>
    </w:p>
    <w:p w14:paraId="4E477739" w14:textId="77777777" w:rsidR="00CB2594" w:rsidRPr="007434DA" w:rsidRDefault="00CB2594" w:rsidP="00CB2594">
      <w:pPr>
        <w:spacing w:before="120" w:line="360" w:lineRule="atLeast"/>
        <w:ind w:firstLine="142"/>
        <w:rPr>
          <w:rFonts w:ascii="Arial" w:hAnsi="Arial" w:cs="Arial"/>
          <w:sz w:val="20"/>
          <w:szCs w:val="20"/>
          <w:lang w:val="cs-CZ"/>
        </w:rPr>
      </w:pPr>
      <w:r w:rsidRPr="007434DA">
        <w:rPr>
          <w:rFonts w:cs="Times New Roman"/>
          <w:noProof/>
          <w:lang w:val="cs-CZ" w:eastAsia="cs-CZ"/>
        </w:rPr>
        <w:drawing>
          <wp:inline distT="0" distB="0" distL="0" distR="0" wp14:anchorId="103B2903" wp14:editId="2F679458">
            <wp:extent cx="5612860" cy="2889115"/>
            <wp:effectExtent l="0" t="0" r="13335" b="6985"/>
            <wp:docPr id="14" name="Graf 14">
              <a:extLst xmlns:a="http://schemas.openxmlformats.org/drawingml/2006/main">
                <a:ext uri="{FF2B5EF4-FFF2-40B4-BE49-F238E27FC236}">
                  <a16:creationId xmlns:a16="http://schemas.microsoft.com/office/drawing/2014/main" id="{DECE79A6-E8BF-4D56-AF76-B0407906CC2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26B599D1" w14:textId="77777777" w:rsidR="00CB2594" w:rsidRPr="007434DA" w:rsidRDefault="00CB2594" w:rsidP="00D07B92">
      <w:pPr>
        <w:pStyle w:val="UZEIZdroj"/>
      </w:pPr>
      <w:r w:rsidRPr="007434DA">
        <w:t xml:space="preserve">Pramen: ÚZEI -Využití podkladů zaslaných v rámci dotačního programu 19 – vyhodnocení, </w:t>
      </w:r>
    </w:p>
    <w:p w14:paraId="329845C3" w14:textId="77777777" w:rsidR="00D07B92" w:rsidRPr="007434DA" w:rsidRDefault="00CB2594" w:rsidP="00D07B92">
      <w:pPr>
        <w:pStyle w:val="UZEIZdroj"/>
      </w:pPr>
      <w:r w:rsidRPr="007434DA">
        <w:t>zpracováno dle dotazníkového šetření u ČMSCH v roce 2016</w:t>
      </w:r>
    </w:p>
    <w:p w14:paraId="161A53C0" w14:textId="77777777" w:rsidR="004A57B3" w:rsidRDefault="004A57B3">
      <w:pPr>
        <w:spacing w:after="160" w:line="259" w:lineRule="auto"/>
        <w:jc w:val="left"/>
        <w:rPr>
          <w:rFonts w:eastAsia="Times New Roman" w:cstheme="minorHAnsi"/>
          <w:szCs w:val="24"/>
          <w:lang w:val="cs-CZ" w:eastAsia="cs-CZ"/>
        </w:rPr>
      </w:pPr>
      <w:r w:rsidRPr="00FA3A37">
        <w:rPr>
          <w:lang w:val="cs-CZ"/>
        </w:rPr>
        <w:br w:type="page"/>
      </w:r>
    </w:p>
    <w:p w14:paraId="556D128E" w14:textId="116A03A4" w:rsidR="00CB2594" w:rsidRPr="007434DA" w:rsidRDefault="00CB2594" w:rsidP="00D07B92">
      <w:pPr>
        <w:pStyle w:val="UZEINormaln"/>
        <w:rPr>
          <w:rFonts w:cs="Times New Roman"/>
        </w:rPr>
      </w:pPr>
      <w:r w:rsidRPr="007434DA">
        <w:t xml:space="preserve">V rámci onemocnění mléčné žlázy stanovili respondenti - chovatelé dojnic největší problém v souvislosti se zaprahováním s pomocí antibiotik a výskyt klinických mastitid. Ostatní onemocnění mléčné žlázy uvedly jako minoritní s podílem do 3,0 % (viz graf </w:t>
      </w:r>
      <w:r w:rsidR="007434DA" w:rsidRPr="007434DA">
        <w:t>1</w:t>
      </w:r>
      <w:r w:rsidR="000F5D6E">
        <w:t>6</w:t>
      </w:r>
      <w:r w:rsidRPr="007434DA">
        <w:t>).</w:t>
      </w:r>
    </w:p>
    <w:p w14:paraId="546DAB6D" w14:textId="1AFFF294" w:rsidR="00CB2594" w:rsidRPr="007434DA" w:rsidRDefault="00CB2594" w:rsidP="00D07B92">
      <w:pPr>
        <w:pStyle w:val="UZEIGraf"/>
        <w:ind w:hanging="720"/>
      </w:pPr>
      <w:bookmarkStart w:id="298" w:name="_Toc12466359"/>
      <w:bookmarkStart w:id="299" w:name="_Toc12611780"/>
      <w:bookmarkStart w:id="300" w:name="_Toc12613446"/>
      <w:bookmarkStart w:id="301" w:name="_Toc80877897"/>
      <w:bookmarkStart w:id="302" w:name="_Toc93676674"/>
      <w:r w:rsidRPr="007434DA">
        <w:t>Výskyt onemocnění mléčné žlázy dojnic podle diagnózy dle údajů respondentů v %</w:t>
      </w:r>
      <w:bookmarkEnd w:id="298"/>
      <w:bookmarkEnd w:id="299"/>
      <w:bookmarkEnd w:id="300"/>
      <w:bookmarkEnd w:id="301"/>
      <w:bookmarkEnd w:id="302"/>
      <w:r w:rsidRPr="007434DA">
        <w:t xml:space="preserve"> </w:t>
      </w:r>
    </w:p>
    <w:p w14:paraId="0E564646" w14:textId="77777777" w:rsidR="00CB2594" w:rsidRPr="007434DA" w:rsidRDefault="00CB2594" w:rsidP="00621F83">
      <w:pPr>
        <w:spacing w:before="120" w:line="360" w:lineRule="atLeast"/>
        <w:ind w:firstLine="142"/>
        <w:rPr>
          <w:rFonts w:ascii="Arial" w:hAnsi="Arial" w:cs="Arial"/>
          <w:sz w:val="20"/>
          <w:szCs w:val="20"/>
          <w:lang w:val="cs-CZ"/>
        </w:rPr>
      </w:pPr>
      <w:r w:rsidRPr="007434DA">
        <w:rPr>
          <w:noProof/>
          <w:lang w:val="cs-CZ" w:eastAsia="cs-CZ"/>
        </w:rPr>
        <w:drawing>
          <wp:inline distT="0" distB="0" distL="0" distR="0" wp14:anchorId="678D1C98" wp14:editId="2B8EE2B7">
            <wp:extent cx="4686300" cy="3095625"/>
            <wp:effectExtent l="0" t="0" r="0" b="9525"/>
            <wp:docPr id="15" name="Graf 15">
              <a:extLst xmlns:a="http://schemas.openxmlformats.org/drawingml/2006/main">
                <a:ext uri="{FF2B5EF4-FFF2-40B4-BE49-F238E27FC236}">
                  <a16:creationId xmlns:a16="http://schemas.microsoft.com/office/drawing/2014/main" id="{838285DA-1D9F-4D4D-BAF9-980DEB406B8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1ED29E75" w14:textId="6DD3AE87" w:rsidR="00CB2594" w:rsidRPr="007434DA" w:rsidRDefault="00621F83" w:rsidP="00621F83">
      <w:pPr>
        <w:pStyle w:val="UZEIZdroj"/>
      </w:pPr>
      <w:r w:rsidRPr="007434DA">
        <w:t xml:space="preserve">  </w:t>
      </w:r>
      <w:r w:rsidR="00CB2594" w:rsidRPr="007434DA">
        <w:t xml:space="preserve">Pramen: ÚZEI -Využití podkladů zaslaných v rámci dotačního programu 19 – vyhodnocení, </w:t>
      </w:r>
    </w:p>
    <w:p w14:paraId="09F61DB1" w14:textId="37702977" w:rsidR="00CB2594" w:rsidRPr="007434DA" w:rsidRDefault="00CB2594" w:rsidP="00621F83">
      <w:pPr>
        <w:pStyle w:val="UZEIZdroj"/>
      </w:pPr>
      <w:r w:rsidRPr="007434DA">
        <w:t>zpracováno dle dotazníkového šetření u ČMSCH v roce 2016</w:t>
      </w:r>
    </w:p>
    <w:p w14:paraId="41DDB4EA" w14:textId="77777777" w:rsidR="00CB2594" w:rsidRPr="007434DA" w:rsidRDefault="00CB2594" w:rsidP="00621F83">
      <w:pPr>
        <w:pStyle w:val="UZEINormaln"/>
      </w:pPr>
      <w:r w:rsidRPr="00E32679">
        <w:t xml:space="preserve">Zanedbání nebo nedostatečná péče o končetiny je problémem také u </w:t>
      </w:r>
      <w:r w:rsidRPr="00E32679">
        <w:rPr>
          <w:b/>
        </w:rPr>
        <w:t>vysokobřezích jalovic</w:t>
      </w:r>
      <w:r w:rsidRPr="00E32679">
        <w:t xml:space="preserve">, kdy u cca 20 % těchto zvířat není před přesunem do porodny krav provedeno preventivní ošetření paznehtů. </w:t>
      </w:r>
      <w:r w:rsidRPr="00E32679">
        <w:rPr>
          <w:b/>
        </w:rPr>
        <w:t>Krávy bez tržní produkce mléka</w:t>
      </w:r>
      <w:r w:rsidRPr="00E32679">
        <w:t xml:space="preserve"> jsou v nejvyšší míře (cca 60 % zvířat) zatíženy zvýšeným tlakem parazitů ke kterému dochází v návaznosti na špatný management ošetřování pastvin a také neodpovídajícím vybavením pastevních areálů. To se týká především nedostatečného zastínění a přístupu jedinců k napájecí vodě. Ve stájích určených k </w:t>
      </w:r>
      <w:r w:rsidRPr="00E32679">
        <w:rPr>
          <w:b/>
        </w:rPr>
        <w:t>výkrmu býků</w:t>
      </w:r>
      <w:r w:rsidRPr="00E32679">
        <w:t xml:space="preserve"> je opakujícím se problémem instalace nevhodného typu napájecího zařízení, tj. miskových či míčových napáječek.</w:t>
      </w:r>
      <w:r w:rsidRPr="007434DA">
        <w:t xml:space="preserve"> </w:t>
      </w:r>
    </w:p>
    <w:p w14:paraId="717255E3" w14:textId="35FA3B02" w:rsidR="00CB2594" w:rsidRPr="007434DA" w:rsidRDefault="00CB2594" w:rsidP="00621F83">
      <w:pPr>
        <w:pStyle w:val="UZEINormaln"/>
      </w:pPr>
      <w:r w:rsidRPr="007434DA">
        <w:t xml:space="preserve">Obdobně v </w:t>
      </w:r>
      <w:r w:rsidRPr="007434DA">
        <w:rPr>
          <w:b/>
        </w:rPr>
        <w:t>chovu prasat</w:t>
      </w:r>
      <w:r w:rsidRPr="007434DA">
        <w:t xml:space="preserve"> byl v každé kategorii stanoven podíl chovaných zvířat, který je dlouhodobě zasažen jednotlivým</w:t>
      </w:r>
      <w:r w:rsidR="0042233B">
        <w:t>i</w:t>
      </w:r>
      <w:r w:rsidRPr="007434DA">
        <w:t xml:space="preserve"> identifikovanými problémy. Velký problém </w:t>
      </w:r>
      <w:r w:rsidRPr="007434DA">
        <w:rPr>
          <w:b/>
        </w:rPr>
        <w:t>u selat</w:t>
      </w:r>
      <w:r w:rsidRPr="007434DA">
        <w:t xml:space="preserve"> představuje kastrace kanečků a krácení ocásků bez využití anestezie. Tyto úkony představují pro zvíře stres, neboť jsou bolestivé </w:t>
      </w:r>
      <w:r w:rsidRPr="007434DA">
        <w:rPr>
          <w:color w:val="000000" w:themeColor="text1"/>
        </w:rPr>
        <w:t>(absence svobody od bolesti)</w:t>
      </w:r>
      <w:r w:rsidRPr="007434DA">
        <w:t>. Z celkového počtu narozených kanečků určených pro výkrm je dosud prováděna kastrace bez anestezie téměř u 100 % jedinců. V EU je tato problematika již řešena v rámci Pracovní podskupiny Platformy</w:t>
      </w:r>
      <w:r w:rsidRPr="007434DA">
        <w:rPr>
          <w:rStyle w:val="Znakapoznpodarou"/>
          <w:rFonts w:ascii="Arial" w:hAnsi="Arial" w:cs="Arial"/>
          <w:sz w:val="20"/>
          <w:szCs w:val="20"/>
        </w:rPr>
        <w:footnoteReference w:id="70"/>
      </w:r>
      <w:r w:rsidRPr="007434DA">
        <w:t xml:space="preserve"> a mnoho evropských zemí již při kastraci používá anestetika (Švédsko, Norsko, Švýcarsko) nebo kastruje jen omezený počet jedinců (Francie, Belgie), a nebo nekastruje vůbec (Španělsko, Velká Británie). Časté jsou například také problémy spojené s infekcí trávicího traktu způsobené poodstavovým stresem, vznikající u cca 40 % selat. Poodstavový stres je způsoben odstavem od matky, přesunem do jiného prostředí, změnou výživy a vytvářením skupin z různých vrhů. Příznivý vliv na zvládnutí tohoto kritického okamžiku v životě odstaveného selete může mít mimo jiné poskytnutí dostatečného prostoru, což je faktor, který je řešen v rámci podopatření „Zvětšení plochy pro odstavená selata“. </w:t>
      </w:r>
    </w:p>
    <w:p w14:paraId="4A55E059" w14:textId="77777777" w:rsidR="00CB2594" w:rsidRPr="007434DA" w:rsidRDefault="00CB2594" w:rsidP="00621F83">
      <w:pPr>
        <w:pStyle w:val="UZEINormaln"/>
      </w:pPr>
      <w:r w:rsidRPr="007434DA">
        <w:rPr>
          <w:b/>
        </w:rPr>
        <w:t>Prasata ve výkrmu</w:t>
      </w:r>
      <w:r w:rsidRPr="007434DA">
        <w:t xml:space="preserve"> jsou nejvyšší měrou zatěžována špatným technickým stavem ustájovacích objektů. Dle odhadu odborníků je až 75% podíl </w:t>
      </w:r>
      <w:r w:rsidRPr="007434DA">
        <w:rPr>
          <w:color w:val="000000" w:themeColor="text1"/>
        </w:rPr>
        <w:t xml:space="preserve">vykrmovaných prasat </w:t>
      </w:r>
      <w:r w:rsidRPr="007434DA">
        <w:t xml:space="preserve">(platí také pro odchov prasniček) chován v objektech s nevyhovující úrovní osvětlení, ke zraněním vznikajícím díky kontaktu s poškozeným vybavením stájí dochází cca u 60 % zvířat. </w:t>
      </w:r>
      <w:r w:rsidRPr="007434DA">
        <w:rPr>
          <w:b/>
        </w:rPr>
        <w:t>Prasnice a prasničky</w:t>
      </w:r>
      <w:r w:rsidRPr="007434DA">
        <w:t xml:space="preserve"> zařazené do chovu jsou nejvyšší mírou zasaženy naprostým omezením pohybu při fixaci v individuálním ustájení. Využití tohoto typu ustájení v období 4</w:t>
      </w:r>
      <w:r w:rsidRPr="007434DA">
        <w:noBreakHyphen/>
        <w:t>5 týdnů po zapuštění se týká cca 80 % prasnic a prasniček. V období 10 dní před a 4 týdny po porodu je takto ustájeno až 95 % prasnic (absence od svobody pohodlí a svobody uskutečnit normální chování). Problematický je také výskyt onemocnění či poranění končetin, jehož příčinou může být přerostlá rohovina spárků. Podopatření „Zlepšení životních podmínek v chovu prasat – prasnice“ pod kterým bylo v letech 2015–2018 v průměru 74 % prasnic, je vedle účinné desinfekce ustájovacích prostor cíleno právě také na pravidelnou kontrolu a případné ošetření spárků, což umožňuje včasné řešení problému. U cca 60 % zapouštěných a březích prasnic a prasniček je problémem nedostatečná ventilace ustájovacích objektů. Ke ztrátám selat při porodu, které jsou zapříčiněny zejména nedostatečným odborným dohledem na porodnách, dochází až u 70 % rodících prasnic. Nevhodně zvolená doba prvního zapuštění prasničky a s ní spojené předčasné zařazení do reprodukčního cyklu, může být příčinou horší kondice prasnic po prvním oprasení a nižší životaschopnosti selat. Ke zvolení pozdějšího termínu prvního zapuštění prasničky je cíleno podopatření „Zlepšení životních podmínek v chovu prasat – prasničky“ bylo v letech 2015–2018 zařazeno průměrně 50 % prasniček.</w:t>
      </w:r>
    </w:p>
    <w:p w14:paraId="5B8C8BF9" w14:textId="77777777" w:rsidR="00CB2594" w:rsidRPr="00E32679" w:rsidRDefault="00CB2594" w:rsidP="00621F83">
      <w:pPr>
        <w:pStyle w:val="UZEINormaln"/>
      </w:pPr>
      <w:r w:rsidRPr="00E32679">
        <w:t xml:space="preserve">Přehled problémů v chovech </w:t>
      </w:r>
      <w:r w:rsidRPr="00E32679">
        <w:rPr>
          <w:b/>
        </w:rPr>
        <w:t>drůbeže</w:t>
      </w:r>
      <w:r w:rsidRPr="00E32679">
        <w:t xml:space="preserve"> a podíl zasažených zvířat je shrnut v příloze B 3. Obecně lze konstatovat, že </w:t>
      </w:r>
      <w:r w:rsidRPr="00E32679">
        <w:rPr>
          <w:b/>
          <w:color w:val="000000" w:themeColor="text1"/>
        </w:rPr>
        <w:t>nosnice</w:t>
      </w:r>
      <w:r w:rsidRPr="00E32679">
        <w:rPr>
          <w:color w:val="000000" w:themeColor="text1"/>
        </w:rPr>
        <w:t xml:space="preserve"> </w:t>
      </w:r>
      <w:r w:rsidRPr="00E32679">
        <w:t xml:space="preserve">ustájené v klecích (bez ohledu na zvolený systém), jsou vystaveny odírání peří o dráty klecí (85 %) a dochází u nich ke snižování pevnosti kostí v důsledků nízké fyzické aktivity a vysoké snášky (70 %). Právě chov nosnic v klecích je stále častěji kritizován z hlediska DŽPZ zejména ochránci zvířat, ale i spotřebiteli a následně i obchodníky, kteří tlačí na změny technologií od klecových směrem k alternativním chovům (voliérovým, podlahovým aj.). </w:t>
      </w:r>
    </w:p>
    <w:p w14:paraId="3475CC11" w14:textId="6C5BFF64" w:rsidR="004A57B3" w:rsidRDefault="00CB2594" w:rsidP="009525D2">
      <w:pPr>
        <w:pStyle w:val="UZEINormaln"/>
      </w:pPr>
      <w:r w:rsidRPr="00E32679">
        <w:t>Jak je patrné z tabulky 2</w:t>
      </w:r>
      <w:r w:rsidR="004A57B3" w:rsidRPr="00E32679">
        <w:t>0</w:t>
      </w:r>
      <w:r w:rsidRPr="00E32679">
        <w:t>, ČR náleží v EU k zemím, kde je vysoký podíl nosnic chován v klecích (cca 74 % v roce 2019)</w:t>
      </w:r>
      <w:r w:rsidRPr="00E32679">
        <w:rPr>
          <w:rStyle w:val="Znakapoznpodarou"/>
          <w:rFonts w:ascii="Arial" w:hAnsi="Arial" w:cs="Arial"/>
          <w:sz w:val="20"/>
          <w:szCs w:val="20"/>
        </w:rPr>
        <w:footnoteReference w:id="71"/>
      </w:r>
      <w:r w:rsidRPr="00E32679">
        <w:t xml:space="preserve">. Obdobná situace je ve Španělsku (76,8 %) a Estonsku (78,7 %), zatímco v Německu je to 6 %, ve Švédsku 8,4 % a v Rakousku tento podíl nedosahuje ani 0,5 % (viz graf </w:t>
      </w:r>
      <w:r w:rsidR="007434DA" w:rsidRPr="00E32679">
        <w:t>1</w:t>
      </w:r>
      <w:r w:rsidR="000F5D6E" w:rsidRPr="00E32679">
        <w:t>7</w:t>
      </w:r>
      <w:r w:rsidRPr="00E32679">
        <w:t>). Tlak spotřebitelů a obchodních řetězců směřuje stále více k produkci vajec v alternativních chovech.</w:t>
      </w:r>
      <w:r w:rsidRPr="00E32679">
        <w:rPr>
          <w:vertAlign w:val="superscript"/>
        </w:rPr>
        <w:footnoteReference w:id="72"/>
      </w:r>
      <w:r w:rsidRPr="00E32679">
        <w:t xml:space="preserve"> To znamená, že některá opatření v rámci nadstandardního welfare mohou být spojena s investičními náklady v důsledku změny technologií. Další specifikou odvětví produkce vajec v ČR je, že většina nosnic (96 %)</w:t>
      </w:r>
      <w:r w:rsidRPr="00FA3A37">
        <w:rPr>
          <w:vertAlign w:val="superscript"/>
        </w:rPr>
        <w:footnoteReference w:id="73"/>
      </w:r>
      <w:r w:rsidRPr="00FA3A37">
        <w:rPr>
          <w:vertAlign w:val="superscript"/>
        </w:rPr>
        <w:t xml:space="preserve"> </w:t>
      </w:r>
      <w:r w:rsidRPr="00E32679">
        <w:t>je chována v podnicích převážně bez půdy (tj. obchodních společnostech reprezentovaných a.s. spol. s.r.o.), Tím dochází jen k omezené možnosti rozšířit ustájovací plochy o technologie chovů např. s krytými nebo venkovními výběhy.</w:t>
      </w:r>
      <w:r w:rsidRPr="007434DA">
        <w:t xml:space="preserve"> </w:t>
      </w:r>
    </w:p>
    <w:p w14:paraId="5E175BDE" w14:textId="77777777" w:rsidR="004A57B3" w:rsidRDefault="004A57B3">
      <w:pPr>
        <w:spacing w:after="160" w:line="259" w:lineRule="auto"/>
        <w:jc w:val="left"/>
        <w:rPr>
          <w:rFonts w:eastAsia="Times New Roman" w:cstheme="minorHAnsi"/>
          <w:szCs w:val="24"/>
          <w:lang w:val="cs-CZ" w:eastAsia="cs-CZ"/>
        </w:rPr>
      </w:pPr>
      <w:r w:rsidRPr="00FA3A37">
        <w:rPr>
          <w:lang w:val="cs-CZ"/>
        </w:rPr>
        <w:br w:type="page"/>
      </w:r>
    </w:p>
    <w:p w14:paraId="7C0664D6" w14:textId="77777777" w:rsidR="00894EA7" w:rsidRPr="007434DA" w:rsidRDefault="00894EA7" w:rsidP="009525D2">
      <w:pPr>
        <w:pStyle w:val="UZEINormaln"/>
      </w:pPr>
    </w:p>
    <w:p w14:paraId="1C20E11B" w14:textId="5517EA47" w:rsidR="00CB2594" w:rsidRPr="00E32679" w:rsidRDefault="00CB2594" w:rsidP="00E30F8D">
      <w:pPr>
        <w:pStyle w:val="UZEITaB"/>
        <w:ind w:left="0" w:firstLine="0"/>
      </w:pPr>
      <w:bookmarkStart w:id="303" w:name="_Toc80877898"/>
      <w:bookmarkStart w:id="304" w:name="_Toc94095293"/>
      <w:r w:rsidRPr="00E32679">
        <w:t>Stavy nosnic dle technologií chovu v ČR v letech 2015-2019</w:t>
      </w:r>
      <w:bookmarkEnd w:id="303"/>
      <w:bookmarkEnd w:id="304"/>
    </w:p>
    <w:tbl>
      <w:tblPr>
        <w:tblW w:w="9049" w:type="dxa"/>
        <w:tblLayout w:type="fixed"/>
        <w:tblCellMar>
          <w:left w:w="70" w:type="dxa"/>
          <w:right w:w="70" w:type="dxa"/>
        </w:tblCellMar>
        <w:tblLook w:val="04A0" w:firstRow="1" w:lastRow="0" w:firstColumn="1" w:lastColumn="0" w:noHBand="0" w:noVBand="1"/>
      </w:tblPr>
      <w:tblGrid>
        <w:gridCol w:w="2380"/>
        <w:gridCol w:w="1111"/>
        <w:gridCol w:w="1112"/>
        <w:gridCol w:w="1111"/>
        <w:gridCol w:w="1112"/>
        <w:gridCol w:w="1111"/>
        <w:gridCol w:w="1112"/>
      </w:tblGrid>
      <w:tr w:rsidR="00CB2594" w:rsidRPr="00E32679" w14:paraId="44E2CDD5" w14:textId="77777777" w:rsidTr="004A57B3">
        <w:trPr>
          <w:trHeight w:val="1215"/>
        </w:trPr>
        <w:tc>
          <w:tcPr>
            <w:tcW w:w="2380" w:type="dxa"/>
            <w:tcBorders>
              <w:top w:val="double" w:sz="6" w:space="0" w:color="auto"/>
              <w:left w:val="double" w:sz="6" w:space="0" w:color="auto"/>
              <w:bottom w:val="single" w:sz="4" w:space="0" w:color="auto"/>
              <w:right w:val="single" w:sz="4" w:space="0" w:color="auto"/>
            </w:tcBorders>
            <w:shd w:val="clear" w:color="auto" w:fill="auto"/>
            <w:noWrap/>
            <w:vAlign w:val="center"/>
            <w:hideMark/>
          </w:tcPr>
          <w:p w14:paraId="346899F5" w14:textId="77777777" w:rsidR="00CB2594" w:rsidRPr="00E32679" w:rsidRDefault="00CB2594" w:rsidP="004A57B3">
            <w:pPr>
              <w:jc w:val="center"/>
              <w:rPr>
                <w:rFonts w:eastAsia="Times New Roman" w:cs="Times New Roman"/>
                <w:b/>
                <w:bCs/>
                <w:color w:val="000000"/>
                <w:sz w:val="20"/>
                <w:szCs w:val="20"/>
                <w:lang w:val="cs-CZ" w:eastAsia="cs-CZ"/>
              </w:rPr>
            </w:pPr>
            <w:r w:rsidRPr="00E32679">
              <w:rPr>
                <w:rFonts w:eastAsia="Times New Roman" w:cs="Times New Roman"/>
                <w:b/>
                <w:bCs/>
                <w:color w:val="000000"/>
                <w:sz w:val="20"/>
                <w:szCs w:val="20"/>
                <w:lang w:val="cs-CZ" w:eastAsia="cs-CZ"/>
              </w:rPr>
              <w:t>Typ chovu</w:t>
            </w:r>
          </w:p>
        </w:tc>
        <w:tc>
          <w:tcPr>
            <w:tcW w:w="1111" w:type="dxa"/>
            <w:tcBorders>
              <w:top w:val="double" w:sz="6" w:space="0" w:color="auto"/>
              <w:left w:val="nil"/>
              <w:bottom w:val="single" w:sz="4" w:space="0" w:color="auto"/>
              <w:right w:val="single" w:sz="4" w:space="0" w:color="auto"/>
            </w:tcBorders>
            <w:shd w:val="clear" w:color="auto" w:fill="auto"/>
            <w:noWrap/>
            <w:vAlign w:val="center"/>
            <w:hideMark/>
          </w:tcPr>
          <w:p w14:paraId="2BE71AFB" w14:textId="77777777" w:rsidR="00CB2594" w:rsidRPr="00E32679" w:rsidRDefault="00CB2594" w:rsidP="004A57B3">
            <w:pPr>
              <w:jc w:val="center"/>
              <w:rPr>
                <w:rFonts w:eastAsia="Times New Roman" w:cs="Times New Roman"/>
                <w:b/>
                <w:bCs/>
                <w:color w:val="000000"/>
                <w:sz w:val="20"/>
                <w:szCs w:val="20"/>
                <w:lang w:val="cs-CZ" w:eastAsia="cs-CZ"/>
              </w:rPr>
            </w:pPr>
            <w:r w:rsidRPr="00E32679">
              <w:rPr>
                <w:rFonts w:eastAsia="Times New Roman" w:cs="Times New Roman"/>
                <w:b/>
                <w:bCs/>
                <w:color w:val="000000"/>
                <w:sz w:val="20"/>
                <w:szCs w:val="20"/>
                <w:lang w:val="cs-CZ" w:eastAsia="cs-CZ"/>
              </w:rPr>
              <w:t>2015</w:t>
            </w:r>
          </w:p>
        </w:tc>
        <w:tc>
          <w:tcPr>
            <w:tcW w:w="1112" w:type="dxa"/>
            <w:tcBorders>
              <w:top w:val="double" w:sz="6" w:space="0" w:color="auto"/>
              <w:left w:val="nil"/>
              <w:bottom w:val="single" w:sz="4" w:space="0" w:color="auto"/>
              <w:right w:val="single" w:sz="4" w:space="0" w:color="auto"/>
            </w:tcBorders>
            <w:shd w:val="clear" w:color="auto" w:fill="auto"/>
            <w:noWrap/>
            <w:vAlign w:val="center"/>
            <w:hideMark/>
          </w:tcPr>
          <w:p w14:paraId="5C02D3E4" w14:textId="77777777" w:rsidR="00CB2594" w:rsidRPr="00E32679" w:rsidRDefault="00CB2594" w:rsidP="004A57B3">
            <w:pPr>
              <w:jc w:val="center"/>
              <w:rPr>
                <w:rFonts w:eastAsia="Times New Roman" w:cs="Times New Roman"/>
                <w:b/>
                <w:bCs/>
                <w:color w:val="000000"/>
                <w:sz w:val="20"/>
                <w:szCs w:val="20"/>
                <w:lang w:val="cs-CZ" w:eastAsia="cs-CZ"/>
              </w:rPr>
            </w:pPr>
            <w:r w:rsidRPr="00E32679">
              <w:rPr>
                <w:rFonts w:eastAsia="Times New Roman" w:cs="Times New Roman"/>
                <w:b/>
                <w:bCs/>
                <w:color w:val="000000"/>
                <w:sz w:val="20"/>
                <w:szCs w:val="20"/>
                <w:lang w:val="cs-CZ" w:eastAsia="cs-CZ"/>
              </w:rPr>
              <w:t>2016</w:t>
            </w:r>
          </w:p>
        </w:tc>
        <w:tc>
          <w:tcPr>
            <w:tcW w:w="1111" w:type="dxa"/>
            <w:tcBorders>
              <w:top w:val="double" w:sz="6" w:space="0" w:color="auto"/>
              <w:left w:val="nil"/>
              <w:bottom w:val="single" w:sz="4" w:space="0" w:color="auto"/>
              <w:right w:val="single" w:sz="4" w:space="0" w:color="auto"/>
            </w:tcBorders>
            <w:shd w:val="clear" w:color="auto" w:fill="auto"/>
            <w:noWrap/>
            <w:vAlign w:val="center"/>
            <w:hideMark/>
          </w:tcPr>
          <w:p w14:paraId="7387C152" w14:textId="77777777" w:rsidR="00CB2594" w:rsidRPr="00E32679" w:rsidRDefault="00CB2594" w:rsidP="004A57B3">
            <w:pPr>
              <w:jc w:val="center"/>
              <w:rPr>
                <w:rFonts w:eastAsia="Times New Roman" w:cs="Times New Roman"/>
                <w:b/>
                <w:bCs/>
                <w:color w:val="000000"/>
                <w:sz w:val="20"/>
                <w:szCs w:val="20"/>
                <w:lang w:val="cs-CZ" w:eastAsia="cs-CZ"/>
              </w:rPr>
            </w:pPr>
            <w:r w:rsidRPr="00E32679">
              <w:rPr>
                <w:rFonts w:eastAsia="Times New Roman" w:cs="Times New Roman"/>
                <w:b/>
                <w:bCs/>
                <w:color w:val="000000"/>
                <w:sz w:val="20"/>
                <w:szCs w:val="20"/>
                <w:lang w:val="cs-CZ" w:eastAsia="cs-CZ"/>
              </w:rPr>
              <w:t>2017</w:t>
            </w:r>
          </w:p>
        </w:tc>
        <w:tc>
          <w:tcPr>
            <w:tcW w:w="1112" w:type="dxa"/>
            <w:tcBorders>
              <w:top w:val="double" w:sz="6" w:space="0" w:color="auto"/>
              <w:left w:val="nil"/>
              <w:bottom w:val="single" w:sz="4" w:space="0" w:color="auto"/>
              <w:right w:val="single" w:sz="4" w:space="0" w:color="auto"/>
            </w:tcBorders>
            <w:shd w:val="clear" w:color="auto" w:fill="auto"/>
            <w:noWrap/>
            <w:vAlign w:val="center"/>
            <w:hideMark/>
          </w:tcPr>
          <w:p w14:paraId="3A104B6B" w14:textId="77777777" w:rsidR="00CB2594" w:rsidRPr="00E32679" w:rsidRDefault="00CB2594" w:rsidP="004A57B3">
            <w:pPr>
              <w:jc w:val="center"/>
              <w:rPr>
                <w:rFonts w:eastAsia="Times New Roman" w:cs="Times New Roman"/>
                <w:b/>
                <w:bCs/>
                <w:color w:val="000000"/>
                <w:sz w:val="20"/>
                <w:szCs w:val="20"/>
                <w:lang w:val="cs-CZ" w:eastAsia="cs-CZ"/>
              </w:rPr>
            </w:pPr>
            <w:r w:rsidRPr="00E32679">
              <w:rPr>
                <w:rFonts w:eastAsia="Times New Roman" w:cs="Times New Roman"/>
                <w:b/>
                <w:bCs/>
                <w:color w:val="000000"/>
                <w:sz w:val="20"/>
                <w:szCs w:val="20"/>
                <w:lang w:val="cs-CZ" w:eastAsia="cs-CZ"/>
              </w:rPr>
              <w:t>2018</w:t>
            </w:r>
          </w:p>
        </w:tc>
        <w:tc>
          <w:tcPr>
            <w:tcW w:w="1111" w:type="dxa"/>
            <w:tcBorders>
              <w:top w:val="double" w:sz="6" w:space="0" w:color="auto"/>
              <w:left w:val="nil"/>
              <w:bottom w:val="single" w:sz="4" w:space="0" w:color="auto"/>
              <w:right w:val="single" w:sz="4" w:space="0" w:color="auto"/>
            </w:tcBorders>
            <w:shd w:val="clear" w:color="auto" w:fill="auto"/>
            <w:noWrap/>
            <w:vAlign w:val="center"/>
            <w:hideMark/>
          </w:tcPr>
          <w:p w14:paraId="1E2A1F9D" w14:textId="77777777" w:rsidR="00CB2594" w:rsidRPr="00E32679" w:rsidRDefault="00CB2594" w:rsidP="004A57B3">
            <w:pPr>
              <w:jc w:val="center"/>
              <w:rPr>
                <w:rFonts w:eastAsia="Times New Roman" w:cs="Times New Roman"/>
                <w:b/>
                <w:bCs/>
                <w:color w:val="000000"/>
                <w:sz w:val="20"/>
                <w:szCs w:val="20"/>
                <w:lang w:val="cs-CZ" w:eastAsia="cs-CZ"/>
              </w:rPr>
            </w:pPr>
            <w:r w:rsidRPr="00E32679">
              <w:rPr>
                <w:rFonts w:eastAsia="Times New Roman" w:cs="Times New Roman"/>
                <w:b/>
                <w:bCs/>
                <w:color w:val="000000"/>
                <w:sz w:val="20"/>
                <w:szCs w:val="20"/>
                <w:lang w:val="cs-CZ" w:eastAsia="cs-CZ"/>
              </w:rPr>
              <w:t>2019</w:t>
            </w:r>
          </w:p>
        </w:tc>
        <w:tc>
          <w:tcPr>
            <w:tcW w:w="1112" w:type="dxa"/>
            <w:tcBorders>
              <w:top w:val="double" w:sz="6" w:space="0" w:color="auto"/>
              <w:left w:val="nil"/>
              <w:bottom w:val="single" w:sz="4" w:space="0" w:color="auto"/>
              <w:right w:val="double" w:sz="6" w:space="0" w:color="auto"/>
            </w:tcBorders>
            <w:shd w:val="clear" w:color="auto" w:fill="auto"/>
            <w:vAlign w:val="center"/>
            <w:hideMark/>
          </w:tcPr>
          <w:p w14:paraId="510B9869" w14:textId="77777777" w:rsidR="00CB2594" w:rsidRPr="00E32679" w:rsidRDefault="00CB2594" w:rsidP="004A57B3">
            <w:pPr>
              <w:jc w:val="center"/>
              <w:rPr>
                <w:rFonts w:eastAsia="Times New Roman" w:cs="Times New Roman"/>
                <w:b/>
                <w:bCs/>
                <w:color w:val="000000"/>
                <w:sz w:val="20"/>
                <w:szCs w:val="20"/>
                <w:lang w:val="cs-CZ" w:eastAsia="cs-CZ"/>
              </w:rPr>
            </w:pPr>
            <w:r w:rsidRPr="00E32679">
              <w:rPr>
                <w:rFonts w:eastAsia="Times New Roman" w:cs="Times New Roman"/>
                <w:b/>
                <w:bCs/>
                <w:color w:val="000000"/>
                <w:sz w:val="20"/>
                <w:szCs w:val="20"/>
                <w:lang w:val="cs-CZ" w:eastAsia="cs-CZ"/>
              </w:rPr>
              <w:t>Změna</w:t>
            </w:r>
            <w:r w:rsidRPr="00E32679">
              <w:rPr>
                <w:rFonts w:eastAsia="Times New Roman" w:cs="Times New Roman"/>
                <w:b/>
                <w:bCs/>
                <w:color w:val="000000"/>
                <w:sz w:val="20"/>
                <w:szCs w:val="20"/>
                <w:lang w:val="cs-CZ" w:eastAsia="cs-CZ"/>
              </w:rPr>
              <w:br/>
              <w:t>2019/2015</w:t>
            </w:r>
            <w:r w:rsidRPr="00E32679">
              <w:rPr>
                <w:rFonts w:eastAsia="Times New Roman" w:cs="Times New Roman"/>
                <w:b/>
                <w:bCs/>
                <w:color w:val="000000"/>
                <w:sz w:val="20"/>
                <w:szCs w:val="20"/>
                <w:lang w:val="cs-CZ" w:eastAsia="cs-CZ"/>
              </w:rPr>
              <w:br/>
              <w:t>v p.b.</w:t>
            </w:r>
          </w:p>
        </w:tc>
      </w:tr>
      <w:tr w:rsidR="00CB2594" w:rsidRPr="00E32679" w14:paraId="7FEFDE67" w14:textId="77777777" w:rsidTr="004A57B3">
        <w:trPr>
          <w:trHeight w:val="300"/>
        </w:trPr>
        <w:tc>
          <w:tcPr>
            <w:tcW w:w="2380" w:type="dxa"/>
            <w:tcBorders>
              <w:top w:val="nil"/>
              <w:left w:val="double" w:sz="6" w:space="0" w:color="auto"/>
              <w:bottom w:val="single" w:sz="4" w:space="0" w:color="auto"/>
              <w:right w:val="single" w:sz="4" w:space="0" w:color="auto"/>
            </w:tcBorders>
            <w:shd w:val="clear" w:color="auto" w:fill="auto"/>
            <w:noWrap/>
            <w:vAlign w:val="bottom"/>
            <w:hideMark/>
          </w:tcPr>
          <w:p w14:paraId="4BFF4E7A" w14:textId="77777777" w:rsidR="00CB2594" w:rsidRPr="00E32679" w:rsidRDefault="00CB2594" w:rsidP="004A57B3">
            <w:pPr>
              <w:rPr>
                <w:rFonts w:eastAsia="Times New Roman" w:cs="Times New Roman"/>
                <w:color w:val="000000"/>
                <w:sz w:val="20"/>
                <w:szCs w:val="20"/>
                <w:lang w:val="cs-CZ" w:eastAsia="cs-CZ"/>
              </w:rPr>
            </w:pPr>
            <w:r w:rsidRPr="00E32679">
              <w:rPr>
                <w:rFonts w:eastAsia="Times New Roman" w:cs="Times New Roman"/>
                <w:color w:val="000000"/>
                <w:sz w:val="20"/>
                <w:szCs w:val="20"/>
                <w:lang w:val="cs-CZ" w:eastAsia="cs-CZ"/>
              </w:rPr>
              <w:t>Ekologické chovy</w:t>
            </w:r>
          </w:p>
        </w:tc>
        <w:tc>
          <w:tcPr>
            <w:tcW w:w="1111" w:type="dxa"/>
            <w:tcBorders>
              <w:top w:val="nil"/>
              <w:left w:val="nil"/>
              <w:bottom w:val="single" w:sz="4" w:space="0" w:color="auto"/>
              <w:right w:val="single" w:sz="4" w:space="0" w:color="auto"/>
            </w:tcBorders>
            <w:shd w:val="clear" w:color="auto" w:fill="auto"/>
            <w:noWrap/>
            <w:vAlign w:val="bottom"/>
            <w:hideMark/>
          </w:tcPr>
          <w:p w14:paraId="1C727FF4" w14:textId="77777777" w:rsidR="00CB2594" w:rsidRPr="00E32679" w:rsidRDefault="00CB2594" w:rsidP="009525D2">
            <w:pPr>
              <w:jc w:val="center"/>
              <w:rPr>
                <w:rFonts w:eastAsia="Times New Roman" w:cs="Times New Roman"/>
                <w:color w:val="000000"/>
                <w:sz w:val="20"/>
                <w:szCs w:val="20"/>
                <w:lang w:val="cs-CZ" w:eastAsia="cs-CZ"/>
              </w:rPr>
            </w:pPr>
            <w:r w:rsidRPr="00E32679">
              <w:rPr>
                <w:rFonts w:eastAsia="Times New Roman" w:cs="Times New Roman"/>
                <w:color w:val="000000"/>
                <w:sz w:val="20"/>
                <w:szCs w:val="20"/>
                <w:lang w:val="cs-CZ" w:eastAsia="cs-CZ"/>
              </w:rPr>
              <w:t>0,34</w:t>
            </w:r>
          </w:p>
        </w:tc>
        <w:tc>
          <w:tcPr>
            <w:tcW w:w="1112" w:type="dxa"/>
            <w:tcBorders>
              <w:top w:val="nil"/>
              <w:left w:val="nil"/>
              <w:bottom w:val="single" w:sz="4" w:space="0" w:color="auto"/>
              <w:right w:val="single" w:sz="4" w:space="0" w:color="auto"/>
            </w:tcBorders>
            <w:shd w:val="clear" w:color="auto" w:fill="auto"/>
            <w:noWrap/>
            <w:vAlign w:val="bottom"/>
            <w:hideMark/>
          </w:tcPr>
          <w:p w14:paraId="6FA3811D" w14:textId="77777777" w:rsidR="00CB2594" w:rsidRPr="00E32679" w:rsidRDefault="00CB2594" w:rsidP="009525D2">
            <w:pPr>
              <w:jc w:val="center"/>
              <w:rPr>
                <w:rFonts w:eastAsia="Times New Roman" w:cs="Times New Roman"/>
                <w:color w:val="000000"/>
                <w:sz w:val="20"/>
                <w:szCs w:val="20"/>
                <w:lang w:val="cs-CZ" w:eastAsia="cs-CZ"/>
              </w:rPr>
            </w:pPr>
            <w:r w:rsidRPr="00E32679">
              <w:rPr>
                <w:rFonts w:eastAsia="Times New Roman" w:cs="Times New Roman"/>
                <w:color w:val="000000"/>
                <w:sz w:val="20"/>
                <w:szCs w:val="20"/>
                <w:lang w:val="cs-CZ" w:eastAsia="cs-CZ"/>
              </w:rPr>
              <w:t>0,15</w:t>
            </w:r>
          </w:p>
        </w:tc>
        <w:tc>
          <w:tcPr>
            <w:tcW w:w="1111" w:type="dxa"/>
            <w:tcBorders>
              <w:top w:val="nil"/>
              <w:left w:val="nil"/>
              <w:bottom w:val="single" w:sz="4" w:space="0" w:color="auto"/>
              <w:right w:val="single" w:sz="4" w:space="0" w:color="auto"/>
            </w:tcBorders>
            <w:shd w:val="clear" w:color="auto" w:fill="auto"/>
            <w:noWrap/>
            <w:vAlign w:val="bottom"/>
            <w:hideMark/>
          </w:tcPr>
          <w:p w14:paraId="6E9D2EB1" w14:textId="77777777" w:rsidR="00CB2594" w:rsidRPr="00E32679" w:rsidRDefault="00CB2594" w:rsidP="009525D2">
            <w:pPr>
              <w:jc w:val="center"/>
              <w:rPr>
                <w:rFonts w:eastAsia="Times New Roman" w:cs="Times New Roman"/>
                <w:color w:val="000000"/>
                <w:sz w:val="20"/>
                <w:szCs w:val="20"/>
                <w:lang w:val="cs-CZ" w:eastAsia="cs-CZ"/>
              </w:rPr>
            </w:pPr>
            <w:r w:rsidRPr="00E32679">
              <w:rPr>
                <w:rFonts w:eastAsia="Times New Roman" w:cs="Times New Roman"/>
                <w:color w:val="000000"/>
                <w:sz w:val="20"/>
                <w:szCs w:val="20"/>
                <w:lang w:val="cs-CZ" w:eastAsia="cs-CZ"/>
              </w:rPr>
              <w:t>0,30</w:t>
            </w:r>
          </w:p>
        </w:tc>
        <w:tc>
          <w:tcPr>
            <w:tcW w:w="1112" w:type="dxa"/>
            <w:tcBorders>
              <w:top w:val="nil"/>
              <w:left w:val="nil"/>
              <w:bottom w:val="single" w:sz="4" w:space="0" w:color="auto"/>
              <w:right w:val="single" w:sz="4" w:space="0" w:color="auto"/>
            </w:tcBorders>
            <w:shd w:val="clear" w:color="auto" w:fill="auto"/>
            <w:noWrap/>
            <w:vAlign w:val="bottom"/>
            <w:hideMark/>
          </w:tcPr>
          <w:p w14:paraId="1F153191" w14:textId="77777777" w:rsidR="00CB2594" w:rsidRPr="00E32679" w:rsidRDefault="00CB2594" w:rsidP="009525D2">
            <w:pPr>
              <w:jc w:val="center"/>
              <w:rPr>
                <w:rFonts w:eastAsia="Times New Roman" w:cs="Times New Roman"/>
                <w:color w:val="000000"/>
                <w:sz w:val="20"/>
                <w:szCs w:val="20"/>
                <w:lang w:val="cs-CZ" w:eastAsia="cs-CZ"/>
              </w:rPr>
            </w:pPr>
            <w:r w:rsidRPr="00E32679">
              <w:rPr>
                <w:rFonts w:eastAsia="Times New Roman" w:cs="Times New Roman"/>
                <w:color w:val="000000"/>
                <w:sz w:val="20"/>
                <w:szCs w:val="20"/>
                <w:lang w:val="cs-CZ" w:eastAsia="cs-CZ"/>
              </w:rPr>
              <w:t>0,23</w:t>
            </w:r>
          </w:p>
        </w:tc>
        <w:tc>
          <w:tcPr>
            <w:tcW w:w="1111" w:type="dxa"/>
            <w:tcBorders>
              <w:top w:val="nil"/>
              <w:left w:val="nil"/>
              <w:bottom w:val="single" w:sz="4" w:space="0" w:color="auto"/>
              <w:right w:val="single" w:sz="4" w:space="0" w:color="auto"/>
            </w:tcBorders>
            <w:shd w:val="clear" w:color="auto" w:fill="auto"/>
            <w:noWrap/>
            <w:vAlign w:val="bottom"/>
            <w:hideMark/>
          </w:tcPr>
          <w:p w14:paraId="0B1B457F" w14:textId="77777777" w:rsidR="00CB2594" w:rsidRPr="00E32679" w:rsidRDefault="00CB2594" w:rsidP="009525D2">
            <w:pPr>
              <w:jc w:val="center"/>
              <w:rPr>
                <w:rFonts w:eastAsia="Times New Roman" w:cs="Times New Roman"/>
                <w:color w:val="000000"/>
                <w:sz w:val="20"/>
                <w:szCs w:val="20"/>
                <w:lang w:val="cs-CZ" w:eastAsia="cs-CZ"/>
              </w:rPr>
            </w:pPr>
            <w:r w:rsidRPr="00E32679">
              <w:rPr>
                <w:rFonts w:eastAsia="Times New Roman" w:cs="Times New Roman"/>
                <w:color w:val="000000"/>
                <w:sz w:val="20"/>
                <w:szCs w:val="20"/>
                <w:lang w:val="cs-CZ" w:eastAsia="cs-CZ"/>
              </w:rPr>
              <w:t>0,31</w:t>
            </w:r>
          </w:p>
        </w:tc>
        <w:tc>
          <w:tcPr>
            <w:tcW w:w="1112" w:type="dxa"/>
            <w:tcBorders>
              <w:top w:val="nil"/>
              <w:left w:val="nil"/>
              <w:bottom w:val="single" w:sz="4" w:space="0" w:color="auto"/>
              <w:right w:val="double" w:sz="6" w:space="0" w:color="auto"/>
            </w:tcBorders>
            <w:shd w:val="clear" w:color="auto" w:fill="auto"/>
            <w:noWrap/>
            <w:vAlign w:val="bottom"/>
            <w:hideMark/>
          </w:tcPr>
          <w:p w14:paraId="3045C6FE" w14:textId="77777777" w:rsidR="00CB2594" w:rsidRPr="00E32679" w:rsidRDefault="00CB2594" w:rsidP="009525D2">
            <w:pPr>
              <w:jc w:val="center"/>
              <w:rPr>
                <w:rFonts w:eastAsia="Times New Roman" w:cs="Times New Roman"/>
                <w:color w:val="000000"/>
                <w:sz w:val="20"/>
                <w:szCs w:val="20"/>
                <w:lang w:val="cs-CZ" w:eastAsia="cs-CZ"/>
              </w:rPr>
            </w:pPr>
            <w:r w:rsidRPr="00E32679">
              <w:rPr>
                <w:rFonts w:eastAsia="Times New Roman" w:cs="Times New Roman"/>
                <w:color w:val="000000"/>
                <w:sz w:val="20"/>
                <w:szCs w:val="20"/>
                <w:lang w:val="cs-CZ" w:eastAsia="cs-CZ"/>
              </w:rPr>
              <w:t>-0,03</w:t>
            </w:r>
          </w:p>
        </w:tc>
      </w:tr>
      <w:tr w:rsidR="00CB2594" w:rsidRPr="00E32679" w14:paraId="5BF6EDDC" w14:textId="77777777" w:rsidTr="004A57B3">
        <w:trPr>
          <w:trHeight w:val="300"/>
        </w:trPr>
        <w:tc>
          <w:tcPr>
            <w:tcW w:w="2380" w:type="dxa"/>
            <w:tcBorders>
              <w:top w:val="nil"/>
              <w:left w:val="double" w:sz="6" w:space="0" w:color="auto"/>
              <w:bottom w:val="single" w:sz="4" w:space="0" w:color="auto"/>
              <w:right w:val="single" w:sz="4" w:space="0" w:color="auto"/>
            </w:tcBorders>
            <w:shd w:val="clear" w:color="auto" w:fill="auto"/>
            <w:noWrap/>
            <w:vAlign w:val="bottom"/>
            <w:hideMark/>
          </w:tcPr>
          <w:p w14:paraId="30341758" w14:textId="77777777" w:rsidR="00CB2594" w:rsidRPr="00E32679" w:rsidRDefault="00CB2594" w:rsidP="004A57B3">
            <w:pPr>
              <w:rPr>
                <w:rFonts w:eastAsia="Times New Roman" w:cs="Times New Roman"/>
                <w:sz w:val="20"/>
                <w:szCs w:val="20"/>
                <w:lang w:val="cs-CZ" w:eastAsia="cs-CZ"/>
              </w:rPr>
            </w:pPr>
            <w:r w:rsidRPr="00E32679">
              <w:rPr>
                <w:rFonts w:eastAsia="Times New Roman" w:cs="Times New Roman"/>
                <w:sz w:val="20"/>
                <w:szCs w:val="20"/>
                <w:lang w:val="cs-CZ" w:eastAsia="cs-CZ"/>
              </w:rPr>
              <w:t>Chovy s výběhy</w:t>
            </w:r>
          </w:p>
        </w:tc>
        <w:tc>
          <w:tcPr>
            <w:tcW w:w="1111" w:type="dxa"/>
            <w:tcBorders>
              <w:top w:val="nil"/>
              <w:left w:val="nil"/>
              <w:bottom w:val="single" w:sz="4" w:space="0" w:color="auto"/>
              <w:right w:val="single" w:sz="4" w:space="0" w:color="auto"/>
            </w:tcBorders>
            <w:shd w:val="clear" w:color="auto" w:fill="auto"/>
            <w:noWrap/>
            <w:vAlign w:val="bottom"/>
            <w:hideMark/>
          </w:tcPr>
          <w:p w14:paraId="5970639C" w14:textId="77777777" w:rsidR="00CB2594" w:rsidRPr="00E32679" w:rsidRDefault="00CB2594" w:rsidP="009525D2">
            <w:pPr>
              <w:jc w:val="center"/>
              <w:rPr>
                <w:rFonts w:eastAsia="Times New Roman" w:cs="Times New Roman"/>
                <w:color w:val="000000"/>
                <w:sz w:val="20"/>
                <w:szCs w:val="20"/>
                <w:lang w:val="cs-CZ" w:eastAsia="cs-CZ"/>
              </w:rPr>
            </w:pPr>
            <w:r w:rsidRPr="00E32679">
              <w:rPr>
                <w:rFonts w:eastAsia="Times New Roman" w:cs="Times New Roman"/>
                <w:color w:val="000000"/>
                <w:sz w:val="20"/>
                <w:szCs w:val="20"/>
                <w:lang w:val="cs-CZ" w:eastAsia="cs-CZ"/>
              </w:rPr>
              <w:t>0,08</w:t>
            </w:r>
          </w:p>
        </w:tc>
        <w:tc>
          <w:tcPr>
            <w:tcW w:w="1112" w:type="dxa"/>
            <w:tcBorders>
              <w:top w:val="nil"/>
              <w:left w:val="nil"/>
              <w:bottom w:val="single" w:sz="4" w:space="0" w:color="auto"/>
              <w:right w:val="single" w:sz="4" w:space="0" w:color="auto"/>
            </w:tcBorders>
            <w:shd w:val="clear" w:color="auto" w:fill="auto"/>
            <w:noWrap/>
            <w:vAlign w:val="bottom"/>
            <w:hideMark/>
          </w:tcPr>
          <w:p w14:paraId="47AA2CF1" w14:textId="77777777" w:rsidR="00CB2594" w:rsidRPr="00E32679" w:rsidRDefault="00CB2594" w:rsidP="009525D2">
            <w:pPr>
              <w:jc w:val="center"/>
              <w:rPr>
                <w:rFonts w:eastAsia="Times New Roman" w:cs="Times New Roman"/>
                <w:color w:val="000000"/>
                <w:sz w:val="20"/>
                <w:szCs w:val="20"/>
                <w:lang w:val="cs-CZ" w:eastAsia="cs-CZ"/>
              </w:rPr>
            </w:pPr>
            <w:r w:rsidRPr="00E32679">
              <w:rPr>
                <w:rFonts w:eastAsia="Times New Roman" w:cs="Times New Roman"/>
                <w:color w:val="000000"/>
                <w:sz w:val="20"/>
                <w:szCs w:val="20"/>
                <w:lang w:val="cs-CZ" w:eastAsia="cs-CZ"/>
              </w:rPr>
              <w:t>0,08</w:t>
            </w:r>
          </w:p>
        </w:tc>
        <w:tc>
          <w:tcPr>
            <w:tcW w:w="1111" w:type="dxa"/>
            <w:tcBorders>
              <w:top w:val="nil"/>
              <w:left w:val="nil"/>
              <w:bottom w:val="single" w:sz="4" w:space="0" w:color="auto"/>
              <w:right w:val="single" w:sz="4" w:space="0" w:color="auto"/>
            </w:tcBorders>
            <w:shd w:val="clear" w:color="auto" w:fill="auto"/>
            <w:noWrap/>
            <w:vAlign w:val="bottom"/>
            <w:hideMark/>
          </w:tcPr>
          <w:p w14:paraId="668AE826" w14:textId="77777777" w:rsidR="00CB2594" w:rsidRPr="00E32679" w:rsidRDefault="00CB2594" w:rsidP="009525D2">
            <w:pPr>
              <w:jc w:val="center"/>
              <w:rPr>
                <w:rFonts w:eastAsia="Times New Roman" w:cs="Times New Roman"/>
                <w:color w:val="000000"/>
                <w:sz w:val="20"/>
                <w:szCs w:val="20"/>
                <w:lang w:val="cs-CZ" w:eastAsia="cs-CZ"/>
              </w:rPr>
            </w:pPr>
            <w:r w:rsidRPr="00E32679">
              <w:rPr>
                <w:rFonts w:eastAsia="Times New Roman" w:cs="Times New Roman"/>
                <w:color w:val="000000"/>
                <w:sz w:val="20"/>
                <w:szCs w:val="20"/>
                <w:lang w:val="cs-CZ" w:eastAsia="cs-CZ"/>
              </w:rPr>
              <w:t>0,17</w:t>
            </w:r>
          </w:p>
        </w:tc>
        <w:tc>
          <w:tcPr>
            <w:tcW w:w="1112" w:type="dxa"/>
            <w:tcBorders>
              <w:top w:val="nil"/>
              <w:left w:val="nil"/>
              <w:bottom w:val="single" w:sz="4" w:space="0" w:color="auto"/>
              <w:right w:val="single" w:sz="4" w:space="0" w:color="auto"/>
            </w:tcBorders>
            <w:shd w:val="clear" w:color="auto" w:fill="auto"/>
            <w:noWrap/>
            <w:vAlign w:val="bottom"/>
            <w:hideMark/>
          </w:tcPr>
          <w:p w14:paraId="79F8E865" w14:textId="77777777" w:rsidR="00CB2594" w:rsidRPr="00E32679" w:rsidRDefault="00CB2594" w:rsidP="009525D2">
            <w:pPr>
              <w:jc w:val="center"/>
              <w:rPr>
                <w:rFonts w:eastAsia="Times New Roman" w:cs="Times New Roman"/>
                <w:color w:val="000000"/>
                <w:sz w:val="20"/>
                <w:szCs w:val="20"/>
                <w:lang w:val="cs-CZ" w:eastAsia="cs-CZ"/>
              </w:rPr>
            </w:pPr>
            <w:r w:rsidRPr="00E32679">
              <w:rPr>
                <w:rFonts w:eastAsia="Times New Roman" w:cs="Times New Roman"/>
                <w:color w:val="000000"/>
                <w:sz w:val="20"/>
                <w:szCs w:val="20"/>
                <w:lang w:val="cs-CZ" w:eastAsia="cs-CZ"/>
              </w:rPr>
              <w:t>0,43</w:t>
            </w:r>
          </w:p>
        </w:tc>
        <w:tc>
          <w:tcPr>
            <w:tcW w:w="1111" w:type="dxa"/>
            <w:tcBorders>
              <w:top w:val="nil"/>
              <w:left w:val="nil"/>
              <w:bottom w:val="single" w:sz="4" w:space="0" w:color="auto"/>
              <w:right w:val="single" w:sz="4" w:space="0" w:color="auto"/>
            </w:tcBorders>
            <w:shd w:val="clear" w:color="auto" w:fill="auto"/>
            <w:noWrap/>
            <w:vAlign w:val="bottom"/>
            <w:hideMark/>
          </w:tcPr>
          <w:p w14:paraId="5CF86ECA" w14:textId="77777777" w:rsidR="00CB2594" w:rsidRPr="00E32679" w:rsidRDefault="00CB2594" w:rsidP="009525D2">
            <w:pPr>
              <w:jc w:val="center"/>
              <w:rPr>
                <w:rFonts w:eastAsia="Times New Roman" w:cs="Times New Roman"/>
                <w:color w:val="000000"/>
                <w:sz w:val="20"/>
                <w:szCs w:val="20"/>
                <w:lang w:val="cs-CZ" w:eastAsia="cs-CZ"/>
              </w:rPr>
            </w:pPr>
            <w:r w:rsidRPr="00E32679">
              <w:rPr>
                <w:rFonts w:eastAsia="Times New Roman" w:cs="Times New Roman"/>
                <w:color w:val="000000"/>
                <w:sz w:val="20"/>
                <w:szCs w:val="20"/>
                <w:lang w:val="cs-CZ" w:eastAsia="cs-CZ"/>
              </w:rPr>
              <w:t>0,79</w:t>
            </w:r>
          </w:p>
        </w:tc>
        <w:tc>
          <w:tcPr>
            <w:tcW w:w="1112" w:type="dxa"/>
            <w:tcBorders>
              <w:top w:val="nil"/>
              <w:left w:val="nil"/>
              <w:bottom w:val="single" w:sz="4" w:space="0" w:color="auto"/>
              <w:right w:val="double" w:sz="6" w:space="0" w:color="auto"/>
            </w:tcBorders>
            <w:shd w:val="clear" w:color="auto" w:fill="auto"/>
            <w:noWrap/>
            <w:vAlign w:val="bottom"/>
            <w:hideMark/>
          </w:tcPr>
          <w:p w14:paraId="41BF1E37" w14:textId="77777777" w:rsidR="00CB2594" w:rsidRPr="00E32679" w:rsidRDefault="00CB2594" w:rsidP="009525D2">
            <w:pPr>
              <w:jc w:val="center"/>
              <w:rPr>
                <w:rFonts w:eastAsia="Times New Roman" w:cs="Times New Roman"/>
                <w:color w:val="000000"/>
                <w:sz w:val="20"/>
                <w:szCs w:val="20"/>
                <w:lang w:val="cs-CZ" w:eastAsia="cs-CZ"/>
              </w:rPr>
            </w:pPr>
            <w:r w:rsidRPr="00E32679">
              <w:rPr>
                <w:rFonts w:eastAsia="Times New Roman" w:cs="Times New Roman"/>
                <w:color w:val="000000"/>
                <w:sz w:val="20"/>
                <w:szCs w:val="20"/>
                <w:lang w:val="cs-CZ" w:eastAsia="cs-CZ"/>
              </w:rPr>
              <w:t>0,71</w:t>
            </w:r>
          </w:p>
        </w:tc>
      </w:tr>
      <w:tr w:rsidR="00CB2594" w:rsidRPr="00E32679" w14:paraId="1140628F" w14:textId="77777777" w:rsidTr="004A57B3">
        <w:trPr>
          <w:trHeight w:val="315"/>
        </w:trPr>
        <w:tc>
          <w:tcPr>
            <w:tcW w:w="2380" w:type="dxa"/>
            <w:tcBorders>
              <w:top w:val="nil"/>
              <w:left w:val="double" w:sz="6" w:space="0" w:color="auto"/>
              <w:bottom w:val="single" w:sz="4" w:space="0" w:color="auto"/>
              <w:right w:val="single" w:sz="4" w:space="0" w:color="auto"/>
            </w:tcBorders>
            <w:shd w:val="clear" w:color="auto" w:fill="auto"/>
            <w:noWrap/>
            <w:vAlign w:val="bottom"/>
            <w:hideMark/>
          </w:tcPr>
          <w:p w14:paraId="2B0FEE82" w14:textId="77777777" w:rsidR="00CB2594" w:rsidRPr="00E32679" w:rsidRDefault="00CB2594" w:rsidP="004A57B3">
            <w:pPr>
              <w:rPr>
                <w:rFonts w:eastAsia="Times New Roman" w:cs="Times New Roman"/>
                <w:color w:val="000000"/>
                <w:sz w:val="20"/>
                <w:szCs w:val="20"/>
                <w:lang w:val="cs-CZ" w:eastAsia="cs-CZ"/>
              </w:rPr>
            </w:pPr>
            <w:r w:rsidRPr="00E32679">
              <w:rPr>
                <w:rFonts w:eastAsia="Times New Roman" w:cs="Times New Roman"/>
                <w:color w:val="000000"/>
                <w:sz w:val="20"/>
                <w:szCs w:val="20"/>
                <w:lang w:val="cs-CZ" w:eastAsia="cs-CZ"/>
              </w:rPr>
              <w:t>Podlahový chov, voliéry</w:t>
            </w:r>
          </w:p>
        </w:tc>
        <w:tc>
          <w:tcPr>
            <w:tcW w:w="1111" w:type="dxa"/>
            <w:tcBorders>
              <w:top w:val="nil"/>
              <w:left w:val="nil"/>
              <w:bottom w:val="single" w:sz="4" w:space="0" w:color="auto"/>
              <w:right w:val="single" w:sz="4" w:space="0" w:color="auto"/>
            </w:tcBorders>
            <w:shd w:val="clear" w:color="auto" w:fill="auto"/>
            <w:noWrap/>
            <w:vAlign w:val="bottom"/>
            <w:hideMark/>
          </w:tcPr>
          <w:p w14:paraId="1D3DC60C" w14:textId="77777777" w:rsidR="00CB2594" w:rsidRPr="00E32679" w:rsidRDefault="00CB2594" w:rsidP="009525D2">
            <w:pPr>
              <w:jc w:val="center"/>
              <w:rPr>
                <w:rFonts w:eastAsia="Times New Roman" w:cs="Times New Roman"/>
                <w:color w:val="000000"/>
                <w:sz w:val="20"/>
                <w:szCs w:val="20"/>
                <w:lang w:val="cs-CZ" w:eastAsia="cs-CZ"/>
              </w:rPr>
            </w:pPr>
            <w:r w:rsidRPr="00E32679">
              <w:rPr>
                <w:rFonts w:eastAsia="Times New Roman" w:cs="Times New Roman"/>
                <w:color w:val="000000"/>
                <w:sz w:val="20"/>
                <w:szCs w:val="20"/>
                <w:lang w:val="cs-CZ" w:eastAsia="cs-CZ"/>
              </w:rPr>
              <w:t>13,48</w:t>
            </w:r>
          </w:p>
        </w:tc>
        <w:tc>
          <w:tcPr>
            <w:tcW w:w="1112" w:type="dxa"/>
            <w:tcBorders>
              <w:top w:val="nil"/>
              <w:left w:val="nil"/>
              <w:bottom w:val="single" w:sz="4" w:space="0" w:color="auto"/>
              <w:right w:val="single" w:sz="4" w:space="0" w:color="auto"/>
            </w:tcBorders>
            <w:shd w:val="clear" w:color="auto" w:fill="auto"/>
            <w:noWrap/>
            <w:vAlign w:val="bottom"/>
            <w:hideMark/>
          </w:tcPr>
          <w:p w14:paraId="65E38583" w14:textId="77777777" w:rsidR="00CB2594" w:rsidRPr="00E32679" w:rsidRDefault="00CB2594" w:rsidP="009525D2">
            <w:pPr>
              <w:jc w:val="center"/>
              <w:rPr>
                <w:rFonts w:eastAsia="Times New Roman" w:cs="Times New Roman"/>
                <w:color w:val="000000"/>
                <w:sz w:val="20"/>
                <w:szCs w:val="20"/>
                <w:lang w:val="cs-CZ" w:eastAsia="cs-CZ"/>
              </w:rPr>
            </w:pPr>
            <w:r w:rsidRPr="00E32679">
              <w:rPr>
                <w:rFonts w:eastAsia="Times New Roman" w:cs="Times New Roman"/>
                <w:color w:val="000000"/>
                <w:sz w:val="20"/>
                <w:szCs w:val="20"/>
                <w:lang w:val="cs-CZ" w:eastAsia="cs-CZ"/>
              </w:rPr>
              <w:t>9,53</w:t>
            </w:r>
          </w:p>
        </w:tc>
        <w:tc>
          <w:tcPr>
            <w:tcW w:w="1111" w:type="dxa"/>
            <w:tcBorders>
              <w:top w:val="nil"/>
              <w:left w:val="nil"/>
              <w:bottom w:val="single" w:sz="4" w:space="0" w:color="auto"/>
              <w:right w:val="single" w:sz="4" w:space="0" w:color="auto"/>
            </w:tcBorders>
            <w:shd w:val="clear" w:color="auto" w:fill="auto"/>
            <w:noWrap/>
            <w:vAlign w:val="bottom"/>
            <w:hideMark/>
          </w:tcPr>
          <w:p w14:paraId="6485D38C" w14:textId="77777777" w:rsidR="00CB2594" w:rsidRPr="00E32679" w:rsidRDefault="00CB2594" w:rsidP="009525D2">
            <w:pPr>
              <w:jc w:val="center"/>
              <w:rPr>
                <w:rFonts w:eastAsia="Times New Roman" w:cs="Times New Roman"/>
                <w:color w:val="000000"/>
                <w:sz w:val="20"/>
                <w:szCs w:val="20"/>
                <w:lang w:val="cs-CZ" w:eastAsia="cs-CZ"/>
              </w:rPr>
            </w:pPr>
            <w:r w:rsidRPr="00E32679">
              <w:rPr>
                <w:rFonts w:eastAsia="Times New Roman" w:cs="Times New Roman"/>
                <w:color w:val="000000"/>
                <w:sz w:val="20"/>
                <w:szCs w:val="20"/>
                <w:lang w:val="cs-CZ" w:eastAsia="cs-CZ"/>
              </w:rPr>
              <w:t>11,95</w:t>
            </w:r>
          </w:p>
        </w:tc>
        <w:tc>
          <w:tcPr>
            <w:tcW w:w="1112" w:type="dxa"/>
            <w:tcBorders>
              <w:top w:val="nil"/>
              <w:left w:val="nil"/>
              <w:bottom w:val="single" w:sz="4" w:space="0" w:color="auto"/>
              <w:right w:val="single" w:sz="4" w:space="0" w:color="auto"/>
            </w:tcBorders>
            <w:shd w:val="clear" w:color="auto" w:fill="auto"/>
            <w:noWrap/>
            <w:vAlign w:val="bottom"/>
            <w:hideMark/>
          </w:tcPr>
          <w:p w14:paraId="7D117D58" w14:textId="77777777" w:rsidR="00CB2594" w:rsidRPr="00E32679" w:rsidRDefault="00CB2594" w:rsidP="009525D2">
            <w:pPr>
              <w:jc w:val="center"/>
              <w:rPr>
                <w:rFonts w:eastAsia="Times New Roman" w:cs="Times New Roman"/>
                <w:color w:val="000000"/>
                <w:sz w:val="20"/>
                <w:szCs w:val="20"/>
                <w:lang w:val="cs-CZ" w:eastAsia="cs-CZ"/>
              </w:rPr>
            </w:pPr>
            <w:r w:rsidRPr="00E32679">
              <w:rPr>
                <w:rFonts w:eastAsia="Times New Roman" w:cs="Times New Roman"/>
                <w:color w:val="000000"/>
                <w:sz w:val="20"/>
                <w:szCs w:val="20"/>
                <w:lang w:val="cs-CZ" w:eastAsia="cs-CZ"/>
              </w:rPr>
              <w:t>14,80</w:t>
            </w:r>
          </w:p>
        </w:tc>
        <w:tc>
          <w:tcPr>
            <w:tcW w:w="1111" w:type="dxa"/>
            <w:tcBorders>
              <w:top w:val="nil"/>
              <w:left w:val="nil"/>
              <w:bottom w:val="single" w:sz="4" w:space="0" w:color="auto"/>
              <w:right w:val="single" w:sz="4" w:space="0" w:color="auto"/>
            </w:tcBorders>
            <w:shd w:val="clear" w:color="auto" w:fill="auto"/>
            <w:noWrap/>
            <w:vAlign w:val="bottom"/>
            <w:hideMark/>
          </w:tcPr>
          <w:p w14:paraId="230290DB" w14:textId="77777777" w:rsidR="00CB2594" w:rsidRPr="00E32679" w:rsidRDefault="00CB2594" w:rsidP="009525D2">
            <w:pPr>
              <w:jc w:val="center"/>
              <w:rPr>
                <w:rFonts w:eastAsia="Times New Roman" w:cs="Times New Roman"/>
                <w:color w:val="000000"/>
                <w:sz w:val="20"/>
                <w:szCs w:val="20"/>
                <w:lang w:val="cs-CZ" w:eastAsia="cs-CZ"/>
              </w:rPr>
            </w:pPr>
            <w:r w:rsidRPr="00E32679">
              <w:rPr>
                <w:rFonts w:eastAsia="Times New Roman" w:cs="Times New Roman"/>
                <w:color w:val="000000"/>
                <w:sz w:val="20"/>
                <w:szCs w:val="20"/>
                <w:lang w:val="cs-CZ" w:eastAsia="cs-CZ"/>
              </w:rPr>
              <w:t>22,27</w:t>
            </w:r>
          </w:p>
        </w:tc>
        <w:tc>
          <w:tcPr>
            <w:tcW w:w="1112" w:type="dxa"/>
            <w:tcBorders>
              <w:top w:val="nil"/>
              <w:left w:val="nil"/>
              <w:bottom w:val="single" w:sz="4" w:space="0" w:color="auto"/>
              <w:right w:val="double" w:sz="6" w:space="0" w:color="auto"/>
            </w:tcBorders>
            <w:shd w:val="clear" w:color="auto" w:fill="auto"/>
            <w:noWrap/>
            <w:vAlign w:val="bottom"/>
            <w:hideMark/>
          </w:tcPr>
          <w:p w14:paraId="347BED03" w14:textId="77777777" w:rsidR="00CB2594" w:rsidRPr="00E32679" w:rsidRDefault="00CB2594" w:rsidP="009525D2">
            <w:pPr>
              <w:jc w:val="center"/>
              <w:rPr>
                <w:rFonts w:eastAsia="Times New Roman" w:cs="Times New Roman"/>
                <w:color w:val="000000"/>
                <w:sz w:val="20"/>
                <w:szCs w:val="20"/>
                <w:lang w:val="cs-CZ" w:eastAsia="cs-CZ"/>
              </w:rPr>
            </w:pPr>
            <w:r w:rsidRPr="00E32679">
              <w:rPr>
                <w:rFonts w:eastAsia="Times New Roman" w:cs="Times New Roman"/>
                <w:color w:val="000000"/>
                <w:sz w:val="20"/>
                <w:szCs w:val="20"/>
                <w:lang w:val="cs-CZ" w:eastAsia="cs-CZ"/>
              </w:rPr>
              <w:t>8,79</w:t>
            </w:r>
          </w:p>
        </w:tc>
      </w:tr>
      <w:tr w:rsidR="00CB2594" w:rsidRPr="00E32679" w14:paraId="053BB419" w14:textId="77777777" w:rsidTr="004A57B3">
        <w:trPr>
          <w:trHeight w:val="315"/>
        </w:trPr>
        <w:tc>
          <w:tcPr>
            <w:tcW w:w="2380" w:type="dxa"/>
            <w:tcBorders>
              <w:top w:val="nil"/>
              <w:left w:val="double" w:sz="6" w:space="0" w:color="auto"/>
              <w:bottom w:val="double" w:sz="6" w:space="0" w:color="auto"/>
              <w:right w:val="single" w:sz="4" w:space="0" w:color="auto"/>
            </w:tcBorders>
            <w:shd w:val="clear" w:color="auto" w:fill="auto"/>
            <w:noWrap/>
            <w:vAlign w:val="bottom"/>
            <w:hideMark/>
          </w:tcPr>
          <w:p w14:paraId="6E11D2F3" w14:textId="77777777" w:rsidR="00CB2594" w:rsidRPr="00E32679" w:rsidRDefault="00CB2594" w:rsidP="004A57B3">
            <w:pPr>
              <w:rPr>
                <w:rFonts w:eastAsia="Times New Roman" w:cs="Times New Roman"/>
                <w:color w:val="000000"/>
                <w:sz w:val="20"/>
                <w:szCs w:val="20"/>
                <w:lang w:val="cs-CZ" w:eastAsia="cs-CZ"/>
              </w:rPr>
            </w:pPr>
            <w:r w:rsidRPr="00E32679">
              <w:rPr>
                <w:rFonts w:eastAsia="Times New Roman" w:cs="Times New Roman"/>
                <w:color w:val="000000"/>
                <w:sz w:val="20"/>
                <w:szCs w:val="20"/>
                <w:lang w:val="cs-CZ" w:eastAsia="cs-CZ"/>
              </w:rPr>
              <w:t>Obohacené klece</w:t>
            </w:r>
          </w:p>
        </w:tc>
        <w:tc>
          <w:tcPr>
            <w:tcW w:w="1111" w:type="dxa"/>
            <w:tcBorders>
              <w:top w:val="nil"/>
              <w:left w:val="nil"/>
              <w:bottom w:val="double" w:sz="6" w:space="0" w:color="auto"/>
              <w:right w:val="single" w:sz="4" w:space="0" w:color="auto"/>
            </w:tcBorders>
            <w:shd w:val="clear" w:color="auto" w:fill="auto"/>
            <w:noWrap/>
            <w:vAlign w:val="bottom"/>
            <w:hideMark/>
          </w:tcPr>
          <w:p w14:paraId="3CD6ADA9" w14:textId="77777777" w:rsidR="00CB2594" w:rsidRPr="00E32679" w:rsidRDefault="00CB2594" w:rsidP="009525D2">
            <w:pPr>
              <w:jc w:val="center"/>
              <w:rPr>
                <w:rFonts w:eastAsia="Times New Roman" w:cs="Times New Roman"/>
                <w:color w:val="000000"/>
                <w:sz w:val="20"/>
                <w:szCs w:val="20"/>
                <w:lang w:val="cs-CZ" w:eastAsia="cs-CZ"/>
              </w:rPr>
            </w:pPr>
            <w:r w:rsidRPr="00E32679">
              <w:rPr>
                <w:rFonts w:eastAsia="Times New Roman" w:cs="Times New Roman"/>
                <w:color w:val="000000"/>
                <w:sz w:val="20"/>
                <w:szCs w:val="20"/>
                <w:lang w:val="cs-CZ" w:eastAsia="cs-CZ"/>
              </w:rPr>
              <w:t>86,09</w:t>
            </w:r>
          </w:p>
        </w:tc>
        <w:tc>
          <w:tcPr>
            <w:tcW w:w="1112" w:type="dxa"/>
            <w:tcBorders>
              <w:top w:val="nil"/>
              <w:left w:val="nil"/>
              <w:bottom w:val="double" w:sz="6" w:space="0" w:color="auto"/>
              <w:right w:val="single" w:sz="4" w:space="0" w:color="auto"/>
            </w:tcBorders>
            <w:shd w:val="clear" w:color="auto" w:fill="auto"/>
            <w:noWrap/>
            <w:vAlign w:val="bottom"/>
            <w:hideMark/>
          </w:tcPr>
          <w:p w14:paraId="12D11021" w14:textId="77777777" w:rsidR="00CB2594" w:rsidRPr="00E32679" w:rsidRDefault="00CB2594" w:rsidP="009525D2">
            <w:pPr>
              <w:jc w:val="center"/>
              <w:rPr>
                <w:rFonts w:eastAsia="Times New Roman" w:cs="Times New Roman"/>
                <w:color w:val="000000"/>
                <w:sz w:val="20"/>
                <w:szCs w:val="20"/>
                <w:lang w:val="cs-CZ" w:eastAsia="cs-CZ"/>
              </w:rPr>
            </w:pPr>
            <w:r w:rsidRPr="00E32679">
              <w:rPr>
                <w:rFonts w:eastAsia="Times New Roman" w:cs="Times New Roman"/>
                <w:color w:val="000000"/>
                <w:sz w:val="20"/>
                <w:szCs w:val="20"/>
                <w:lang w:val="cs-CZ" w:eastAsia="cs-CZ"/>
              </w:rPr>
              <w:t>90,24</w:t>
            </w:r>
          </w:p>
        </w:tc>
        <w:tc>
          <w:tcPr>
            <w:tcW w:w="1111" w:type="dxa"/>
            <w:tcBorders>
              <w:top w:val="nil"/>
              <w:left w:val="nil"/>
              <w:bottom w:val="double" w:sz="6" w:space="0" w:color="auto"/>
              <w:right w:val="single" w:sz="4" w:space="0" w:color="auto"/>
            </w:tcBorders>
            <w:shd w:val="clear" w:color="auto" w:fill="auto"/>
            <w:noWrap/>
            <w:vAlign w:val="bottom"/>
            <w:hideMark/>
          </w:tcPr>
          <w:p w14:paraId="79646C65" w14:textId="77777777" w:rsidR="00CB2594" w:rsidRPr="00E32679" w:rsidRDefault="00CB2594" w:rsidP="009525D2">
            <w:pPr>
              <w:jc w:val="center"/>
              <w:rPr>
                <w:rFonts w:eastAsia="Times New Roman" w:cs="Times New Roman"/>
                <w:color w:val="000000"/>
                <w:sz w:val="20"/>
                <w:szCs w:val="20"/>
                <w:lang w:val="cs-CZ" w:eastAsia="cs-CZ"/>
              </w:rPr>
            </w:pPr>
            <w:r w:rsidRPr="00E32679">
              <w:rPr>
                <w:rFonts w:eastAsia="Times New Roman" w:cs="Times New Roman"/>
                <w:color w:val="000000"/>
                <w:sz w:val="20"/>
                <w:szCs w:val="20"/>
                <w:lang w:val="cs-CZ" w:eastAsia="cs-CZ"/>
              </w:rPr>
              <w:t>87,58</w:t>
            </w:r>
          </w:p>
        </w:tc>
        <w:tc>
          <w:tcPr>
            <w:tcW w:w="1112" w:type="dxa"/>
            <w:tcBorders>
              <w:top w:val="nil"/>
              <w:left w:val="nil"/>
              <w:bottom w:val="double" w:sz="6" w:space="0" w:color="auto"/>
              <w:right w:val="single" w:sz="4" w:space="0" w:color="auto"/>
            </w:tcBorders>
            <w:shd w:val="clear" w:color="auto" w:fill="auto"/>
            <w:noWrap/>
            <w:vAlign w:val="bottom"/>
            <w:hideMark/>
          </w:tcPr>
          <w:p w14:paraId="1C9F578E" w14:textId="77777777" w:rsidR="00CB2594" w:rsidRPr="00E32679" w:rsidRDefault="00CB2594" w:rsidP="009525D2">
            <w:pPr>
              <w:jc w:val="center"/>
              <w:rPr>
                <w:rFonts w:eastAsia="Times New Roman" w:cs="Times New Roman"/>
                <w:color w:val="000000"/>
                <w:sz w:val="20"/>
                <w:szCs w:val="20"/>
                <w:lang w:val="cs-CZ" w:eastAsia="cs-CZ"/>
              </w:rPr>
            </w:pPr>
            <w:r w:rsidRPr="00E32679">
              <w:rPr>
                <w:rFonts w:eastAsia="Times New Roman" w:cs="Times New Roman"/>
                <w:color w:val="000000"/>
                <w:sz w:val="20"/>
                <w:szCs w:val="20"/>
                <w:lang w:val="cs-CZ" w:eastAsia="cs-CZ"/>
              </w:rPr>
              <w:t>84,54</w:t>
            </w:r>
          </w:p>
        </w:tc>
        <w:tc>
          <w:tcPr>
            <w:tcW w:w="1111" w:type="dxa"/>
            <w:tcBorders>
              <w:top w:val="nil"/>
              <w:left w:val="nil"/>
              <w:bottom w:val="double" w:sz="6" w:space="0" w:color="auto"/>
              <w:right w:val="single" w:sz="4" w:space="0" w:color="auto"/>
            </w:tcBorders>
            <w:shd w:val="clear" w:color="auto" w:fill="auto"/>
            <w:noWrap/>
            <w:vAlign w:val="bottom"/>
            <w:hideMark/>
          </w:tcPr>
          <w:p w14:paraId="27EE959D" w14:textId="77777777" w:rsidR="00CB2594" w:rsidRPr="00E32679" w:rsidRDefault="00CB2594" w:rsidP="009525D2">
            <w:pPr>
              <w:jc w:val="center"/>
              <w:rPr>
                <w:rFonts w:eastAsia="Times New Roman" w:cs="Times New Roman"/>
                <w:color w:val="000000"/>
                <w:sz w:val="20"/>
                <w:szCs w:val="20"/>
                <w:lang w:val="cs-CZ" w:eastAsia="cs-CZ"/>
              </w:rPr>
            </w:pPr>
            <w:r w:rsidRPr="00E32679">
              <w:rPr>
                <w:rFonts w:eastAsia="Times New Roman" w:cs="Times New Roman"/>
                <w:color w:val="000000"/>
                <w:sz w:val="20"/>
                <w:szCs w:val="20"/>
                <w:lang w:val="cs-CZ" w:eastAsia="cs-CZ"/>
              </w:rPr>
              <w:t>76,62</w:t>
            </w:r>
          </w:p>
        </w:tc>
        <w:tc>
          <w:tcPr>
            <w:tcW w:w="1112" w:type="dxa"/>
            <w:tcBorders>
              <w:top w:val="nil"/>
              <w:left w:val="nil"/>
              <w:bottom w:val="double" w:sz="6" w:space="0" w:color="auto"/>
              <w:right w:val="double" w:sz="6" w:space="0" w:color="auto"/>
            </w:tcBorders>
            <w:shd w:val="clear" w:color="auto" w:fill="auto"/>
            <w:noWrap/>
            <w:vAlign w:val="bottom"/>
            <w:hideMark/>
          </w:tcPr>
          <w:p w14:paraId="06EE7644" w14:textId="77777777" w:rsidR="00CB2594" w:rsidRPr="00E32679" w:rsidRDefault="00CB2594" w:rsidP="009525D2">
            <w:pPr>
              <w:jc w:val="center"/>
              <w:rPr>
                <w:rFonts w:eastAsia="Times New Roman" w:cs="Times New Roman"/>
                <w:color w:val="000000"/>
                <w:sz w:val="20"/>
                <w:szCs w:val="20"/>
                <w:lang w:val="cs-CZ" w:eastAsia="cs-CZ"/>
              </w:rPr>
            </w:pPr>
            <w:r w:rsidRPr="00E32679">
              <w:rPr>
                <w:rFonts w:eastAsia="Times New Roman" w:cs="Times New Roman"/>
                <w:color w:val="000000"/>
                <w:sz w:val="20"/>
                <w:szCs w:val="20"/>
                <w:lang w:val="cs-CZ" w:eastAsia="cs-CZ"/>
              </w:rPr>
              <w:t>-9,47</w:t>
            </w:r>
          </w:p>
        </w:tc>
      </w:tr>
    </w:tbl>
    <w:p w14:paraId="3FE02EE2" w14:textId="251C7CC6" w:rsidR="00CB2594" w:rsidRPr="00E32679" w:rsidRDefault="00CB2594" w:rsidP="00EC60AC">
      <w:pPr>
        <w:pStyle w:val="UZEIZdroj"/>
      </w:pPr>
      <w:r w:rsidRPr="00E32679">
        <w:t>Pramen: Ústřední evidence drůbeže (2015-201</w:t>
      </w:r>
      <w:r w:rsidR="00FE241E" w:rsidRPr="00E32679">
        <w:t>9)</w:t>
      </w:r>
    </w:p>
    <w:p w14:paraId="16735F2F" w14:textId="7A42A70A" w:rsidR="00CB2594" w:rsidRPr="00E32679" w:rsidRDefault="00CB2594" w:rsidP="00FE241E">
      <w:pPr>
        <w:pStyle w:val="UZEIGraf"/>
        <w:ind w:hanging="720"/>
      </w:pPr>
      <w:bookmarkStart w:id="305" w:name="_Toc12466360"/>
      <w:bookmarkStart w:id="306" w:name="_Toc12611781"/>
      <w:bookmarkStart w:id="307" w:name="_Toc12613447"/>
      <w:bookmarkStart w:id="308" w:name="_Toc80877899"/>
      <w:bookmarkStart w:id="309" w:name="_Toc93676675"/>
      <w:r w:rsidRPr="00E32679">
        <w:t>Podíl nosnic chovaných v roce 2019 podle technologie ve vybraných zemích EU (v % z celkového počtu nosnic v dané zemi)</w:t>
      </w:r>
      <w:bookmarkEnd w:id="305"/>
      <w:bookmarkEnd w:id="306"/>
      <w:bookmarkEnd w:id="307"/>
      <w:bookmarkEnd w:id="308"/>
      <w:bookmarkEnd w:id="309"/>
    </w:p>
    <w:p w14:paraId="631741B3" w14:textId="77777777" w:rsidR="00CB2594" w:rsidRPr="00E32679" w:rsidRDefault="00CB2594" w:rsidP="00CB2594">
      <w:pPr>
        <w:spacing w:line="240" w:lineRule="atLeast"/>
        <w:rPr>
          <w:rFonts w:ascii="Arial" w:hAnsi="Arial" w:cs="Arial"/>
          <w:i/>
          <w:sz w:val="18"/>
          <w:szCs w:val="18"/>
          <w:lang w:val="cs-CZ"/>
        </w:rPr>
      </w:pPr>
      <w:r w:rsidRPr="00E32679">
        <w:rPr>
          <w:noProof/>
          <w:lang w:val="cs-CZ" w:eastAsia="cs-CZ"/>
        </w:rPr>
        <w:drawing>
          <wp:inline distT="0" distB="0" distL="0" distR="0" wp14:anchorId="239C44BF" wp14:editId="27F82A43">
            <wp:extent cx="5879290" cy="2980446"/>
            <wp:effectExtent l="25400" t="25400" r="90170" b="93345"/>
            <wp:docPr id="33" name="Graf 33">
              <a:extLst xmlns:a="http://schemas.openxmlformats.org/drawingml/2006/main">
                <a:ext uri="{FF2B5EF4-FFF2-40B4-BE49-F238E27FC236}">
                  <a16:creationId xmlns:a16="http://schemas.microsoft.com/office/drawing/2014/main" id="{58F770D0-400B-4DE7-AC6A-86116A54BEE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0E404FA4" w14:textId="767A1EE8" w:rsidR="00CB2594" w:rsidRPr="00E32679" w:rsidRDefault="00CB2594" w:rsidP="00FE241E">
      <w:pPr>
        <w:pStyle w:val="UZEIZdroj"/>
      </w:pPr>
      <w:r w:rsidRPr="00E32679">
        <w:t>Pramen</w:t>
      </w:r>
      <w:r w:rsidR="00FE241E" w:rsidRPr="00E32679">
        <w:t>:</w:t>
      </w:r>
      <w:r w:rsidRPr="00E32679">
        <w:t xml:space="preserve"> DG Agri 2019</w:t>
      </w:r>
    </w:p>
    <w:p w14:paraId="543BF15C" w14:textId="77777777" w:rsidR="00CB2594" w:rsidRPr="00E32679" w:rsidRDefault="00CB2594" w:rsidP="00CB2594">
      <w:pPr>
        <w:spacing w:line="240" w:lineRule="atLeast"/>
        <w:rPr>
          <w:rFonts w:ascii="Arial" w:hAnsi="Arial" w:cs="Arial"/>
          <w:i/>
          <w:sz w:val="18"/>
          <w:szCs w:val="18"/>
          <w:lang w:val="cs-CZ"/>
        </w:rPr>
      </w:pPr>
    </w:p>
    <w:p w14:paraId="1AA74BC3" w14:textId="77777777" w:rsidR="00CB2594" w:rsidRPr="00E32679" w:rsidRDefault="00CB2594" w:rsidP="005B4DE1">
      <w:pPr>
        <w:pStyle w:val="UZEINormaln"/>
      </w:pPr>
      <w:r w:rsidRPr="00E32679">
        <w:t xml:space="preserve">U </w:t>
      </w:r>
      <w:r w:rsidRPr="00E32679">
        <w:rPr>
          <w:b/>
        </w:rPr>
        <w:t>nosnic</w:t>
      </w:r>
      <w:r w:rsidRPr="00E32679">
        <w:t xml:space="preserve"> na hluboké podestýlce jsou naproti tomu časté výskyty respiratorních problémů v důsledku vysoké prašnosti (u cca 80 % zvířat) a podráždění očí a sliznic způsobené zvýšenou koncentrací čpavku (60 %). Obdobné problémy jako u nosnic, vznikající v závislosti na zvoleném typu ustájení, jsou identifikovány také v případě kuřic. </w:t>
      </w:r>
    </w:p>
    <w:p w14:paraId="1F123C8D" w14:textId="77777777" w:rsidR="00CB2594" w:rsidRPr="007434DA" w:rsidRDefault="00CB2594" w:rsidP="005B4DE1">
      <w:pPr>
        <w:pStyle w:val="UZEINormaln"/>
      </w:pPr>
      <w:r w:rsidRPr="00E32679">
        <w:t xml:space="preserve">U </w:t>
      </w:r>
      <w:r w:rsidRPr="00E32679">
        <w:rPr>
          <w:b/>
        </w:rPr>
        <w:t>kuřecích brojlerů</w:t>
      </w:r>
      <w:r w:rsidRPr="00E32679">
        <w:t xml:space="preserve"> byl jako problematický identifikován především vysoký výskyt respiratorních problémů (75 %), vznik kontaktních dermatitid v důsledku vyšší vlhkosti podestýlky (60 %) a vysoká koncentrace čpavku v halách, vedoucí k podráždění očí a sliznic ustájených zvířat (60 %). Chovy kachen jsou obecně nejvíce zatíženy zvýšenou vlhkostí podestýlky a vzduchu, a také zvýšenou koncentrací čpavku a sirovodíku v ustájovacích prostorách. Těmito problémy trpí cca 80 % zvířat. Obdobný podíl zvířat je odhadován pro zatížení nadměrnou vlhkostí prostředí a zvýšeným tlakem parazitů v chovech hus.</w:t>
      </w:r>
      <w:r w:rsidRPr="007434DA">
        <w:t xml:space="preserve"> </w:t>
      </w:r>
    </w:p>
    <w:p w14:paraId="19A9B65B" w14:textId="77777777" w:rsidR="00CB2594" w:rsidRPr="007434DA" w:rsidRDefault="00CB2594" w:rsidP="005B4DE1">
      <w:pPr>
        <w:pStyle w:val="UZEINormaln"/>
      </w:pPr>
      <w:r w:rsidRPr="007434DA">
        <w:br w:type="page"/>
      </w:r>
    </w:p>
    <w:p w14:paraId="1EC57F54" w14:textId="77777777" w:rsidR="00CB2594" w:rsidRPr="007434DA" w:rsidRDefault="00CB2594" w:rsidP="005B4DE1">
      <w:pPr>
        <w:pStyle w:val="Nadpis1"/>
      </w:pPr>
      <w:bookmarkStart w:id="310" w:name="_Toc12613448"/>
      <w:bookmarkStart w:id="311" w:name="_Toc80877900"/>
      <w:bookmarkStart w:id="312" w:name="_Toc81755635"/>
      <w:bookmarkStart w:id="313" w:name="_Toc533068229"/>
      <w:r w:rsidRPr="007434DA">
        <w:t>EXISTENCE/NEEXISTENCE MOŽNOSTI EFEKTIVNÍHO ŘEŠENÍ V RÁMCI NÁSTROJŮ SZP, KTERÉ LZE UVAŽOVAT V NOVÝCH NÁVRZÍCH SZP</w:t>
      </w:r>
      <w:bookmarkEnd w:id="310"/>
      <w:bookmarkEnd w:id="311"/>
      <w:bookmarkEnd w:id="312"/>
      <w:r w:rsidRPr="007434DA">
        <w:t xml:space="preserve"> </w:t>
      </w:r>
      <w:bookmarkEnd w:id="313"/>
    </w:p>
    <w:p w14:paraId="19B26AD2" w14:textId="6A21D575" w:rsidR="00CB2594" w:rsidRPr="007434DA" w:rsidRDefault="00CB2594" w:rsidP="005B4DE1">
      <w:pPr>
        <w:pStyle w:val="UZEINormaln"/>
      </w:pPr>
      <w:r w:rsidRPr="007434DA">
        <w:t xml:space="preserve">V nových návrzích SZP je problém řešitelný pokračováním nastavených souborů intervencí (opatření) DŽPZ z období 2014+ a </w:t>
      </w:r>
      <w:r w:rsidR="00E32679">
        <w:t xml:space="preserve">jejich </w:t>
      </w:r>
      <w:r w:rsidRPr="007434DA">
        <w:t xml:space="preserve">rozšíření tak, aby přispívaly ke zvýšení kvality života hospodářských zvířat. Nezbytnou součástí systému jsou základní požadavky podmíněnosti. Tyto základní normy, které musí dodržovat všichni žadatelé o dotace, jsou v rámci DŽPZ shrnuty v povinných požadavcích na hospodaření zemědělského subjektu (PPH). Jedná se o Minimální požadavky pro ochranu telat (PPH </w:t>
      </w:r>
      <w:r w:rsidR="00E32679">
        <w:t>9</w:t>
      </w:r>
      <w:r w:rsidRPr="007434DA">
        <w:t xml:space="preserve">), Minimální požadavky pro ochranu prasat (PPH </w:t>
      </w:r>
      <w:r w:rsidR="00E32679">
        <w:t>10</w:t>
      </w:r>
      <w:r w:rsidRPr="007434DA">
        <w:t xml:space="preserve">) a Požadavky na ochranu zvířat chovaných pro hospodářské účely (PPH </w:t>
      </w:r>
      <w:r w:rsidR="00E32679">
        <w:t>11</w:t>
      </w:r>
      <w:r w:rsidRPr="007434DA">
        <w:t xml:space="preserve">). </w:t>
      </w:r>
    </w:p>
    <w:p w14:paraId="6CB8C1B1" w14:textId="77777777" w:rsidR="00CB2594" w:rsidRPr="007434DA" w:rsidRDefault="00CB2594" w:rsidP="005B4DE1">
      <w:pPr>
        <w:pStyle w:val="UZEINormaln"/>
      </w:pPr>
      <w:r w:rsidRPr="007434DA">
        <w:t>V oblasti transferu znalostí se jeví potřeba pravidelně zlepšovat informovanost a posílit odbornost chovatelů v oblastech DŽPZ (reakce na potřeby společnosti, nové trendy v oblasti péče o zvířata). Zajistit lepší propojení poznatků výzkumu v oblasti DŽPZ se zemědělskou praxí.</w:t>
      </w:r>
    </w:p>
    <w:p w14:paraId="06EBA77A" w14:textId="77777777" w:rsidR="00CB2594" w:rsidRPr="007434DA" w:rsidRDefault="00CB2594" w:rsidP="005B4DE1">
      <w:pPr>
        <w:pStyle w:val="UZEINormaln"/>
      </w:pPr>
      <w:r w:rsidRPr="007434DA">
        <w:t>V oblasti konkurenceschopnosti – apelovat na tvorby značek kvality, tak aby byl do procesu jejich tvorby zapojen jak chovatel, tak i zpracovatel a obchod. Tyto značky by měly umožnit spotřebiteli při nákupu potravin identifikovat výrobek s vyšším standardem a umožnit mu tak rozhodování při jeho nákupu. Řešení však bude silně závislé na ochotě zpracovatelů se na značkách kvality podílet a spoluvytvářet je.</w:t>
      </w:r>
    </w:p>
    <w:p w14:paraId="6D6E9F96" w14:textId="4E1134E1" w:rsidR="00CB2594" w:rsidRPr="007434DA" w:rsidRDefault="005B4DE1" w:rsidP="005B4DE1">
      <w:pPr>
        <w:spacing w:after="160" w:line="259" w:lineRule="auto"/>
        <w:jc w:val="left"/>
        <w:rPr>
          <w:rFonts w:ascii="Arial" w:hAnsi="Arial" w:cs="Arial"/>
          <w:sz w:val="20"/>
          <w:szCs w:val="20"/>
          <w:lang w:val="cs-CZ"/>
        </w:rPr>
      </w:pPr>
      <w:r w:rsidRPr="007434DA">
        <w:rPr>
          <w:rFonts w:ascii="Arial" w:hAnsi="Arial" w:cs="Arial"/>
          <w:sz w:val="20"/>
          <w:szCs w:val="20"/>
          <w:lang w:val="cs-CZ"/>
        </w:rPr>
        <w:br w:type="page"/>
      </w:r>
    </w:p>
    <w:p w14:paraId="0EA3CFDF" w14:textId="04C97132" w:rsidR="00CB2594" w:rsidRPr="007434DA" w:rsidRDefault="00CB2594" w:rsidP="00CB2594">
      <w:pPr>
        <w:pStyle w:val="Nadpis1"/>
      </w:pPr>
      <w:bookmarkStart w:id="314" w:name="_Toc533068230"/>
      <w:bookmarkStart w:id="315" w:name="_Toc12613449"/>
      <w:bookmarkStart w:id="316" w:name="_Toc80877901"/>
      <w:bookmarkStart w:id="317" w:name="_Toc81755636"/>
      <w:r w:rsidRPr="007434DA">
        <w:t>MÍRA STÁVAJÍCÍHO ŘEŠENÍ PROBLÉMU</w:t>
      </w:r>
      <w:bookmarkEnd w:id="314"/>
      <w:bookmarkEnd w:id="315"/>
      <w:bookmarkEnd w:id="316"/>
      <w:bookmarkEnd w:id="317"/>
    </w:p>
    <w:p w14:paraId="3D6A4892" w14:textId="328995A6" w:rsidR="00CB2594" w:rsidRPr="007434DA" w:rsidRDefault="00CB2594" w:rsidP="005B4DE1">
      <w:pPr>
        <w:pStyle w:val="Nadpis2"/>
      </w:pPr>
      <w:bookmarkStart w:id="318" w:name="_Toc519497849"/>
      <w:bookmarkStart w:id="319" w:name="_Toc520197039"/>
      <w:bookmarkStart w:id="320" w:name="_Toc533068231"/>
      <w:bookmarkStart w:id="321" w:name="_Toc533072899"/>
      <w:bookmarkStart w:id="322" w:name="_Toc12613450"/>
      <w:bookmarkStart w:id="323" w:name="_Toc80877902"/>
      <w:bookmarkStart w:id="324" w:name="_Toc81755637"/>
      <w:r w:rsidRPr="007434DA">
        <w:t>Míra řešení ve stávající SZP</w:t>
      </w:r>
      <w:bookmarkEnd w:id="318"/>
      <w:bookmarkEnd w:id="319"/>
      <w:bookmarkEnd w:id="320"/>
      <w:bookmarkEnd w:id="321"/>
      <w:bookmarkEnd w:id="322"/>
      <w:bookmarkEnd w:id="323"/>
      <w:bookmarkEnd w:id="324"/>
      <w:r w:rsidRPr="007434DA">
        <w:t xml:space="preserve"> </w:t>
      </w:r>
    </w:p>
    <w:p w14:paraId="316EE979" w14:textId="77777777" w:rsidR="00CB2594" w:rsidRPr="007434DA" w:rsidRDefault="00CB2594" w:rsidP="00532DB7">
      <w:pPr>
        <w:pStyle w:val="UZEINormaln"/>
        <w:rPr>
          <w:b/>
          <w:bCs/>
        </w:rPr>
      </w:pPr>
      <w:r w:rsidRPr="007434DA">
        <w:rPr>
          <w:b/>
          <w:bCs/>
        </w:rPr>
        <w:t>PRV 2014-2020</w:t>
      </w:r>
    </w:p>
    <w:p w14:paraId="06FF9809" w14:textId="77777777" w:rsidR="00CB2594" w:rsidRPr="007434DA" w:rsidRDefault="00CB2594" w:rsidP="00532DB7">
      <w:pPr>
        <w:pStyle w:val="UZEINormaln"/>
      </w:pPr>
      <w:r w:rsidRPr="007434DA">
        <w:t xml:space="preserve">V současné PRV je podpora nadstandardního welfare zařazena do Priority 3 Podpora organizace potravinového řetězce, včetně zpracování zemědělských produktů a jejich uvádění na trh, dobrých životních podmínek zvířat a řízení rizik v zemědělství. </w:t>
      </w:r>
    </w:p>
    <w:p w14:paraId="167832EA" w14:textId="2F06EBF5" w:rsidR="00CB2594" w:rsidRPr="007434DA" w:rsidRDefault="00CB2594" w:rsidP="00532DB7">
      <w:pPr>
        <w:pStyle w:val="UZEINormaln"/>
      </w:pPr>
      <w:r w:rsidRPr="007434DA">
        <w:t xml:space="preserve">Opatření DŽPZ je v rámci současné SZP zaměřeno na podporu zlepšení podmínek v chovu krav s tržní produkcí mléka (dojnic) a dále v chovu prasat, kde bylo zaměřeno na kategorie prasnic, prasniček a selat. V chovu dojnic je realizováno v podobě tří podopatření (zvětšení lehacího prostoru, zlepšení stájového prostředí a výběhy pro suchostojné krávy). V kategorii prasnic a prasniček je cíleno na dvě podopatření (turnusový provoz na porodnách, včetně ošetřování </w:t>
      </w:r>
      <w:r w:rsidR="00F65C97">
        <w:t>s</w:t>
      </w:r>
      <w:r w:rsidR="00F65C97" w:rsidRPr="007434DA">
        <w:t>párků</w:t>
      </w:r>
      <w:r w:rsidRPr="007434DA">
        <w:t xml:space="preserve">, a stanovení minimálního věku pro první zapuštění prasniček). Do kategorie selat je cíleno jedno podopatření týkající se zvětšení plochy pro odstavená selata. </w:t>
      </w:r>
    </w:p>
    <w:p w14:paraId="1C4603D7" w14:textId="77777777" w:rsidR="00CB2594" w:rsidRPr="007434DA" w:rsidRDefault="00CB2594" w:rsidP="00532DB7">
      <w:pPr>
        <w:pStyle w:val="UZEINormaln"/>
      </w:pPr>
      <w:r w:rsidRPr="007434DA">
        <w:t xml:space="preserve">Cílem podpory je zvýšení kvality života zvířat v chovu dojnic, které z hlediska nároku na chovatelskou péči náleží k nejnáročnějším a dále zlepšení welfare v chovu prasnic, prasniček a selat. Stávající opatření nebylo cíleno na zvýšení konkurenceschopnosti zemědělských podniků, neboť nebyla požadována návaznost na zpracovatelský průmysl, a tím spotřebitel takové potraviny nemohl identifikovat jako produkty pocházející od zvířat z nadstandardních podmínek chovu. </w:t>
      </w:r>
    </w:p>
    <w:p w14:paraId="450E17DC" w14:textId="77777777" w:rsidR="00CB2594" w:rsidRPr="007434DA" w:rsidRDefault="00CB2594" w:rsidP="00532DB7">
      <w:pPr>
        <w:pStyle w:val="UZEINormaln"/>
      </w:pPr>
      <w:r w:rsidRPr="007434DA">
        <w:t>Problematika zlepšení životních podmínek chovaných zvířat je řešena také v rámci ekologického zemědělství. Podmínky živočišné produkce a chovu hospodářských zvířat v rámci systému ekologického zemědělství jsou ustanoveny legislativně v Nařízení rady (ES) č. 834/2007 o ekologické produkci a označování ekologických produktů. Zde jsou v hlavě III, kapitole 2, článku 14 stanovena pravidla živočišné produkce, týkající se chovatelských postupů a podmínek ustájení, plemenitby, krmiv, prevence nákaz a veterinární léčby, ale také původu zvířat, nebo čištění a desinfekce budov pro živočišnou výrobu.</w:t>
      </w:r>
      <w:r w:rsidRPr="007434DA">
        <w:rPr>
          <w:rStyle w:val="Znakapoznpodarou"/>
          <w:rFonts w:ascii="Arial" w:hAnsi="Arial" w:cs="Arial"/>
          <w:sz w:val="20"/>
          <w:szCs w:val="20"/>
        </w:rPr>
        <w:footnoteReference w:id="74"/>
      </w:r>
    </w:p>
    <w:p w14:paraId="48B63B12" w14:textId="515C16E9" w:rsidR="00CB2594" w:rsidRPr="007434DA" w:rsidRDefault="00CB2594" w:rsidP="00532DB7">
      <w:pPr>
        <w:pStyle w:val="UZEINormaln"/>
      </w:pPr>
      <w:r w:rsidRPr="007434DA">
        <w:t>Základní podmínky pro zajištění bezpečnosti potravin a welfare zvířat představují požadavky podmíněnosti z oblasti veřejného zdraví, zdraví zvířat a rostlin a z oblasti dobrých životních podmínek zvířat. Zajištění zdraví zvířat a bezpečnosti potravinového řetězce podporují požadavky na dodržování pravidel podmíněnosti (Cross Compliance) stanovené na základě nařízení Evropského parlamentu a Rady (ES) č. 178/2002, kterým se stanoví obecné zásady a požadavky potravinového práva ( kondicionalita PPH 5) a směrnice Rady 96/22/ES o zákazu používání některých látek</w:t>
      </w:r>
      <w:r w:rsidR="00AE337F">
        <w:t xml:space="preserve"> </w:t>
      </w:r>
      <w:r w:rsidRPr="007434DA">
        <w:t>s</w:t>
      </w:r>
      <w:r w:rsidR="00AE337F">
        <w:t xml:space="preserve"> </w:t>
      </w:r>
      <w:r w:rsidRPr="007434DA">
        <w:t xml:space="preserve">hormonálním a tyreostatickým účinkem a beta-sympatomimetik v chovech zvířat </w:t>
      </w:r>
      <w:r w:rsidR="00AE337F">
        <w:t xml:space="preserve">(kondicionalita PPH 6) </w:t>
      </w:r>
      <w:r w:rsidRPr="007434DA">
        <w:t>pro téma kontrol podmíněnosti – Veřejné zdraví, zdraví zvířat a zdraví rostlin. Dále na základě Směrnice Rady 2008/71/ES o identifikaci a evidování prasat</w:t>
      </w:r>
      <w:r w:rsidR="00AE337F">
        <w:t xml:space="preserve"> </w:t>
      </w:r>
      <w:r w:rsidRPr="007434DA">
        <w:t xml:space="preserve"> </w:t>
      </w:r>
      <w:r w:rsidR="00AE337F">
        <w:t xml:space="preserve"> </w:t>
      </w:r>
      <w:r w:rsidRPr="007434DA">
        <w:t xml:space="preserve">(kondicionalita PPH 7), Nařízení Evropského parlamentu a Rady (ES) č. 1760/2000 o systému identifikace a evidence skotu, o označování hovězího masa a výrobků z hovězího masa (kondicionalita PPH 8), Nařízení Rady (ES) č. 21/2004 o stanovení systému identifikace a evidence ovcí a koz (kondicionalita PPH 9), Nařízení Evropského parlamentu a Rady (ES) č. 999/2001 o stanovení pravidel pro prevenci, tlumení a eradikaci některých přenosných spongiformních encefalopatií (kondicionalita PPH 10), Nařízení Evropského parlamentu a Rady (EU) 2016/429 o nákazách zvířat (kondicionalita PPH 11), Směrnice Rady 2008/119/ES, kterou se stanoví minimální požadavky pro ochranu telat (kondicionalita PPH 14), Směrnice Rady 2008/120/ES, kterou se stanoví minimální požadavky pro ochranu prasat (kondicionalita PPH 15), Směrnice Rady 98/58/ES o ochraně zvířat chovaných pro hospodářské účely kondicionalita PPH 16). Požadavky se týkají udržení nezávadnosti krmiv, kontroly produkce živočišného původu a dodržování zákazu podávání zvířatům látek a přípravků, jejichž používání u hospodářských zvířat nebo u zvířat, jejichž produkty jsou určeny k výživě lidí, není povoleno. </w:t>
      </w:r>
      <w:bookmarkStart w:id="325" w:name="_Toc519497850"/>
      <w:bookmarkStart w:id="326" w:name="_Toc520197040"/>
      <w:bookmarkStart w:id="327" w:name="_Toc533068232"/>
      <w:bookmarkStart w:id="328" w:name="_Toc533072900"/>
    </w:p>
    <w:p w14:paraId="12050DD0" w14:textId="175875F8" w:rsidR="00CB2594" w:rsidRPr="007434DA" w:rsidRDefault="00CB2594" w:rsidP="00532DB7">
      <w:pPr>
        <w:pStyle w:val="Nadpis2"/>
      </w:pPr>
      <w:bookmarkStart w:id="329" w:name="_Toc12613451"/>
      <w:bookmarkStart w:id="330" w:name="_Toc80877903"/>
      <w:bookmarkStart w:id="331" w:name="_Toc81755638"/>
      <w:r w:rsidRPr="007434DA">
        <w:t>Míra současného řešení problému jinými politikami</w:t>
      </w:r>
      <w:bookmarkEnd w:id="325"/>
      <w:bookmarkEnd w:id="326"/>
      <w:bookmarkEnd w:id="327"/>
      <w:bookmarkEnd w:id="328"/>
      <w:bookmarkEnd w:id="329"/>
      <w:bookmarkEnd w:id="330"/>
      <w:bookmarkEnd w:id="331"/>
    </w:p>
    <w:p w14:paraId="66EFAA18" w14:textId="77777777" w:rsidR="00CB2594" w:rsidRPr="007434DA" w:rsidRDefault="00CB2594" w:rsidP="00532DB7">
      <w:pPr>
        <w:pStyle w:val="UZEINormaln"/>
        <w:rPr>
          <w:b/>
          <w:bCs/>
        </w:rPr>
      </w:pPr>
      <w:r w:rsidRPr="007434DA">
        <w:rPr>
          <w:b/>
          <w:bCs/>
        </w:rPr>
        <w:t>Národní dotace – state aid</w:t>
      </w:r>
      <w:r w:rsidRPr="007434DA">
        <w:rPr>
          <w:rStyle w:val="Znakapoznpodarou"/>
          <w:rFonts w:ascii="Arial" w:hAnsi="Arial" w:cs="Arial"/>
          <w:b/>
          <w:bCs/>
          <w:sz w:val="20"/>
          <w:szCs w:val="20"/>
        </w:rPr>
        <w:footnoteReference w:id="75"/>
      </w:r>
    </w:p>
    <w:p w14:paraId="135D4A24" w14:textId="77777777" w:rsidR="00CB2594" w:rsidRPr="007434DA" w:rsidRDefault="00CB2594" w:rsidP="00532DB7">
      <w:pPr>
        <w:pStyle w:val="UZEINormaln"/>
      </w:pPr>
      <w:r w:rsidRPr="007434DA">
        <w:t xml:space="preserve">Problematika dobrých životních podmínek zvířat v konvenčních chovech hospodářských zvířat je řešena také dotačními tituly, které jsou podporovány z národních zdrojů. Podmínky těchto opatření jsou stanoveny na základě dokumentu „Zásady, kterými se stanovují podmínky pro poskytování dotací, na základě § 1, § 2, § 2d zákona č. 252/1997 Sb., o zemědělství“, konkrétně dotační programy 20. Zlepšení životních podmínek v chovu hospodářských zvířat. Těmito dotačními tituly je řešeno zlepšení životních podmínek dojnic, drůbeže a prasat nad rámec zákonných norem a doplňují svým zaměřením podpory DŽPZ uvedené v PRV 2014-2020. </w:t>
      </w:r>
    </w:p>
    <w:p w14:paraId="7CF1FE5F" w14:textId="77777777" w:rsidR="00CB2594" w:rsidRPr="007434DA" w:rsidRDefault="00CB2594" w:rsidP="00532DB7">
      <w:pPr>
        <w:pStyle w:val="UZEINormaln"/>
      </w:pPr>
      <w:r w:rsidRPr="007434DA">
        <w:t xml:space="preserve">V chovech dojnic je podpora cílena na tlumení výskytu onemocnění mastitid, na eliminaci onemocnění končetin a na zvýšení komfortu ve stáji během zimního a letního období při výskytu teplotních výkyvů. Cíle mají být dosaženy prostřednictvím naplňování pěti podopatření, které zahrnují napájení dojnic v zimním období temperovanou vodou, provádění faremní diagnostiky původců mastitid, snížení škodlivých patogenních mikroorganismů ve stájovém prostředí, ošetřování končetin dle individuálních potřeb dojnic a snižování tepelného stresu dojnic. </w:t>
      </w:r>
    </w:p>
    <w:p w14:paraId="6AB884A9" w14:textId="77777777" w:rsidR="00CB2594" w:rsidRPr="007434DA" w:rsidRDefault="00CB2594" w:rsidP="00532DB7">
      <w:pPr>
        <w:pStyle w:val="UZEINormaln"/>
      </w:pPr>
      <w:r w:rsidRPr="007434DA">
        <w:t xml:space="preserve">Na opatření welfare navazuje systém kvality mléka QCZ (podpora z národních dotací), který stanovuje přísnější kritéria kvality mléka pro dodavatele (chovatel) zpracovateli, který je do tohoto systému zapojen. Dosud však není systém finalizován až ke spotřebiteli, neboť takto vyrobené mléčné výrobky nejsou speciálně značeny, tak aby je mohl spotřebitel v tržní síti identifikovat. </w:t>
      </w:r>
    </w:p>
    <w:p w14:paraId="43C634DD" w14:textId="77777777" w:rsidR="00CB2594" w:rsidRPr="007434DA" w:rsidRDefault="00CB2594" w:rsidP="00532DB7">
      <w:pPr>
        <w:pStyle w:val="UZEINormaln"/>
      </w:pPr>
      <w:r w:rsidRPr="007434DA">
        <w:t xml:space="preserve">Opatření zlepšení DŽPZ v rámci state aid v chovech drůbeže jsou realizovány celkem čtyři a zaměřují se na podporu šetrného zacházení s drůbeží, na zlepšení podmínek ustájení a stájového mikroklimatu drůbeže. </w:t>
      </w:r>
    </w:p>
    <w:p w14:paraId="25E6EA96" w14:textId="77777777" w:rsidR="00CB2594" w:rsidRPr="007434DA" w:rsidRDefault="00CB2594" w:rsidP="00532DB7">
      <w:pPr>
        <w:pStyle w:val="UZEINormaln"/>
      </w:pPr>
      <w:r w:rsidRPr="007434DA">
        <w:t xml:space="preserve">Celkem sedm podopatření zaměřených na zlepšení životních podmínek v chovech prasat je zacíleno na snižování tepelného stresu prasat v letním období, zlepšování stájového mikroklimatu, životního prostředí a světelného režimu prasat, dále na podporu šetrných metod kastrace, zvětšení nezaroštované plochy kotců pro ustájení prasat a zvýšenou péči o prasnice a selata na porodnách. </w:t>
      </w:r>
    </w:p>
    <w:p w14:paraId="26C25057" w14:textId="70F81E7D" w:rsidR="00CB2594" w:rsidRDefault="00CB2594" w:rsidP="00532DB7">
      <w:pPr>
        <w:pStyle w:val="UZEINormaln"/>
      </w:pPr>
      <w:r w:rsidRPr="007434DA">
        <w:t>Dále jsou v rámci národních podpor – Nákazový fond</w:t>
      </w:r>
      <w:r w:rsidRPr="007434DA">
        <w:rPr>
          <w:rStyle w:val="Znakapoznpodarou"/>
          <w:rFonts w:ascii="Arial" w:hAnsi="Arial" w:cs="Arial"/>
          <w:sz w:val="20"/>
          <w:szCs w:val="20"/>
        </w:rPr>
        <w:footnoteReference w:id="76"/>
      </w:r>
      <w:r w:rsidRPr="007434DA">
        <w:t xml:space="preserve">, podporovány činnosti zaměřené na ozdravení chovů prasat a drůbeže. Opatření jsou zaměřena proti rozšiřování chorob prasat souvisejících s plněním Ozdravovacího programu schváleného příslušnou KVS SVS a proti rozšiřování nákaz drůbeže (salmonel, aviární influenzy, campylobaktery). </w:t>
      </w:r>
    </w:p>
    <w:p w14:paraId="79B6941F" w14:textId="77777777" w:rsidR="008E36A5" w:rsidRPr="007434DA" w:rsidRDefault="008E36A5" w:rsidP="00532DB7">
      <w:pPr>
        <w:pStyle w:val="UZEINormaln"/>
      </w:pPr>
    </w:p>
    <w:p w14:paraId="0790D6E7" w14:textId="77777777" w:rsidR="00CB2594" w:rsidRPr="007434DA" w:rsidRDefault="00CB2594" w:rsidP="00CB2594">
      <w:pPr>
        <w:rPr>
          <w:rFonts w:ascii="Arial" w:hAnsi="Arial" w:cs="Arial"/>
          <w:sz w:val="20"/>
          <w:szCs w:val="20"/>
          <w:lang w:val="cs-CZ"/>
        </w:rPr>
      </w:pPr>
      <w:r w:rsidRPr="007434DA">
        <w:rPr>
          <w:rFonts w:ascii="Arial" w:hAnsi="Arial" w:cs="Arial"/>
          <w:sz w:val="20"/>
          <w:szCs w:val="20"/>
          <w:lang w:val="cs-CZ"/>
        </w:rPr>
        <w:br w:type="page"/>
      </w:r>
    </w:p>
    <w:p w14:paraId="5A90FF5C" w14:textId="77777777" w:rsidR="00CB2594" w:rsidRPr="007434DA" w:rsidRDefault="00CB2594" w:rsidP="00532DB7">
      <w:pPr>
        <w:pStyle w:val="Nadpis1"/>
      </w:pPr>
      <w:bookmarkStart w:id="332" w:name="_Toc519497851"/>
      <w:bookmarkStart w:id="333" w:name="_Toc520197041"/>
      <w:bookmarkStart w:id="334" w:name="_Toc533068233"/>
      <w:bookmarkStart w:id="335" w:name="_Toc12613452"/>
      <w:bookmarkStart w:id="336" w:name="_Toc80877904"/>
      <w:bookmarkStart w:id="337" w:name="_Toc81755639"/>
      <w:r w:rsidRPr="007434DA">
        <w:t>Detailnější posouzení Vlivu předpisů</w:t>
      </w:r>
      <w:bookmarkEnd w:id="332"/>
      <w:bookmarkEnd w:id="333"/>
      <w:bookmarkEnd w:id="334"/>
      <w:bookmarkEnd w:id="335"/>
      <w:bookmarkEnd w:id="336"/>
      <w:bookmarkEnd w:id="337"/>
    </w:p>
    <w:p w14:paraId="07A1430B" w14:textId="77777777" w:rsidR="00CB2594" w:rsidRPr="007434DA" w:rsidRDefault="00CB2594" w:rsidP="00532DB7">
      <w:pPr>
        <w:pStyle w:val="UZEINormaln"/>
        <w:rPr>
          <w:b/>
          <w:bCs/>
        </w:rPr>
      </w:pPr>
      <w:r w:rsidRPr="007434DA">
        <w:rPr>
          <w:b/>
          <w:bCs/>
        </w:rPr>
        <w:t>PRV 2014-2020</w:t>
      </w:r>
    </w:p>
    <w:p w14:paraId="5095AF92" w14:textId="5B701175" w:rsidR="00CB2594" w:rsidRPr="007434DA" w:rsidRDefault="00CB2594" w:rsidP="00532DB7">
      <w:pPr>
        <w:pStyle w:val="UZEINormaln"/>
      </w:pPr>
      <w:r w:rsidRPr="007434DA">
        <w:t xml:space="preserve">Počet žadatelů přihlášených do podopatření v rámci PRV zaměřených na dobré životní podmínky zvířat v chovech dojeného skotu v průběhu let 2015 – </w:t>
      </w:r>
      <w:r w:rsidR="00573A02" w:rsidRPr="007434DA">
        <w:t>20</w:t>
      </w:r>
      <w:r w:rsidR="00573A02">
        <w:t>20</w:t>
      </w:r>
      <w:r w:rsidR="00573A02" w:rsidRPr="007434DA">
        <w:t xml:space="preserve"> </w:t>
      </w:r>
      <w:r w:rsidRPr="007434DA">
        <w:t xml:space="preserve">je </w:t>
      </w:r>
      <w:r w:rsidRPr="00FF7D73">
        <w:t xml:space="preserve">uveden v grafu </w:t>
      </w:r>
      <w:r w:rsidR="00FF7D73" w:rsidRPr="00FF7D73">
        <w:t>1</w:t>
      </w:r>
      <w:r w:rsidR="000F5D6E">
        <w:t>8</w:t>
      </w:r>
      <w:r w:rsidRPr="00FF7D73">
        <w:t>.</w:t>
      </w:r>
    </w:p>
    <w:p w14:paraId="197D652F" w14:textId="755A9B54" w:rsidR="00CB2594" w:rsidRPr="007434DA" w:rsidRDefault="00CB2594" w:rsidP="00532DB7">
      <w:pPr>
        <w:pStyle w:val="UZEIGraf"/>
        <w:ind w:hanging="720"/>
      </w:pPr>
      <w:bookmarkStart w:id="338" w:name="_Toc12466366"/>
      <w:bookmarkStart w:id="339" w:name="_Toc12611787"/>
      <w:bookmarkStart w:id="340" w:name="_Toc12613453"/>
      <w:bookmarkStart w:id="341" w:name="_Toc80877905"/>
      <w:bookmarkStart w:id="342" w:name="_Toc93676676"/>
      <w:r w:rsidRPr="007434DA">
        <w:t>Počet žadatelů – podopatření dojnice (2015 – 20</w:t>
      </w:r>
      <w:r w:rsidR="00114609">
        <w:t>20</w:t>
      </w:r>
      <w:r w:rsidRPr="007434DA">
        <w:t>)</w:t>
      </w:r>
      <w:bookmarkEnd w:id="338"/>
      <w:bookmarkEnd w:id="339"/>
      <w:bookmarkEnd w:id="340"/>
      <w:bookmarkEnd w:id="341"/>
      <w:bookmarkEnd w:id="342"/>
      <w:r w:rsidRPr="007434DA" w:rsidDel="008728E0">
        <w:t xml:space="preserve"> </w:t>
      </w:r>
    </w:p>
    <w:p w14:paraId="46A9B8D6" w14:textId="7C95FF23" w:rsidR="00343198" w:rsidRDefault="00114609" w:rsidP="00CB2594">
      <w:pPr>
        <w:spacing w:line="240" w:lineRule="atLeast"/>
        <w:rPr>
          <w:rFonts w:ascii="Arial" w:hAnsi="Arial" w:cs="Arial"/>
          <w:i/>
          <w:sz w:val="18"/>
          <w:szCs w:val="18"/>
          <w:lang w:val="cs-CZ"/>
        </w:rPr>
      </w:pPr>
      <w:r>
        <w:rPr>
          <w:noProof/>
          <w:lang w:val="cs-CZ" w:eastAsia="cs-CZ"/>
        </w:rPr>
        <w:drawing>
          <wp:inline distT="0" distB="0" distL="0" distR="0" wp14:anchorId="061931CA" wp14:editId="615961E3">
            <wp:extent cx="5760085" cy="3147060"/>
            <wp:effectExtent l="0" t="0" r="12065" b="15240"/>
            <wp:docPr id="4" name="Graf 4">
              <a:extLst xmlns:a="http://schemas.openxmlformats.org/drawingml/2006/main">
                <a:ext uri="{FF2B5EF4-FFF2-40B4-BE49-F238E27FC236}">
                  <a16:creationId xmlns:a16="http://schemas.microsoft.com/office/drawing/2014/main" id="{1A1D57AA-1BF3-48AE-9DD9-5320069D212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7A9F7A30" w14:textId="503CC6F6" w:rsidR="00CB2594" w:rsidRPr="007434DA" w:rsidRDefault="00CB2594" w:rsidP="00343198">
      <w:pPr>
        <w:pStyle w:val="UZEIZdroj"/>
      </w:pPr>
      <w:r w:rsidRPr="007434DA">
        <w:t>Pramen: ÚZEI podle údajů SZIF</w:t>
      </w:r>
    </w:p>
    <w:p w14:paraId="531F7388" w14:textId="6AD84655" w:rsidR="00CB2594" w:rsidRPr="007434DA" w:rsidRDefault="00CB2594" w:rsidP="00343198">
      <w:pPr>
        <w:pStyle w:val="UZEINormaln"/>
      </w:pPr>
      <w:r w:rsidRPr="007434DA">
        <w:t>Největší zájem chovatelů byl o podopatření zaměřené na zlepšení stájového prostředí, kde bylo zapojeno více než 40 % dodavatelů mléka zpracovatelům. Nižší zájem byl o účast v ostatních podopatřeních, a to zvětšení lehacího prostoru (27 %) a zajištění přístupu do výběhu (22 %). Počet VDJ dojnic, které byly v letech 2015–20</w:t>
      </w:r>
      <w:r w:rsidR="00114609">
        <w:t>20</w:t>
      </w:r>
      <w:r w:rsidRPr="007434DA">
        <w:t xml:space="preserve"> zařazeny do zmíněných podopatření je znázorněn v grafu </w:t>
      </w:r>
      <w:r w:rsidR="00114609">
        <w:t>1</w:t>
      </w:r>
      <w:r w:rsidR="000F5D6E">
        <w:t>9</w:t>
      </w:r>
      <w:r w:rsidRPr="007434DA">
        <w:t>. Počty VDJ přihlášených v podopatření zvětšení lehacího prostoru a zlepšení stájového prostředí v průběhu sledovaného období narůstaly do roku 2017, následoval mírný pokles a stagnace v letech 2018 a 2019.</w:t>
      </w:r>
      <w:r w:rsidR="00F54CFF">
        <w:t xml:space="preserve"> V roce 2020 došlo u obou opatření k opětovnému navýšení počtu přihlášených VDJ, a to na 199,4 tis. VDJ v případě opatření „zvětšení lehacího prostoru“ a 277 tis. VDJ u opatření „zlepšení stájového prostředí“. </w:t>
      </w:r>
      <w:r w:rsidRPr="007434DA">
        <w:t xml:space="preserve"> Podíl dojnic zařazených do podopatření zlepšení stájového prostředí v roce 20</w:t>
      </w:r>
      <w:r w:rsidR="00F54CFF">
        <w:t>20</w:t>
      </w:r>
      <w:r w:rsidRPr="007434DA">
        <w:t xml:space="preserve"> dosáhl více než 7</w:t>
      </w:r>
      <w:r w:rsidR="00F54CFF">
        <w:t>7</w:t>
      </w:r>
      <w:r w:rsidRPr="007434DA">
        <w:t xml:space="preserve"> %, u zvětšení lehacího prostoru to bylo </w:t>
      </w:r>
      <w:r w:rsidR="00206909">
        <w:t>více než</w:t>
      </w:r>
      <w:r w:rsidRPr="007434DA">
        <w:t xml:space="preserve"> 5</w:t>
      </w:r>
      <w:r w:rsidR="00206909">
        <w:t>5</w:t>
      </w:r>
      <w:r w:rsidRPr="007434DA">
        <w:t> % Vysoká míra zapojení je dána podmínkami podpor, které většina podniků „snadno“ naplnila.</w:t>
      </w:r>
    </w:p>
    <w:p w14:paraId="789FF80D" w14:textId="77777777" w:rsidR="00CB2594" w:rsidRPr="007434DA" w:rsidRDefault="00CB2594" w:rsidP="00343198">
      <w:pPr>
        <w:pStyle w:val="UZEINormaln"/>
      </w:pPr>
    </w:p>
    <w:p w14:paraId="2BFC0E26" w14:textId="77777777" w:rsidR="00CB2594" w:rsidRPr="007434DA" w:rsidRDefault="00CB2594" w:rsidP="00CB2594">
      <w:pPr>
        <w:rPr>
          <w:rFonts w:ascii="Arial" w:hAnsi="Arial" w:cs="Arial"/>
          <w:b/>
          <w:sz w:val="20"/>
          <w:szCs w:val="20"/>
          <w:lang w:val="cs-CZ"/>
        </w:rPr>
      </w:pPr>
      <w:r w:rsidRPr="007434DA">
        <w:rPr>
          <w:rFonts w:ascii="Arial" w:hAnsi="Arial" w:cs="Arial"/>
          <w:b/>
          <w:sz w:val="20"/>
          <w:szCs w:val="20"/>
          <w:lang w:val="cs-CZ"/>
        </w:rPr>
        <w:br w:type="page"/>
      </w:r>
    </w:p>
    <w:p w14:paraId="7FB7925B" w14:textId="060F2CBC" w:rsidR="00CB2594" w:rsidRPr="007434DA" w:rsidRDefault="00CB2594" w:rsidP="00343198">
      <w:pPr>
        <w:pStyle w:val="UZEIGraf"/>
        <w:ind w:hanging="720"/>
        <w:rPr>
          <w:bCs/>
        </w:rPr>
      </w:pPr>
      <w:bookmarkStart w:id="343" w:name="_Toc12466367"/>
      <w:bookmarkStart w:id="344" w:name="_Toc12611788"/>
      <w:bookmarkStart w:id="345" w:name="_Toc12613454"/>
      <w:bookmarkStart w:id="346" w:name="_Toc80877906"/>
      <w:bookmarkStart w:id="347" w:name="_Toc93676677"/>
      <w:r w:rsidRPr="007434DA">
        <w:t>Počet VDJ dojnic přihlášených do podopatření (2015-20</w:t>
      </w:r>
      <w:r w:rsidR="00206909">
        <w:t>20</w:t>
      </w:r>
      <w:r w:rsidRPr="007434DA">
        <w:t>)</w:t>
      </w:r>
      <w:bookmarkEnd w:id="343"/>
      <w:bookmarkEnd w:id="344"/>
      <w:bookmarkEnd w:id="345"/>
      <w:bookmarkEnd w:id="346"/>
      <w:bookmarkEnd w:id="347"/>
    </w:p>
    <w:p w14:paraId="4076A2FF" w14:textId="7D800826" w:rsidR="00CB2594" w:rsidRPr="007434DA" w:rsidRDefault="00206909" w:rsidP="00CB2594">
      <w:pPr>
        <w:rPr>
          <w:lang w:val="cs-CZ"/>
        </w:rPr>
      </w:pPr>
      <w:r>
        <w:rPr>
          <w:noProof/>
          <w:lang w:val="cs-CZ" w:eastAsia="cs-CZ"/>
        </w:rPr>
        <w:drawing>
          <wp:inline distT="0" distB="0" distL="0" distR="0" wp14:anchorId="14C85EE9" wp14:editId="223BE91B">
            <wp:extent cx="5689600" cy="2853267"/>
            <wp:effectExtent l="0" t="0" r="6350" b="4445"/>
            <wp:docPr id="13" name="Graf 13">
              <a:extLst xmlns:a="http://schemas.openxmlformats.org/drawingml/2006/main">
                <a:ext uri="{FF2B5EF4-FFF2-40B4-BE49-F238E27FC236}">
                  <a16:creationId xmlns:a16="http://schemas.microsoft.com/office/drawing/2014/main" id="{8C59CBFE-BBF6-4BF4-A452-0CA502A5AD3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75A625AB" w14:textId="4FEDF9CC" w:rsidR="00206909" w:rsidRDefault="00206909" w:rsidP="00343198">
      <w:pPr>
        <w:pStyle w:val="UZEIZdroj"/>
      </w:pPr>
      <w:r>
        <w:t>Pozn.: Údaje týkající se počtu VDJ zařazených v podopatření „přístup do výběhu pro krávy stojící na sucho“ nejsou v grafu uvedeny, protože v průběhu sledovaného období došlo na SZIF k úpravě metodiky sběru dat</w:t>
      </w:r>
    </w:p>
    <w:p w14:paraId="21412234" w14:textId="0275A0CA" w:rsidR="00CB2594" w:rsidRPr="007434DA" w:rsidRDefault="00CB2594" w:rsidP="00343198">
      <w:pPr>
        <w:pStyle w:val="UZEIZdroj"/>
      </w:pPr>
      <w:r w:rsidRPr="007434DA">
        <w:t>Pramen: ÚZEI podle údajů SZIF</w:t>
      </w:r>
    </w:p>
    <w:p w14:paraId="0D531641" w14:textId="1C49C16D" w:rsidR="00CB2594" w:rsidRPr="007434DA" w:rsidRDefault="00CB2594" w:rsidP="00343198">
      <w:pPr>
        <w:pStyle w:val="UZEINormaln"/>
      </w:pPr>
      <w:r w:rsidRPr="007434DA">
        <w:t xml:space="preserve">Počet žadatelů vstupujících do podopatření zaměřených na zlepšení životních podmínek zvířat v chovech prasat v průběhu let mírně kolísal (viz graf </w:t>
      </w:r>
      <w:r w:rsidR="000F5D6E">
        <w:t>20</w:t>
      </w:r>
      <w:r w:rsidRPr="007434DA">
        <w:t>). Největší zájem projevili chovatelé prasat o podopatření „Zlepšení životních podmínek v chovu prasat“ – pro prasnice, ke kterému se v průběhu sledovaného období přihlásilo průměrně 17</w:t>
      </w:r>
      <w:r w:rsidR="00E96AEF">
        <w:t>7</w:t>
      </w:r>
      <w:r w:rsidRPr="007434DA">
        <w:t xml:space="preserve"> žadatelů, přičemž nejvíce (194) to bylo v prvním roce závazku. Nejnižší zájem měli chovatelé o podopatření „Zvětšení plochy pro odstavená selata“, v průměru se k němu připojilo 108 žadatelů.</w:t>
      </w:r>
    </w:p>
    <w:p w14:paraId="47897096" w14:textId="548E2AFB" w:rsidR="00CB2594" w:rsidRPr="007434DA" w:rsidRDefault="00CB2594" w:rsidP="00CA180E">
      <w:pPr>
        <w:pStyle w:val="UZEIGraf"/>
        <w:ind w:hanging="720"/>
      </w:pPr>
      <w:bookmarkStart w:id="348" w:name="_Toc12466368"/>
      <w:bookmarkStart w:id="349" w:name="_Toc12611789"/>
      <w:bookmarkStart w:id="350" w:name="_Toc12613455"/>
      <w:bookmarkStart w:id="351" w:name="_Toc80877907"/>
      <w:bookmarkStart w:id="352" w:name="_Toc93676678"/>
      <w:r w:rsidRPr="007434DA">
        <w:t>Počet žadatelů – podopatření prasata (2015 – 20</w:t>
      </w:r>
      <w:r w:rsidR="00E96AEF">
        <w:t>20</w:t>
      </w:r>
      <w:r w:rsidRPr="007434DA">
        <w:t>)</w:t>
      </w:r>
      <w:bookmarkEnd w:id="348"/>
      <w:bookmarkEnd w:id="349"/>
      <w:bookmarkEnd w:id="350"/>
      <w:bookmarkEnd w:id="351"/>
      <w:bookmarkEnd w:id="352"/>
    </w:p>
    <w:p w14:paraId="6A6A06BE" w14:textId="6ECAFF7E" w:rsidR="00CB2594" w:rsidRPr="007434DA" w:rsidRDefault="00E96AEF" w:rsidP="00CA180E">
      <w:pPr>
        <w:pStyle w:val="UZEIZdroj"/>
      </w:pPr>
      <w:r>
        <w:rPr>
          <w:noProof/>
          <w:lang w:eastAsia="cs-CZ"/>
        </w:rPr>
        <w:drawing>
          <wp:inline distT="0" distB="0" distL="0" distR="0" wp14:anchorId="3CEF22E9" wp14:editId="6F6A700C">
            <wp:extent cx="5748866" cy="2963333"/>
            <wp:effectExtent l="0" t="0" r="4445" b="8890"/>
            <wp:docPr id="17" name="Graf 17">
              <a:extLst xmlns:a="http://schemas.openxmlformats.org/drawingml/2006/main">
                <a:ext uri="{FF2B5EF4-FFF2-40B4-BE49-F238E27FC236}">
                  <a16:creationId xmlns:a16="http://schemas.microsoft.com/office/drawing/2014/main" id="{03188576-D9B4-4CC2-8222-ED7C80A5431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r w:rsidR="00CB2594" w:rsidRPr="007434DA">
        <w:t>Pramen: ÚZEI podle údajů SZIF</w:t>
      </w:r>
    </w:p>
    <w:p w14:paraId="6E2DF4B9" w14:textId="5AA7F8C9" w:rsidR="00CB2594" w:rsidRPr="007434DA" w:rsidRDefault="00CB2594" w:rsidP="00CA180E">
      <w:pPr>
        <w:pStyle w:val="UZEIGraf"/>
        <w:ind w:hanging="720"/>
      </w:pPr>
      <w:r w:rsidRPr="007434DA">
        <w:rPr>
          <w:rFonts w:eastAsia="Arial"/>
        </w:rPr>
        <w:t>Počet VDJ prasat, se kterými chovatelé vstoupili do závazku v letech 2015 až 20</w:t>
      </w:r>
      <w:r w:rsidR="00E96AEF">
        <w:rPr>
          <w:rFonts w:eastAsia="Arial"/>
        </w:rPr>
        <w:t>20</w:t>
      </w:r>
      <w:r w:rsidRPr="007434DA">
        <w:rPr>
          <w:rFonts w:eastAsia="Arial"/>
        </w:rPr>
        <w:t xml:space="preserve"> je znázorněn v grafu </w:t>
      </w:r>
      <w:r w:rsidR="00E96AEF">
        <w:rPr>
          <w:rFonts w:eastAsia="Arial"/>
        </w:rPr>
        <w:t>20</w:t>
      </w:r>
      <w:r w:rsidRPr="007434DA">
        <w:rPr>
          <w:rFonts w:eastAsia="Arial"/>
        </w:rPr>
        <w:t>. U všech tří dotačních titulů je patrný výrazný nárůst přihlášených VDJ v roce 2017 a následný pokles v dalších letech. Díky tomuto poklesu byl, v roce 2018, v titulu Zlepšení životních podmínek v chovu prasat – prasnice přihlášen nejnižší počet VDJ za celé sledované období a ve srovnání s prvním rokem závazku došlo k poklesu přihlášených VDJ o necelá 3 %. Nejvyšší počet selat odchovaných od prasnic z chovů zapojených v tomto podopatření (tj. 2 500 537 ks) byl zaznamenán v roce 2017. Vzhledem ke zvyšujícímu se počtu odchovaných selat na prasnici a rok bylo i přes výrazný pokles VDJ prasnic zapojených v dotačním titulu v 2019, od těchto prasnic odchováno   2 188 997 ks selat</w:t>
      </w:r>
      <w:r w:rsidR="001431C1">
        <w:rPr>
          <w:rFonts w:eastAsia="Arial"/>
        </w:rPr>
        <w:t>.</w:t>
      </w:r>
      <w:r w:rsidR="00573A02">
        <w:rPr>
          <w:rFonts w:eastAsia="Arial"/>
        </w:rPr>
        <w:t xml:space="preserve"> </w:t>
      </w:r>
      <w:bookmarkStart w:id="353" w:name="_Toc12466369"/>
      <w:bookmarkStart w:id="354" w:name="_Toc12611790"/>
      <w:bookmarkStart w:id="355" w:name="_Toc12613456"/>
      <w:bookmarkStart w:id="356" w:name="_Toc80877908"/>
      <w:bookmarkStart w:id="357" w:name="_Toc93676679"/>
      <w:r w:rsidRPr="007434DA">
        <w:t>Počet VDJ prasat zařazených v opatření (2015 - 20</w:t>
      </w:r>
      <w:r w:rsidR="00E96AEF">
        <w:t>20</w:t>
      </w:r>
      <w:r w:rsidRPr="007434DA">
        <w:t>)</w:t>
      </w:r>
      <w:bookmarkEnd w:id="353"/>
      <w:bookmarkEnd w:id="354"/>
      <w:bookmarkEnd w:id="355"/>
      <w:bookmarkEnd w:id="356"/>
      <w:bookmarkEnd w:id="357"/>
    </w:p>
    <w:p w14:paraId="6ED88A5A" w14:textId="608A42B6" w:rsidR="001431C1" w:rsidRDefault="001431C1" w:rsidP="00CA180E">
      <w:pPr>
        <w:pStyle w:val="UZEIZdroj"/>
      </w:pPr>
      <w:r>
        <w:rPr>
          <w:noProof/>
          <w:lang w:eastAsia="cs-CZ"/>
        </w:rPr>
        <w:drawing>
          <wp:inline distT="0" distB="0" distL="0" distR="0" wp14:anchorId="3858BD24" wp14:editId="2CADCA70">
            <wp:extent cx="5757333" cy="3200400"/>
            <wp:effectExtent l="0" t="0" r="15240" b="0"/>
            <wp:docPr id="26" name="Graf 26">
              <a:extLst xmlns:a="http://schemas.openxmlformats.org/drawingml/2006/main">
                <a:ext uri="{FF2B5EF4-FFF2-40B4-BE49-F238E27FC236}">
                  <a16:creationId xmlns:a16="http://schemas.microsoft.com/office/drawing/2014/main" id="{988B85D2-328B-44D0-8D25-08B1542D8FD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7E5FF065" w14:textId="155B6904" w:rsidR="00CB2594" w:rsidRPr="007434DA" w:rsidRDefault="00CB2594" w:rsidP="00CA180E">
      <w:pPr>
        <w:pStyle w:val="UZEIZdroj"/>
      </w:pPr>
      <w:r w:rsidRPr="007434DA">
        <w:t>Pramen: ÚZEI podle údajů SZIF</w:t>
      </w:r>
    </w:p>
    <w:p w14:paraId="3D813DC0" w14:textId="4AFEFD43" w:rsidR="00CB2594" w:rsidRPr="007434DA" w:rsidRDefault="00CB2594" w:rsidP="00CA180E">
      <w:pPr>
        <w:pStyle w:val="UZEINormaln"/>
        <w:rPr>
          <w:b/>
          <w:bCs/>
        </w:rPr>
      </w:pPr>
      <w:r w:rsidRPr="007434DA">
        <w:rPr>
          <w:b/>
          <w:bCs/>
        </w:rPr>
        <w:t xml:space="preserve">Ekologické zemědělství </w:t>
      </w:r>
    </w:p>
    <w:p w14:paraId="222ACDC3" w14:textId="77777777" w:rsidR="00CB2594" w:rsidRPr="007434DA" w:rsidRDefault="00CB2594" w:rsidP="00CA180E">
      <w:pPr>
        <w:pStyle w:val="UZEINormaln"/>
      </w:pPr>
      <w:r w:rsidRPr="007434DA">
        <w:t xml:space="preserve">Nejvyššího podílu chovaných zvířat v rámci EZ dosahovaly krávy bez tržní produkce mléka. V průměru bylo do systému ekologického zemědělství zařazeno téměř 51 % těchto zvířat s tím, že nejvyšší hodnoty (55,5 %) bylo dosaženo v roce 2014. Naopak velice nízký podíl zařazených zvířat je dlouhodobě patrný u kategorie dojnic. V průběhu celého sledovaného období byla v ekologickém režimu chována průměrně necelá 2 % dojnic z celkového stáda chovaného v ČR. </w:t>
      </w:r>
    </w:p>
    <w:p w14:paraId="5F24719A" w14:textId="77777777" w:rsidR="00CB2594" w:rsidRPr="007434DA" w:rsidRDefault="00CB2594" w:rsidP="00CA180E">
      <w:pPr>
        <w:pStyle w:val="UZEINormaln"/>
      </w:pPr>
      <w:r w:rsidRPr="007434DA">
        <w:t>Vysokým podílem jsou do EZ dlouhodobě zařazovány ovce, průměr za sledované období činí 42,1 %, a kozy s průměrným podílem zařazených zvířat 31,8 %. U kategorií prasat a drůbeže jsou podíly zvířat zařazených v EZ na celkových počtech zvířat chovaných v ČR spíše zanedbatelné. Podíl prasat v EZ se, ve sledovaných letech, pohyboval okolo 0,1 %. Chovné prasnice byly zastoupeny stejnou měrou, tj. průměrně 0,16 %. Výkrm prasat se pohyboval okolo hodnoty 0,3 % z celkového počtu výkrmových prasat v ČR. V rozmezí 0,1 - 0,2% podílu se pohybovala také drůbež, přičemž nosnice byly v EZ zařazovány v průměrném podílu 0,24 % z celkového počtu, brojleři pak v průměru 0,19 %.</w:t>
      </w:r>
    </w:p>
    <w:p w14:paraId="52D4BA9D" w14:textId="3AA1D799" w:rsidR="00650ED4" w:rsidRPr="007434DA" w:rsidRDefault="00CB2594" w:rsidP="00650ED4">
      <w:pPr>
        <w:pStyle w:val="UZEINormaln"/>
      </w:pPr>
      <w:r w:rsidRPr="007434DA">
        <w:t>Spotřebitelé mají o produkty z ekologického zemědělství stále vyšší zájem. Celková spotřeba biopotravin v ČR vzrostla mezi roky 2012 a 2018 z 1,78 mld. Kč v roce 2012 na 5,26 mld. Kč v roce 2019. Spotřeba na obyvatele v Kč vzrostla mezi roky 2012 a 2018 z původních 169 Kč na osobu a rok v roce 2012 na 492 Kč na osobu a rok v roce 2019.</w:t>
      </w:r>
    </w:p>
    <w:p w14:paraId="55F48EF2" w14:textId="77777777" w:rsidR="00DE46DC" w:rsidRDefault="00DE46DC">
      <w:pPr>
        <w:spacing w:after="160" w:line="259" w:lineRule="auto"/>
        <w:jc w:val="left"/>
        <w:rPr>
          <w:rFonts w:eastAsia="Times New Roman" w:cstheme="minorHAnsi"/>
          <w:b/>
          <w:bCs/>
          <w:szCs w:val="24"/>
          <w:lang w:val="cs-CZ" w:eastAsia="cs-CZ"/>
        </w:rPr>
      </w:pPr>
      <w:r w:rsidRPr="00FA3A37">
        <w:rPr>
          <w:b/>
          <w:bCs/>
          <w:lang w:val="cs-CZ"/>
        </w:rPr>
        <w:br w:type="page"/>
      </w:r>
    </w:p>
    <w:p w14:paraId="0BB0DF70" w14:textId="20938225" w:rsidR="00CB2594" w:rsidRPr="007434DA" w:rsidRDefault="00CB2594" w:rsidP="00650ED4">
      <w:pPr>
        <w:pStyle w:val="UZEINormaln"/>
        <w:rPr>
          <w:b/>
          <w:bCs/>
        </w:rPr>
      </w:pPr>
      <w:r w:rsidRPr="007434DA">
        <w:rPr>
          <w:b/>
          <w:bCs/>
        </w:rPr>
        <w:t>Kontroly podmíněnosti (Cross Compliance)</w:t>
      </w:r>
    </w:p>
    <w:p w14:paraId="1B789558" w14:textId="77777777" w:rsidR="00CB2594" w:rsidRPr="007434DA" w:rsidRDefault="00CB2594" w:rsidP="00650ED4">
      <w:pPr>
        <w:pStyle w:val="UZEINormaln"/>
      </w:pPr>
      <w:r w:rsidRPr="007434DA">
        <w:t>Kontroly podmíněnosti v oblasti „Dobré životní podmínky zvířat“ jsou plánovány a prováděny Státní veterinární správou u subjektů s chovem hospodářských zvířat, které jsou žadateli o dotace. Kontroly jsou plánovány na základě centrálně provedené analýzy rizika. Pro jednotlivé oblasti se stanoví specifická kritéria míry rizika, která zohledňují zejména počet a druhy chovaných hospodářských zvířat, zjištěné nedostatky při kontrolách pohody zvířat v předchozích letech, výsledky prohlídky na jatkách, počet zvířat přemístěných do asanačního podniku a na jatka a další. Mimo plánovaných kontrol podmíněnosti jsou prováděny také mimořádné kontroly podmíněnosti, které vycházejí ze zjištěného porušení v rámci tzv. národních kontrol péče o pohodu zvířat. V případě, že jsou během mimořádné kontroly zjištěné nedostatky, které není možné odstranit v průběhu kontroly, je chovateli uložen závazný pokyn se stanoveným termínem k odstranění těchto nedostatků. Splnění závazného pokynu je kontrolováno během následné kontroly podmíněnosti.</w:t>
      </w:r>
    </w:p>
    <w:p w14:paraId="7C0619A5" w14:textId="77777777" w:rsidR="00CB2594" w:rsidRPr="007434DA" w:rsidRDefault="00CB2594" w:rsidP="00650ED4">
      <w:pPr>
        <w:pStyle w:val="UZEINormaln"/>
      </w:pPr>
      <w:r w:rsidRPr="007434DA">
        <w:t>Kontroly se týkají následujících oblastí:</w:t>
      </w:r>
    </w:p>
    <w:p w14:paraId="1112D67D" w14:textId="6A9315C3" w:rsidR="00CB2594" w:rsidRPr="007434DA" w:rsidRDefault="00CB2594" w:rsidP="00650ED4">
      <w:pPr>
        <w:pStyle w:val="UZEIOdrky"/>
      </w:pPr>
      <w:r w:rsidRPr="007434DA">
        <w:t>PPH 11 - kontrolní požadavky vycházející ze směrnice EP a R 2008/119/ES, kterou se stanoví minimální požadavky pro ochranu telat (dále jen ochrana telat)</w:t>
      </w:r>
      <w:r w:rsidR="00AA6A3B" w:rsidRPr="007434DA">
        <w:t>,</w:t>
      </w:r>
    </w:p>
    <w:p w14:paraId="1ABB4384" w14:textId="12551369" w:rsidR="00CB2594" w:rsidRPr="007434DA" w:rsidRDefault="00CB2594" w:rsidP="00650ED4">
      <w:pPr>
        <w:pStyle w:val="UZEIOdrky"/>
      </w:pPr>
      <w:r w:rsidRPr="007434DA">
        <w:t>PPH 12 - kontrolní požadavky vycházející ze směrnice EP a R 2008/120/ES, kterou se stanoví minimální požadavky pro ochranu prasat (dále jen ochrana prasat),</w:t>
      </w:r>
    </w:p>
    <w:p w14:paraId="065C4D17" w14:textId="31A4C703" w:rsidR="00CB2594" w:rsidRPr="007434DA" w:rsidRDefault="00CB2594" w:rsidP="004715B0">
      <w:pPr>
        <w:pStyle w:val="UZEIOdrky"/>
      </w:pPr>
      <w:r w:rsidRPr="007434DA">
        <w:t>PPH 13 - kontrolní požadavky vycházející ze směrnice EP a R 98/58/ES, o ochraně zvířat chovaných pro hospodářské účely (dále jen ochrana hospodářských zvířat)</w:t>
      </w:r>
      <w:r w:rsidR="00AA6A3B" w:rsidRPr="007434DA">
        <w:t>.</w:t>
      </w:r>
    </w:p>
    <w:p w14:paraId="69D15A75" w14:textId="064653FB" w:rsidR="00CB2594" w:rsidRPr="007434DA" w:rsidRDefault="00CB2594" w:rsidP="004715B0">
      <w:pPr>
        <w:pStyle w:val="UZEINormaln"/>
      </w:pPr>
      <w:r w:rsidRPr="007434DA">
        <w:t xml:space="preserve">Počty plánovaných a provedených kontrol v letech 2015–2020 jsou </w:t>
      </w:r>
      <w:r w:rsidRPr="00620F7E">
        <w:t xml:space="preserve">uvedeny v tabulce </w:t>
      </w:r>
      <w:r w:rsidR="00620F7E" w:rsidRPr="00620F7E">
        <w:t>2</w:t>
      </w:r>
      <w:r w:rsidRPr="00620F7E">
        <w:t xml:space="preserve">2. </w:t>
      </w:r>
      <w:r w:rsidRPr="007434DA">
        <w:t>Celkem SVS za uvedené období naplánovala a provedla pro oblast dobrých životních podmínek zvířat 1 656 kontrol podmíněnosti, z toho bylo 19,2 % pro oblast ochrany telat, 17,0 % pro oblast ochrany prasat a 63,8 % pro oblast ochrany hospodářských zvířat. Z celkového počtu provedených kontrol bylo v letech 2015</w:t>
      </w:r>
      <w:r w:rsidRPr="007434DA">
        <w:noBreakHyphen/>
        <w:t>2020 zjištěno porušení 28 porušení, tj. v 1,7 %, a to v rozmezí od 0,7 % v roce 2018 až po 3,1 % v roce 2016. Nejčastěji bylo zaznamenáno porušení v oblasti PPH 13 a PPH 12. K nejčastěji se vyskytujícím nedostatkům za uvedené období patřil nevhodný materiál k ustájení zvířat, přítomnost ostrých předmětů, které mohou zvířatům způsobit poranění, nezajištění přístupu prasatům k napájecí vodě a omezení volného pohybu zvířat.</w:t>
      </w:r>
    </w:p>
    <w:p w14:paraId="1F8824E8" w14:textId="5F7095B6" w:rsidR="00CB2594" w:rsidRPr="007434DA" w:rsidRDefault="00CB2594" w:rsidP="00620F7E">
      <w:pPr>
        <w:pStyle w:val="UZEITaB"/>
        <w:ind w:left="1134" w:hanging="1134"/>
      </w:pPr>
      <w:bookmarkStart w:id="358" w:name="_Toc80877909"/>
      <w:bookmarkStart w:id="359" w:name="_Toc94095294"/>
      <w:r w:rsidRPr="007434DA">
        <w:t>Plánované a provedené kontroly podmíněnosti pro DŽPZ za roky 2015-2020</w:t>
      </w:r>
      <w:bookmarkEnd w:id="358"/>
      <w:bookmarkEnd w:id="359"/>
      <w:r w:rsidRPr="007434DA">
        <w:t xml:space="preserve"> </w:t>
      </w:r>
    </w:p>
    <w:tbl>
      <w:tblPr>
        <w:tblStyle w:val="Mkatabulky"/>
        <w:tblW w:w="9057" w:type="dxa"/>
        <w:tblLayout w:type="fixed"/>
        <w:tblLook w:val="04A0" w:firstRow="1" w:lastRow="0" w:firstColumn="1" w:lastColumn="0" w:noHBand="0" w:noVBand="1"/>
      </w:tblPr>
      <w:tblGrid>
        <w:gridCol w:w="1545"/>
        <w:gridCol w:w="1252"/>
        <w:gridCol w:w="1252"/>
        <w:gridCol w:w="1252"/>
        <w:gridCol w:w="1252"/>
        <w:gridCol w:w="1252"/>
        <w:gridCol w:w="1252"/>
      </w:tblGrid>
      <w:tr w:rsidR="00CB2594" w:rsidRPr="007434DA" w14:paraId="01239E22" w14:textId="77777777" w:rsidTr="004A57B3">
        <w:trPr>
          <w:trHeight w:val="381"/>
        </w:trPr>
        <w:tc>
          <w:tcPr>
            <w:tcW w:w="1545" w:type="dxa"/>
            <w:vMerge w:val="restart"/>
            <w:tcBorders>
              <w:top w:val="double" w:sz="4" w:space="0" w:color="auto"/>
              <w:left w:val="double" w:sz="4" w:space="0" w:color="auto"/>
              <w:bottom w:val="single" w:sz="8" w:space="0" w:color="auto"/>
              <w:right w:val="single" w:sz="12" w:space="0" w:color="auto"/>
            </w:tcBorders>
            <w:vAlign w:val="center"/>
          </w:tcPr>
          <w:p w14:paraId="44FC890F" w14:textId="77777777" w:rsidR="00CB2594" w:rsidRPr="007434DA" w:rsidRDefault="00CB2594" w:rsidP="004A57B3">
            <w:pPr>
              <w:jc w:val="center"/>
              <w:rPr>
                <w:rFonts w:eastAsia="Arial"/>
                <w:b/>
                <w:bCs/>
                <w:color w:val="000000" w:themeColor="text1"/>
                <w:sz w:val="20"/>
              </w:rPr>
            </w:pPr>
            <w:r w:rsidRPr="007434DA">
              <w:rPr>
                <w:rFonts w:eastAsia="Arial"/>
                <w:b/>
                <w:bCs/>
                <w:color w:val="000000" w:themeColor="text1"/>
                <w:sz w:val="20"/>
              </w:rPr>
              <w:t>Oblast kontrol</w:t>
            </w:r>
          </w:p>
        </w:tc>
        <w:tc>
          <w:tcPr>
            <w:tcW w:w="7512" w:type="dxa"/>
            <w:gridSpan w:val="6"/>
            <w:tcBorders>
              <w:top w:val="double" w:sz="4" w:space="0" w:color="auto"/>
              <w:left w:val="single" w:sz="12" w:space="0" w:color="auto"/>
              <w:bottom w:val="single" w:sz="4" w:space="0" w:color="auto"/>
              <w:right w:val="double" w:sz="4" w:space="0" w:color="auto"/>
            </w:tcBorders>
          </w:tcPr>
          <w:p w14:paraId="2722E7CE" w14:textId="77777777" w:rsidR="00CB2594" w:rsidRPr="007434DA" w:rsidRDefault="00CB2594" w:rsidP="004A57B3">
            <w:pPr>
              <w:spacing w:line="240" w:lineRule="atLeast"/>
              <w:jc w:val="center"/>
              <w:rPr>
                <w:rFonts w:eastAsia="Arial"/>
                <w:b/>
                <w:bCs/>
                <w:color w:val="000000" w:themeColor="text1"/>
                <w:sz w:val="20"/>
              </w:rPr>
            </w:pPr>
            <w:r w:rsidRPr="007434DA">
              <w:rPr>
                <w:rFonts w:eastAsia="Arial"/>
                <w:b/>
                <w:bCs/>
                <w:color w:val="000000" w:themeColor="text1"/>
                <w:sz w:val="20"/>
              </w:rPr>
              <w:t>Plánované a provedené kontroly</w:t>
            </w:r>
          </w:p>
        </w:tc>
      </w:tr>
      <w:tr w:rsidR="00CB2594" w:rsidRPr="007434DA" w14:paraId="4DAF0815" w14:textId="77777777" w:rsidTr="004A57B3">
        <w:trPr>
          <w:trHeight w:val="454"/>
        </w:trPr>
        <w:tc>
          <w:tcPr>
            <w:tcW w:w="1545" w:type="dxa"/>
            <w:vMerge/>
            <w:tcBorders>
              <w:left w:val="double" w:sz="4" w:space="0" w:color="auto"/>
              <w:bottom w:val="single" w:sz="12" w:space="0" w:color="auto"/>
              <w:right w:val="single" w:sz="12" w:space="0" w:color="auto"/>
            </w:tcBorders>
            <w:vAlign w:val="center"/>
          </w:tcPr>
          <w:p w14:paraId="4E763F17" w14:textId="77777777" w:rsidR="00CB2594" w:rsidRPr="007434DA" w:rsidRDefault="00CB2594" w:rsidP="004A57B3">
            <w:pPr>
              <w:rPr>
                <w:sz w:val="20"/>
              </w:rPr>
            </w:pPr>
          </w:p>
        </w:tc>
        <w:tc>
          <w:tcPr>
            <w:tcW w:w="1252" w:type="dxa"/>
            <w:tcBorders>
              <w:top w:val="single" w:sz="4" w:space="0" w:color="auto"/>
              <w:left w:val="single" w:sz="12" w:space="0" w:color="auto"/>
              <w:bottom w:val="single" w:sz="12" w:space="0" w:color="auto"/>
              <w:right w:val="single" w:sz="4" w:space="0" w:color="auto"/>
            </w:tcBorders>
            <w:vAlign w:val="center"/>
          </w:tcPr>
          <w:p w14:paraId="295F2CCD" w14:textId="77777777" w:rsidR="00CB2594" w:rsidRPr="007434DA" w:rsidRDefault="00CB2594" w:rsidP="004A57B3">
            <w:pPr>
              <w:spacing w:line="240" w:lineRule="atLeast"/>
              <w:jc w:val="center"/>
              <w:rPr>
                <w:rFonts w:eastAsia="Arial"/>
                <w:b/>
                <w:bCs/>
                <w:color w:val="000000" w:themeColor="text1"/>
                <w:sz w:val="20"/>
              </w:rPr>
            </w:pPr>
            <w:r w:rsidRPr="007434DA">
              <w:rPr>
                <w:rFonts w:eastAsia="Arial"/>
                <w:b/>
                <w:bCs/>
                <w:color w:val="000000" w:themeColor="text1"/>
                <w:sz w:val="20"/>
              </w:rPr>
              <w:t>2015</w:t>
            </w:r>
          </w:p>
        </w:tc>
        <w:tc>
          <w:tcPr>
            <w:tcW w:w="1252" w:type="dxa"/>
            <w:tcBorders>
              <w:top w:val="single" w:sz="4" w:space="0" w:color="auto"/>
              <w:left w:val="single" w:sz="4" w:space="0" w:color="auto"/>
              <w:bottom w:val="single" w:sz="12" w:space="0" w:color="auto"/>
              <w:right w:val="single" w:sz="4" w:space="0" w:color="auto"/>
            </w:tcBorders>
            <w:vAlign w:val="center"/>
          </w:tcPr>
          <w:p w14:paraId="43467270" w14:textId="77777777" w:rsidR="00CB2594" w:rsidRPr="007434DA" w:rsidRDefault="00CB2594" w:rsidP="004A57B3">
            <w:pPr>
              <w:spacing w:line="240" w:lineRule="atLeast"/>
              <w:jc w:val="center"/>
              <w:rPr>
                <w:rFonts w:eastAsia="Arial"/>
                <w:b/>
                <w:bCs/>
                <w:color w:val="000000" w:themeColor="text1"/>
                <w:sz w:val="20"/>
              </w:rPr>
            </w:pPr>
            <w:r w:rsidRPr="007434DA">
              <w:rPr>
                <w:rFonts w:eastAsia="Arial"/>
                <w:b/>
                <w:bCs/>
                <w:color w:val="000000" w:themeColor="text1"/>
                <w:sz w:val="20"/>
              </w:rPr>
              <w:t>2016</w:t>
            </w:r>
          </w:p>
        </w:tc>
        <w:tc>
          <w:tcPr>
            <w:tcW w:w="1252" w:type="dxa"/>
            <w:tcBorders>
              <w:top w:val="single" w:sz="4" w:space="0" w:color="auto"/>
              <w:left w:val="single" w:sz="4" w:space="0" w:color="auto"/>
              <w:bottom w:val="single" w:sz="12" w:space="0" w:color="auto"/>
              <w:right w:val="single" w:sz="4" w:space="0" w:color="auto"/>
            </w:tcBorders>
            <w:vAlign w:val="center"/>
          </w:tcPr>
          <w:p w14:paraId="00A114D9" w14:textId="77777777" w:rsidR="00CB2594" w:rsidRPr="007434DA" w:rsidRDefault="00CB2594" w:rsidP="004A57B3">
            <w:pPr>
              <w:spacing w:line="240" w:lineRule="atLeast"/>
              <w:jc w:val="center"/>
              <w:rPr>
                <w:rFonts w:eastAsia="Arial"/>
                <w:b/>
                <w:bCs/>
                <w:color w:val="000000" w:themeColor="text1"/>
                <w:sz w:val="20"/>
              </w:rPr>
            </w:pPr>
            <w:r w:rsidRPr="007434DA">
              <w:rPr>
                <w:rFonts w:eastAsia="Arial"/>
                <w:b/>
                <w:bCs/>
                <w:color w:val="000000" w:themeColor="text1"/>
                <w:sz w:val="20"/>
              </w:rPr>
              <w:t>2016</w:t>
            </w:r>
          </w:p>
        </w:tc>
        <w:tc>
          <w:tcPr>
            <w:tcW w:w="1252" w:type="dxa"/>
            <w:tcBorders>
              <w:top w:val="single" w:sz="4" w:space="0" w:color="auto"/>
              <w:left w:val="single" w:sz="4" w:space="0" w:color="auto"/>
              <w:bottom w:val="single" w:sz="12" w:space="0" w:color="auto"/>
              <w:right w:val="single" w:sz="4" w:space="0" w:color="auto"/>
            </w:tcBorders>
            <w:vAlign w:val="center"/>
          </w:tcPr>
          <w:p w14:paraId="3EA97A5C" w14:textId="77777777" w:rsidR="00CB2594" w:rsidRPr="007434DA" w:rsidRDefault="00CB2594" w:rsidP="004A57B3">
            <w:pPr>
              <w:spacing w:line="240" w:lineRule="atLeast"/>
              <w:jc w:val="center"/>
              <w:rPr>
                <w:rFonts w:eastAsia="Arial"/>
                <w:b/>
                <w:bCs/>
                <w:color w:val="000000" w:themeColor="text1"/>
                <w:sz w:val="20"/>
              </w:rPr>
            </w:pPr>
            <w:r w:rsidRPr="007434DA">
              <w:rPr>
                <w:rFonts w:eastAsia="Arial"/>
                <w:b/>
                <w:bCs/>
                <w:color w:val="000000" w:themeColor="text1"/>
                <w:sz w:val="20"/>
              </w:rPr>
              <w:t>2018</w:t>
            </w:r>
          </w:p>
        </w:tc>
        <w:tc>
          <w:tcPr>
            <w:tcW w:w="1252" w:type="dxa"/>
            <w:tcBorders>
              <w:top w:val="single" w:sz="4" w:space="0" w:color="auto"/>
              <w:left w:val="single" w:sz="4" w:space="0" w:color="auto"/>
              <w:bottom w:val="single" w:sz="12" w:space="0" w:color="auto"/>
              <w:right w:val="single" w:sz="4" w:space="0" w:color="auto"/>
            </w:tcBorders>
            <w:vAlign w:val="center"/>
          </w:tcPr>
          <w:p w14:paraId="06C7F7BD" w14:textId="77777777" w:rsidR="00CB2594" w:rsidRPr="007434DA" w:rsidRDefault="00CB2594" w:rsidP="004A57B3">
            <w:pPr>
              <w:spacing w:line="240" w:lineRule="atLeast"/>
              <w:jc w:val="center"/>
              <w:rPr>
                <w:rFonts w:eastAsia="Arial"/>
                <w:b/>
                <w:bCs/>
                <w:color w:val="000000" w:themeColor="text1"/>
                <w:sz w:val="20"/>
              </w:rPr>
            </w:pPr>
            <w:r w:rsidRPr="007434DA">
              <w:rPr>
                <w:rFonts w:eastAsia="Arial"/>
                <w:b/>
                <w:bCs/>
                <w:color w:val="000000" w:themeColor="text1"/>
                <w:sz w:val="20"/>
              </w:rPr>
              <w:t>2019</w:t>
            </w:r>
          </w:p>
        </w:tc>
        <w:tc>
          <w:tcPr>
            <w:tcW w:w="1252" w:type="dxa"/>
            <w:tcBorders>
              <w:top w:val="single" w:sz="4" w:space="0" w:color="auto"/>
              <w:left w:val="single" w:sz="4" w:space="0" w:color="auto"/>
              <w:bottom w:val="single" w:sz="12" w:space="0" w:color="auto"/>
              <w:right w:val="double" w:sz="4" w:space="0" w:color="auto"/>
            </w:tcBorders>
            <w:vAlign w:val="center"/>
          </w:tcPr>
          <w:p w14:paraId="4077C435" w14:textId="77777777" w:rsidR="00CB2594" w:rsidRPr="007434DA" w:rsidRDefault="00CB2594" w:rsidP="004A57B3">
            <w:pPr>
              <w:spacing w:line="240" w:lineRule="atLeast"/>
              <w:jc w:val="center"/>
              <w:rPr>
                <w:rFonts w:eastAsia="Arial"/>
                <w:b/>
                <w:bCs/>
                <w:color w:val="000000" w:themeColor="text1"/>
                <w:sz w:val="20"/>
              </w:rPr>
            </w:pPr>
            <w:r w:rsidRPr="007434DA">
              <w:rPr>
                <w:rFonts w:eastAsia="Arial"/>
                <w:b/>
                <w:bCs/>
                <w:color w:val="000000" w:themeColor="text1"/>
                <w:sz w:val="20"/>
              </w:rPr>
              <w:t>2020</w:t>
            </w:r>
          </w:p>
        </w:tc>
      </w:tr>
      <w:tr w:rsidR="00CB2594" w:rsidRPr="007434DA" w14:paraId="67BD5881" w14:textId="77777777" w:rsidTr="004A57B3">
        <w:trPr>
          <w:trHeight w:val="300"/>
        </w:trPr>
        <w:tc>
          <w:tcPr>
            <w:tcW w:w="1545" w:type="dxa"/>
            <w:tcBorders>
              <w:top w:val="single" w:sz="12" w:space="0" w:color="auto"/>
              <w:left w:val="double" w:sz="4" w:space="0" w:color="auto"/>
              <w:bottom w:val="single" w:sz="8" w:space="0" w:color="auto"/>
              <w:right w:val="single" w:sz="12" w:space="0" w:color="auto"/>
            </w:tcBorders>
            <w:vAlign w:val="center"/>
          </w:tcPr>
          <w:p w14:paraId="4ED5FDDF" w14:textId="77777777" w:rsidR="00CB2594" w:rsidRPr="007434DA" w:rsidRDefault="00CB2594" w:rsidP="004A57B3">
            <w:pPr>
              <w:spacing w:line="240" w:lineRule="atLeast"/>
              <w:rPr>
                <w:sz w:val="20"/>
              </w:rPr>
            </w:pPr>
            <w:r w:rsidRPr="007434DA">
              <w:rPr>
                <w:rFonts w:eastAsia="Arial"/>
                <w:b/>
                <w:bCs/>
                <w:color w:val="000000" w:themeColor="text1"/>
                <w:sz w:val="20"/>
              </w:rPr>
              <w:t>PPH 11</w:t>
            </w:r>
          </w:p>
        </w:tc>
        <w:tc>
          <w:tcPr>
            <w:tcW w:w="1252" w:type="dxa"/>
            <w:tcBorders>
              <w:top w:val="single" w:sz="12" w:space="0" w:color="auto"/>
              <w:left w:val="single" w:sz="12" w:space="0" w:color="auto"/>
              <w:bottom w:val="single" w:sz="4" w:space="0" w:color="auto"/>
              <w:right w:val="single" w:sz="4" w:space="0" w:color="auto"/>
            </w:tcBorders>
            <w:vAlign w:val="center"/>
          </w:tcPr>
          <w:p w14:paraId="0279319A" w14:textId="77777777" w:rsidR="00CB2594" w:rsidRPr="007434DA" w:rsidRDefault="00CB2594" w:rsidP="004715B0">
            <w:pPr>
              <w:spacing w:line="240" w:lineRule="atLeast"/>
              <w:ind w:right="216"/>
              <w:jc w:val="center"/>
              <w:rPr>
                <w:rFonts w:eastAsia="Arial"/>
                <w:color w:val="000000" w:themeColor="text1"/>
                <w:sz w:val="20"/>
              </w:rPr>
            </w:pPr>
            <w:r w:rsidRPr="007434DA">
              <w:rPr>
                <w:rFonts w:eastAsia="Arial"/>
                <w:color w:val="000000" w:themeColor="text1"/>
                <w:sz w:val="20"/>
              </w:rPr>
              <w:t>53</w:t>
            </w:r>
          </w:p>
        </w:tc>
        <w:tc>
          <w:tcPr>
            <w:tcW w:w="1252" w:type="dxa"/>
            <w:tcBorders>
              <w:top w:val="single" w:sz="12" w:space="0" w:color="auto"/>
              <w:left w:val="single" w:sz="4" w:space="0" w:color="auto"/>
              <w:bottom w:val="single" w:sz="4" w:space="0" w:color="auto"/>
              <w:right w:val="single" w:sz="4" w:space="0" w:color="auto"/>
            </w:tcBorders>
            <w:vAlign w:val="center"/>
          </w:tcPr>
          <w:p w14:paraId="7E708F66" w14:textId="77777777" w:rsidR="00CB2594" w:rsidRPr="007434DA" w:rsidRDefault="00CB2594" w:rsidP="004715B0">
            <w:pPr>
              <w:spacing w:line="240" w:lineRule="atLeast"/>
              <w:ind w:right="216"/>
              <w:jc w:val="center"/>
              <w:rPr>
                <w:rFonts w:eastAsia="Arial"/>
                <w:color w:val="000000" w:themeColor="text1"/>
                <w:sz w:val="20"/>
              </w:rPr>
            </w:pPr>
            <w:r w:rsidRPr="007434DA">
              <w:rPr>
                <w:rFonts w:eastAsia="Arial"/>
                <w:color w:val="000000" w:themeColor="text1"/>
                <w:sz w:val="20"/>
              </w:rPr>
              <w:t>52</w:t>
            </w:r>
          </w:p>
        </w:tc>
        <w:tc>
          <w:tcPr>
            <w:tcW w:w="1252" w:type="dxa"/>
            <w:tcBorders>
              <w:top w:val="single" w:sz="12" w:space="0" w:color="auto"/>
              <w:left w:val="single" w:sz="4" w:space="0" w:color="auto"/>
              <w:bottom w:val="single" w:sz="4" w:space="0" w:color="auto"/>
              <w:right w:val="single" w:sz="4" w:space="0" w:color="auto"/>
            </w:tcBorders>
            <w:vAlign w:val="center"/>
          </w:tcPr>
          <w:p w14:paraId="3F3A2D93" w14:textId="77777777" w:rsidR="00CB2594" w:rsidRPr="007434DA" w:rsidRDefault="00CB2594" w:rsidP="004715B0">
            <w:pPr>
              <w:spacing w:line="240" w:lineRule="atLeast"/>
              <w:ind w:right="216"/>
              <w:jc w:val="center"/>
              <w:rPr>
                <w:rFonts w:eastAsia="Arial"/>
                <w:color w:val="000000" w:themeColor="text1"/>
                <w:sz w:val="20"/>
              </w:rPr>
            </w:pPr>
            <w:r w:rsidRPr="007434DA">
              <w:rPr>
                <w:rFonts w:eastAsia="Arial"/>
                <w:color w:val="000000" w:themeColor="text1"/>
                <w:sz w:val="20"/>
              </w:rPr>
              <w:t>58</w:t>
            </w:r>
          </w:p>
        </w:tc>
        <w:tc>
          <w:tcPr>
            <w:tcW w:w="1252" w:type="dxa"/>
            <w:tcBorders>
              <w:top w:val="single" w:sz="12" w:space="0" w:color="auto"/>
              <w:left w:val="single" w:sz="4" w:space="0" w:color="auto"/>
              <w:bottom w:val="single" w:sz="4" w:space="0" w:color="auto"/>
              <w:right w:val="single" w:sz="4" w:space="0" w:color="auto"/>
            </w:tcBorders>
            <w:vAlign w:val="center"/>
          </w:tcPr>
          <w:p w14:paraId="35F33200" w14:textId="77777777" w:rsidR="00CB2594" w:rsidRPr="007434DA" w:rsidRDefault="00CB2594" w:rsidP="004715B0">
            <w:pPr>
              <w:spacing w:line="240" w:lineRule="atLeast"/>
              <w:ind w:right="216"/>
              <w:jc w:val="center"/>
              <w:rPr>
                <w:rFonts w:eastAsia="Arial"/>
                <w:color w:val="000000" w:themeColor="text1"/>
                <w:sz w:val="20"/>
              </w:rPr>
            </w:pPr>
            <w:r w:rsidRPr="007434DA">
              <w:rPr>
                <w:rFonts w:eastAsia="Arial"/>
                <w:color w:val="000000" w:themeColor="text1"/>
                <w:sz w:val="20"/>
              </w:rPr>
              <w:t>58</w:t>
            </w:r>
          </w:p>
        </w:tc>
        <w:tc>
          <w:tcPr>
            <w:tcW w:w="1252" w:type="dxa"/>
            <w:tcBorders>
              <w:top w:val="single" w:sz="12" w:space="0" w:color="auto"/>
              <w:left w:val="single" w:sz="4" w:space="0" w:color="auto"/>
              <w:bottom w:val="single" w:sz="4" w:space="0" w:color="auto"/>
              <w:right w:val="single" w:sz="4" w:space="0" w:color="auto"/>
            </w:tcBorders>
            <w:vAlign w:val="center"/>
          </w:tcPr>
          <w:p w14:paraId="4DD1FC6C" w14:textId="77777777" w:rsidR="00CB2594" w:rsidRPr="007434DA" w:rsidRDefault="00CB2594" w:rsidP="004715B0">
            <w:pPr>
              <w:spacing w:line="240" w:lineRule="atLeast"/>
              <w:ind w:right="216"/>
              <w:jc w:val="center"/>
              <w:rPr>
                <w:rFonts w:eastAsia="Arial"/>
                <w:color w:val="000000" w:themeColor="text1"/>
                <w:sz w:val="20"/>
              </w:rPr>
            </w:pPr>
            <w:r w:rsidRPr="007434DA">
              <w:rPr>
                <w:rFonts w:eastAsia="Arial"/>
                <w:color w:val="000000" w:themeColor="text1"/>
                <w:sz w:val="20"/>
              </w:rPr>
              <w:t>57</w:t>
            </w:r>
          </w:p>
        </w:tc>
        <w:tc>
          <w:tcPr>
            <w:tcW w:w="1252" w:type="dxa"/>
            <w:tcBorders>
              <w:top w:val="single" w:sz="12" w:space="0" w:color="auto"/>
              <w:left w:val="single" w:sz="4" w:space="0" w:color="auto"/>
              <w:bottom w:val="single" w:sz="4" w:space="0" w:color="auto"/>
              <w:right w:val="double" w:sz="4" w:space="0" w:color="auto"/>
            </w:tcBorders>
            <w:vAlign w:val="center"/>
          </w:tcPr>
          <w:p w14:paraId="0BCD8D96" w14:textId="77777777" w:rsidR="00CB2594" w:rsidRPr="007434DA" w:rsidRDefault="00CB2594" w:rsidP="004715B0">
            <w:pPr>
              <w:spacing w:line="240" w:lineRule="atLeast"/>
              <w:ind w:right="216"/>
              <w:jc w:val="center"/>
              <w:rPr>
                <w:rFonts w:eastAsia="Arial"/>
                <w:color w:val="000000" w:themeColor="text1"/>
                <w:sz w:val="20"/>
              </w:rPr>
            </w:pPr>
            <w:r w:rsidRPr="007434DA">
              <w:rPr>
                <w:rFonts w:eastAsia="Arial"/>
                <w:color w:val="000000" w:themeColor="text1"/>
                <w:sz w:val="20"/>
              </w:rPr>
              <w:t>40</w:t>
            </w:r>
          </w:p>
        </w:tc>
      </w:tr>
      <w:tr w:rsidR="00CB2594" w:rsidRPr="007434DA" w14:paraId="71388769" w14:textId="77777777" w:rsidTr="004A57B3">
        <w:trPr>
          <w:trHeight w:val="300"/>
        </w:trPr>
        <w:tc>
          <w:tcPr>
            <w:tcW w:w="1545" w:type="dxa"/>
            <w:tcBorders>
              <w:top w:val="single" w:sz="8" w:space="0" w:color="auto"/>
              <w:left w:val="double" w:sz="4" w:space="0" w:color="auto"/>
              <w:bottom w:val="single" w:sz="8" w:space="0" w:color="auto"/>
              <w:right w:val="single" w:sz="12" w:space="0" w:color="auto"/>
            </w:tcBorders>
            <w:vAlign w:val="center"/>
          </w:tcPr>
          <w:p w14:paraId="65F942B9" w14:textId="77777777" w:rsidR="00CB2594" w:rsidRPr="007434DA" w:rsidRDefault="00CB2594" w:rsidP="004A57B3">
            <w:pPr>
              <w:spacing w:line="240" w:lineRule="atLeast"/>
              <w:rPr>
                <w:sz w:val="20"/>
              </w:rPr>
            </w:pPr>
            <w:r w:rsidRPr="007434DA">
              <w:rPr>
                <w:rFonts w:eastAsia="Arial"/>
                <w:b/>
                <w:bCs/>
                <w:color w:val="000000" w:themeColor="text1"/>
                <w:sz w:val="20"/>
              </w:rPr>
              <w:t>PPH 12</w:t>
            </w:r>
          </w:p>
        </w:tc>
        <w:tc>
          <w:tcPr>
            <w:tcW w:w="1252" w:type="dxa"/>
            <w:tcBorders>
              <w:top w:val="single" w:sz="4" w:space="0" w:color="auto"/>
              <w:left w:val="single" w:sz="12" w:space="0" w:color="auto"/>
              <w:bottom w:val="single" w:sz="4" w:space="0" w:color="auto"/>
              <w:right w:val="single" w:sz="4" w:space="0" w:color="auto"/>
            </w:tcBorders>
            <w:vAlign w:val="center"/>
          </w:tcPr>
          <w:p w14:paraId="2681A8B2" w14:textId="77777777" w:rsidR="00CB2594" w:rsidRPr="007434DA" w:rsidRDefault="00CB2594" w:rsidP="004715B0">
            <w:pPr>
              <w:spacing w:line="240" w:lineRule="atLeast"/>
              <w:ind w:right="216"/>
              <w:jc w:val="center"/>
              <w:rPr>
                <w:rFonts w:eastAsia="Arial"/>
                <w:color w:val="000000" w:themeColor="text1"/>
                <w:sz w:val="20"/>
              </w:rPr>
            </w:pPr>
            <w:r w:rsidRPr="007434DA">
              <w:rPr>
                <w:rFonts w:eastAsia="Arial"/>
                <w:color w:val="000000" w:themeColor="text1"/>
                <w:sz w:val="20"/>
              </w:rPr>
              <w:t>55</w:t>
            </w:r>
          </w:p>
        </w:tc>
        <w:tc>
          <w:tcPr>
            <w:tcW w:w="1252" w:type="dxa"/>
            <w:tcBorders>
              <w:top w:val="single" w:sz="4" w:space="0" w:color="auto"/>
              <w:left w:val="single" w:sz="4" w:space="0" w:color="auto"/>
              <w:bottom w:val="single" w:sz="4" w:space="0" w:color="auto"/>
              <w:right w:val="single" w:sz="4" w:space="0" w:color="auto"/>
            </w:tcBorders>
            <w:vAlign w:val="center"/>
          </w:tcPr>
          <w:p w14:paraId="5731874F" w14:textId="77777777" w:rsidR="00CB2594" w:rsidRPr="007434DA" w:rsidRDefault="00CB2594" w:rsidP="004715B0">
            <w:pPr>
              <w:spacing w:line="240" w:lineRule="atLeast"/>
              <w:ind w:right="216"/>
              <w:jc w:val="center"/>
              <w:rPr>
                <w:rFonts w:eastAsia="Arial"/>
                <w:color w:val="000000" w:themeColor="text1"/>
                <w:sz w:val="20"/>
              </w:rPr>
            </w:pPr>
            <w:r w:rsidRPr="007434DA">
              <w:rPr>
                <w:rFonts w:eastAsia="Arial"/>
                <w:color w:val="000000" w:themeColor="text1"/>
                <w:sz w:val="20"/>
              </w:rPr>
              <w:t>44</w:t>
            </w:r>
          </w:p>
        </w:tc>
        <w:tc>
          <w:tcPr>
            <w:tcW w:w="1252" w:type="dxa"/>
            <w:tcBorders>
              <w:top w:val="single" w:sz="4" w:space="0" w:color="auto"/>
              <w:left w:val="single" w:sz="4" w:space="0" w:color="auto"/>
              <w:bottom w:val="single" w:sz="4" w:space="0" w:color="auto"/>
              <w:right w:val="single" w:sz="4" w:space="0" w:color="auto"/>
            </w:tcBorders>
            <w:vAlign w:val="center"/>
          </w:tcPr>
          <w:p w14:paraId="2220C8F4" w14:textId="77777777" w:rsidR="00CB2594" w:rsidRPr="007434DA" w:rsidRDefault="00CB2594" w:rsidP="004715B0">
            <w:pPr>
              <w:spacing w:line="240" w:lineRule="atLeast"/>
              <w:ind w:right="216"/>
              <w:jc w:val="center"/>
              <w:rPr>
                <w:rFonts w:eastAsia="Arial"/>
                <w:color w:val="000000" w:themeColor="text1"/>
                <w:sz w:val="20"/>
              </w:rPr>
            </w:pPr>
            <w:r w:rsidRPr="007434DA">
              <w:rPr>
                <w:rFonts w:eastAsia="Arial"/>
                <w:color w:val="000000" w:themeColor="text1"/>
                <w:sz w:val="20"/>
              </w:rPr>
              <w:t>47</w:t>
            </w:r>
          </w:p>
        </w:tc>
        <w:tc>
          <w:tcPr>
            <w:tcW w:w="1252" w:type="dxa"/>
            <w:tcBorders>
              <w:top w:val="single" w:sz="4" w:space="0" w:color="auto"/>
              <w:left w:val="single" w:sz="4" w:space="0" w:color="auto"/>
              <w:bottom w:val="single" w:sz="4" w:space="0" w:color="auto"/>
              <w:right w:val="single" w:sz="4" w:space="0" w:color="auto"/>
            </w:tcBorders>
            <w:vAlign w:val="center"/>
          </w:tcPr>
          <w:p w14:paraId="5EC9F7A7" w14:textId="77777777" w:rsidR="00CB2594" w:rsidRPr="007434DA" w:rsidRDefault="00CB2594" w:rsidP="004715B0">
            <w:pPr>
              <w:spacing w:line="240" w:lineRule="atLeast"/>
              <w:ind w:right="216"/>
              <w:jc w:val="center"/>
              <w:rPr>
                <w:rFonts w:eastAsia="Arial"/>
                <w:color w:val="000000" w:themeColor="text1"/>
                <w:sz w:val="20"/>
              </w:rPr>
            </w:pPr>
            <w:r w:rsidRPr="007434DA">
              <w:rPr>
                <w:rFonts w:eastAsia="Arial"/>
                <w:color w:val="000000" w:themeColor="text1"/>
                <w:sz w:val="20"/>
              </w:rPr>
              <w:t>45</w:t>
            </w:r>
          </w:p>
        </w:tc>
        <w:tc>
          <w:tcPr>
            <w:tcW w:w="1252" w:type="dxa"/>
            <w:tcBorders>
              <w:top w:val="single" w:sz="4" w:space="0" w:color="auto"/>
              <w:left w:val="single" w:sz="4" w:space="0" w:color="auto"/>
              <w:bottom w:val="single" w:sz="4" w:space="0" w:color="auto"/>
              <w:right w:val="single" w:sz="4" w:space="0" w:color="auto"/>
            </w:tcBorders>
            <w:vAlign w:val="center"/>
          </w:tcPr>
          <w:p w14:paraId="052EB8A8" w14:textId="77777777" w:rsidR="00CB2594" w:rsidRPr="007434DA" w:rsidRDefault="00CB2594" w:rsidP="004715B0">
            <w:pPr>
              <w:spacing w:line="240" w:lineRule="atLeast"/>
              <w:ind w:right="216"/>
              <w:jc w:val="center"/>
              <w:rPr>
                <w:rFonts w:eastAsia="Arial"/>
                <w:color w:val="000000" w:themeColor="text1"/>
                <w:sz w:val="20"/>
              </w:rPr>
            </w:pPr>
            <w:r w:rsidRPr="007434DA">
              <w:rPr>
                <w:rFonts w:eastAsia="Arial"/>
                <w:color w:val="000000" w:themeColor="text1"/>
                <w:sz w:val="20"/>
              </w:rPr>
              <w:t>53</w:t>
            </w:r>
          </w:p>
        </w:tc>
        <w:tc>
          <w:tcPr>
            <w:tcW w:w="1252" w:type="dxa"/>
            <w:tcBorders>
              <w:top w:val="single" w:sz="4" w:space="0" w:color="auto"/>
              <w:left w:val="single" w:sz="4" w:space="0" w:color="auto"/>
              <w:bottom w:val="single" w:sz="4" w:space="0" w:color="auto"/>
              <w:right w:val="double" w:sz="4" w:space="0" w:color="auto"/>
            </w:tcBorders>
            <w:vAlign w:val="center"/>
          </w:tcPr>
          <w:p w14:paraId="6C6EC997" w14:textId="77777777" w:rsidR="00CB2594" w:rsidRPr="007434DA" w:rsidRDefault="00CB2594" w:rsidP="004715B0">
            <w:pPr>
              <w:spacing w:line="240" w:lineRule="atLeast"/>
              <w:ind w:right="216"/>
              <w:jc w:val="center"/>
              <w:rPr>
                <w:rFonts w:eastAsia="Arial"/>
                <w:color w:val="000000" w:themeColor="text1"/>
                <w:sz w:val="20"/>
              </w:rPr>
            </w:pPr>
            <w:r w:rsidRPr="007434DA">
              <w:rPr>
                <w:rFonts w:eastAsia="Arial"/>
                <w:color w:val="000000" w:themeColor="text1"/>
                <w:sz w:val="20"/>
              </w:rPr>
              <w:t>38</w:t>
            </w:r>
          </w:p>
        </w:tc>
      </w:tr>
      <w:tr w:rsidR="00CB2594" w:rsidRPr="007434DA" w14:paraId="231422D4" w14:textId="77777777" w:rsidTr="004A57B3">
        <w:trPr>
          <w:trHeight w:val="300"/>
        </w:trPr>
        <w:tc>
          <w:tcPr>
            <w:tcW w:w="1545" w:type="dxa"/>
            <w:tcBorders>
              <w:top w:val="single" w:sz="8" w:space="0" w:color="auto"/>
              <w:left w:val="double" w:sz="4" w:space="0" w:color="auto"/>
              <w:bottom w:val="single" w:sz="8" w:space="0" w:color="auto"/>
              <w:right w:val="single" w:sz="12" w:space="0" w:color="auto"/>
            </w:tcBorders>
            <w:vAlign w:val="center"/>
          </w:tcPr>
          <w:p w14:paraId="20AFB42B" w14:textId="77777777" w:rsidR="00CB2594" w:rsidRPr="007434DA" w:rsidRDefault="00CB2594" w:rsidP="004A57B3">
            <w:pPr>
              <w:spacing w:line="240" w:lineRule="atLeast"/>
              <w:rPr>
                <w:sz w:val="20"/>
              </w:rPr>
            </w:pPr>
            <w:r w:rsidRPr="007434DA">
              <w:rPr>
                <w:rFonts w:eastAsia="Arial"/>
                <w:b/>
                <w:bCs/>
                <w:color w:val="000000" w:themeColor="text1"/>
                <w:sz w:val="20"/>
              </w:rPr>
              <w:t>PPH 13</w:t>
            </w:r>
          </w:p>
        </w:tc>
        <w:tc>
          <w:tcPr>
            <w:tcW w:w="1252" w:type="dxa"/>
            <w:tcBorders>
              <w:top w:val="single" w:sz="4" w:space="0" w:color="auto"/>
              <w:left w:val="single" w:sz="12" w:space="0" w:color="auto"/>
              <w:bottom w:val="single" w:sz="4" w:space="0" w:color="auto"/>
              <w:right w:val="single" w:sz="4" w:space="0" w:color="auto"/>
            </w:tcBorders>
            <w:vAlign w:val="center"/>
          </w:tcPr>
          <w:p w14:paraId="0F9F9431" w14:textId="77777777" w:rsidR="00CB2594" w:rsidRPr="007434DA" w:rsidRDefault="00CB2594" w:rsidP="004715B0">
            <w:pPr>
              <w:spacing w:line="240" w:lineRule="atLeast"/>
              <w:ind w:right="216"/>
              <w:jc w:val="center"/>
              <w:rPr>
                <w:rFonts w:eastAsia="Arial"/>
                <w:color w:val="000000" w:themeColor="text1"/>
                <w:sz w:val="20"/>
              </w:rPr>
            </w:pPr>
            <w:r w:rsidRPr="007434DA">
              <w:rPr>
                <w:rFonts w:eastAsia="Arial"/>
                <w:color w:val="000000" w:themeColor="text1"/>
                <w:sz w:val="20"/>
              </w:rPr>
              <w:t>200</w:t>
            </w:r>
          </w:p>
        </w:tc>
        <w:tc>
          <w:tcPr>
            <w:tcW w:w="1252" w:type="dxa"/>
            <w:tcBorders>
              <w:top w:val="single" w:sz="4" w:space="0" w:color="auto"/>
              <w:left w:val="single" w:sz="4" w:space="0" w:color="auto"/>
              <w:bottom w:val="single" w:sz="4" w:space="0" w:color="auto"/>
              <w:right w:val="single" w:sz="4" w:space="0" w:color="auto"/>
            </w:tcBorders>
            <w:vAlign w:val="center"/>
          </w:tcPr>
          <w:p w14:paraId="7804C29C" w14:textId="77777777" w:rsidR="00CB2594" w:rsidRPr="007434DA" w:rsidRDefault="00CB2594" w:rsidP="004715B0">
            <w:pPr>
              <w:spacing w:line="240" w:lineRule="atLeast"/>
              <w:ind w:right="216"/>
              <w:jc w:val="center"/>
              <w:rPr>
                <w:rFonts w:eastAsia="Arial"/>
                <w:color w:val="000000" w:themeColor="text1"/>
                <w:sz w:val="20"/>
              </w:rPr>
            </w:pPr>
            <w:r w:rsidRPr="007434DA">
              <w:rPr>
                <w:rFonts w:eastAsia="Arial"/>
                <w:color w:val="000000" w:themeColor="text1"/>
                <w:sz w:val="20"/>
              </w:rPr>
              <w:t>193</w:t>
            </w:r>
          </w:p>
        </w:tc>
        <w:tc>
          <w:tcPr>
            <w:tcW w:w="1252" w:type="dxa"/>
            <w:tcBorders>
              <w:top w:val="single" w:sz="4" w:space="0" w:color="auto"/>
              <w:left w:val="single" w:sz="4" w:space="0" w:color="auto"/>
              <w:bottom w:val="single" w:sz="4" w:space="0" w:color="auto"/>
              <w:right w:val="single" w:sz="4" w:space="0" w:color="auto"/>
            </w:tcBorders>
            <w:vAlign w:val="center"/>
          </w:tcPr>
          <w:p w14:paraId="69AADE52" w14:textId="77777777" w:rsidR="00CB2594" w:rsidRPr="007434DA" w:rsidRDefault="00CB2594" w:rsidP="004715B0">
            <w:pPr>
              <w:spacing w:line="240" w:lineRule="atLeast"/>
              <w:ind w:right="216"/>
              <w:jc w:val="center"/>
              <w:rPr>
                <w:rFonts w:eastAsia="Arial"/>
                <w:color w:val="000000" w:themeColor="text1"/>
                <w:sz w:val="20"/>
              </w:rPr>
            </w:pPr>
            <w:r w:rsidRPr="007434DA">
              <w:rPr>
                <w:rFonts w:eastAsia="Arial"/>
                <w:color w:val="000000" w:themeColor="text1"/>
                <w:sz w:val="20"/>
              </w:rPr>
              <w:t>187</w:t>
            </w:r>
          </w:p>
        </w:tc>
        <w:tc>
          <w:tcPr>
            <w:tcW w:w="1252" w:type="dxa"/>
            <w:tcBorders>
              <w:top w:val="single" w:sz="4" w:space="0" w:color="auto"/>
              <w:left w:val="single" w:sz="4" w:space="0" w:color="auto"/>
              <w:bottom w:val="single" w:sz="4" w:space="0" w:color="auto"/>
              <w:right w:val="single" w:sz="4" w:space="0" w:color="auto"/>
            </w:tcBorders>
            <w:vAlign w:val="center"/>
          </w:tcPr>
          <w:p w14:paraId="5B1FCF2C" w14:textId="77777777" w:rsidR="00CB2594" w:rsidRPr="007434DA" w:rsidRDefault="00CB2594" w:rsidP="004715B0">
            <w:pPr>
              <w:spacing w:line="240" w:lineRule="atLeast"/>
              <w:ind w:right="216"/>
              <w:jc w:val="center"/>
              <w:rPr>
                <w:rFonts w:eastAsia="Arial"/>
                <w:color w:val="000000" w:themeColor="text1"/>
                <w:sz w:val="20"/>
              </w:rPr>
            </w:pPr>
            <w:r w:rsidRPr="007434DA">
              <w:rPr>
                <w:rFonts w:eastAsia="Arial"/>
                <w:color w:val="000000" w:themeColor="text1"/>
                <w:sz w:val="20"/>
              </w:rPr>
              <w:t>176</w:t>
            </w:r>
          </w:p>
        </w:tc>
        <w:tc>
          <w:tcPr>
            <w:tcW w:w="1252" w:type="dxa"/>
            <w:tcBorders>
              <w:top w:val="single" w:sz="4" w:space="0" w:color="auto"/>
              <w:left w:val="single" w:sz="4" w:space="0" w:color="auto"/>
              <w:bottom w:val="single" w:sz="4" w:space="0" w:color="auto"/>
              <w:right w:val="single" w:sz="4" w:space="0" w:color="auto"/>
            </w:tcBorders>
            <w:vAlign w:val="center"/>
          </w:tcPr>
          <w:p w14:paraId="6E5BAD96" w14:textId="77777777" w:rsidR="00CB2594" w:rsidRPr="007434DA" w:rsidRDefault="00CB2594" w:rsidP="004715B0">
            <w:pPr>
              <w:spacing w:line="240" w:lineRule="atLeast"/>
              <w:ind w:right="216"/>
              <w:jc w:val="center"/>
              <w:rPr>
                <w:rFonts w:eastAsia="Arial"/>
                <w:color w:val="000000" w:themeColor="text1"/>
                <w:sz w:val="20"/>
              </w:rPr>
            </w:pPr>
            <w:r w:rsidRPr="007434DA">
              <w:rPr>
                <w:rFonts w:eastAsia="Arial"/>
                <w:color w:val="000000" w:themeColor="text1"/>
                <w:sz w:val="20"/>
              </w:rPr>
              <w:t>172</w:t>
            </w:r>
          </w:p>
        </w:tc>
        <w:tc>
          <w:tcPr>
            <w:tcW w:w="1252" w:type="dxa"/>
            <w:tcBorders>
              <w:top w:val="single" w:sz="4" w:space="0" w:color="auto"/>
              <w:left w:val="single" w:sz="4" w:space="0" w:color="auto"/>
              <w:bottom w:val="single" w:sz="4" w:space="0" w:color="auto"/>
              <w:right w:val="double" w:sz="4" w:space="0" w:color="auto"/>
            </w:tcBorders>
            <w:vAlign w:val="center"/>
          </w:tcPr>
          <w:p w14:paraId="4E1F5531" w14:textId="77777777" w:rsidR="00CB2594" w:rsidRPr="007434DA" w:rsidRDefault="00CB2594" w:rsidP="004715B0">
            <w:pPr>
              <w:spacing w:line="240" w:lineRule="atLeast"/>
              <w:ind w:right="216"/>
              <w:jc w:val="center"/>
              <w:rPr>
                <w:rFonts w:eastAsia="Arial"/>
                <w:color w:val="000000" w:themeColor="text1"/>
                <w:sz w:val="20"/>
              </w:rPr>
            </w:pPr>
            <w:r w:rsidRPr="007434DA">
              <w:rPr>
                <w:rFonts w:eastAsia="Arial"/>
                <w:color w:val="000000" w:themeColor="text1"/>
                <w:sz w:val="20"/>
              </w:rPr>
              <w:t>128</w:t>
            </w:r>
          </w:p>
        </w:tc>
      </w:tr>
      <w:tr w:rsidR="00CB2594" w:rsidRPr="007434DA" w14:paraId="2F5A758D" w14:textId="77777777" w:rsidTr="004A57B3">
        <w:trPr>
          <w:trHeight w:val="494"/>
        </w:trPr>
        <w:tc>
          <w:tcPr>
            <w:tcW w:w="1545" w:type="dxa"/>
            <w:tcBorders>
              <w:top w:val="single" w:sz="8" w:space="0" w:color="auto"/>
              <w:left w:val="double" w:sz="4" w:space="0" w:color="auto"/>
              <w:bottom w:val="single" w:sz="8" w:space="0" w:color="auto"/>
              <w:right w:val="single" w:sz="12" w:space="0" w:color="auto"/>
            </w:tcBorders>
            <w:vAlign w:val="center"/>
          </w:tcPr>
          <w:p w14:paraId="5688D351" w14:textId="77777777" w:rsidR="00CB2594" w:rsidRPr="007434DA" w:rsidRDefault="00CB2594" w:rsidP="004A57B3">
            <w:pPr>
              <w:spacing w:line="240" w:lineRule="atLeast"/>
              <w:rPr>
                <w:sz w:val="20"/>
              </w:rPr>
            </w:pPr>
            <w:r w:rsidRPr="007434DA">
              <w:rPr>
                <w:rFonts w:eastAsia="Arial"/>
                <w:b/>
                <w:bCs/>
                <w:color w:val="000000" w:themeColor="text1"/>
                <w:sz w:val="20"/>
              </w:rPr>
              <w:t xml:space="preserve">Celkem </w:t>
            </w:r>
          </w:p>
        </w:tc>
        <w:tc>
          <w:tcPr>
            <w:tcW w:w="1252" w:type="dxa"/>
            <w:tcBorders>
              <w:top w:val="single" w:sz="4" w:space="0" w:color="auto"/>
              <w:left w:val="single" w:sz="12" w:space="0" w:color="auto"/>
              <w:bottom w:val="single" w:sz="4" w:space="0" w:color="auto"/>
              <w:right w:val="single" w:sz="4" w:space="0" w:color="auto"/>
            </w:tcBorders>
            <w:vAlign w:val="center"/>
          </w:tcPr>
          <w:p w14:paraId="5A1F9C05" w14:textId="77777777" w:rsidR="00CB2594" w:rsidRPr="007434DA" w:rsidRDefault="00CB2594" w:rsidP="004715B0">
            <w:pPr>
              <w:spacing w:line="240" w:lineRule="atLeast"/>
              <w:ind w:right="216"/>
              <w:jc w:val="center"/>
              <w:rPr>
                <w:rFonts w:eastAsia="Arial"/>
                <w:b/>
                <w:bCs/>
                <w:color w:val="000000" w:themeColor="text1"/>
                <w:sz w:val="20"/>
              </w:rPr>
            </w:pPr>
            <w:r w:rsidRPr="007434DA">
              <w:rPr>
                <w:rFonts w:eastAsia="Arial"/>
                <w:b/>
                <w:bCs/>
                <w:color w:val="000000" w:themeColor="text1"/>
                <w:sz w:val="20"/>
              </w:rPr>
              <w:t>308</w:t>
            </w:r>
          </w:p>
        </w:tc>
        <w:tc>
          <w:tcPr>
            <w:tcW w:w="1252" w:type="dxa"/>
            <w:tcBorders>
              <w:top w:val="single" w:sz="4" w:space="0" w:color="auto"/>
              <w:left w:val="single" w:sz="4" w:space="0" w:color="auto"/>
              <w:bottom w:val="single" w:sz="4" w:space="0" w:color="auto"/>
              <w:right w:val="single" w:sz="4" w:space="0" w:color="auto"/>
            </w:tcBorders>
            <w:vAlign w:val="center"/>
          </w:tcPr>
          <w:p w14:paraId="09B1649B" w14:textId="77777777" w:rsidR="00CB2594" w:rsidRPr="007434DA" w:rsidRDefault="00CB2594" w:rsidP="004715B0">
            <w:pPr>
              <w:spacing w:line="240" w:lineRule="atLeast"/>
              <w:ind w:right="216"/>
              <w:jc w:val="center"/>
              <w:rPr>
                <w:rFonts w:eastAsia="Arial"/>
                <w:b/>
                <w:bCs/>
                <w:color w:val="000000" w:themeColor="text1"/>
                <w:sz w:val="20"/>
              </w:rPr>
            </w:pPr>
            <w:r w:rsidRPr="007434DA">
              <w:rPr>
                <w:rFonts w:eastAsia="Arial"/>
                <w:b/>
                <w:bCs/>
                <w:color w:val="000000" w:themeColor="text1"/>
                <w:sz w:val="20"/>
              </w:rPr>
              <w:t>289</w:t>
            </w:r>
          </w:p>
        </w:tc>
        <w:tc>
          <w:tcPr>
            <w:tcW w:w="1252" w:type="dxa"/>
            <w:tcBorders>
              <w:top w:val="single" w:sz="4" w:space="0" w:color="auto"/>
              <w:left w:val="single" w:sz="4" w:space="0" w:color="auto"/>
              <w:bottom w:val="single" w:sz="4" w:space="0" w:color="auto"/>
              <w:right w:val="single" w:sz="4" w:space="0" w:color="auto"/>
            </w:tcBorders>
            <w:vAlign w:val="center"/>
          </w:tcPr>
          <w:p w14:paraId="756D3A4A" w14:textId="77777777" w:rsidR="00CB2594" w:rsidRPr="007434DA" w:rsidRDefault="00CB2594" w:rsidP="004715B0">
            <w:pPr>
              <w:spacing w:line="240" w:lineRule="atLeast"/>
              <w:ind w:right="216"/>
              <w:jc w:val="center"/>
              <w:rPr>
                <w:rFonts w:eastAsia="Arial"/>
                <w:b/>
                <w:bCs/>
                <w:color w:val="000000" w:themeColor="text1"/>
                <w:sz w:val="20"/>
              </w:rPr>
            </w:pPr>
            <w:r w:rsidRPr="007434DA">
              <w:rPr>
                <w:rFonts w:eastAsia="Arial"/>
                <w:b/>
                <w:bCs/>
                <w:color w:val="000000" w:themeColor="text1"/>
                <w:sz w:val="20"/>
              </w:rPr>
              <w:t>292</w:t>
            </w:r>
          </w:p>
        </w:tc>
        <w:tc>
          <w:tcPr>
            <w:tcW w:w="1252" w:type="dxa"/>
            <w:tcBorders>
              <w:top w:val="single" w:sz="4" w:space="0" w:color="auto"/>
              <w:left w:val="single" w:sz="4" w:space="0" w:color="auto"/>
              <w:bottom w:val="single" w:sz="4" w:space="0" w:color="auto"/>
              <w:right w:val="single" w:sz="4" w:space="0" w:color="auto"/>
            </w:tcBorders>
            <w:vAlign w:val="center"/>
          </w:tcPr>
          <w:p w14:paraId="7A621A9F" w14:textId="77777777" w:rsidR="00CB2594" w:rsidRPr="007434DA" w:rsidRDefault="00CB2594" w:rsidP="004715B0">
            <w:pPr>
              <w:spacing w:line="240" w:lineRule="atLeast"/>
              <w:ind w:right="216"/>
              <w:jc w:val="center"/>
              <w:rPr>
                <w:rFonts w:eastAsia="Arial"/>
                <w:b/>
                <w:bCs/>
                <w:color w:val="000000" w:themeColor="text1"/>
                <w:sz w:val="20"/>
              </w:rPr>
            </w:pPr>
            <w:r w:rsidRPr="007434DA">
              <w:rPr>
                <w:rFonts w:eastAsia="Arial"/>
                <w:b/>
                <w:bCs/>
                <w:color w:val="000000" w:themeColor="text1"/>
                <w:sz w:val="20"/>
              </w:rPr>
              <w:t>279</w:t>
            </w:r>
          </w:p>
        </w:tc>
        <w:tc>
          <w:tcPr>
            <w:tcW w:w="1252" w:type="dxa"/>
            <w:tcBorders>
              <w:top w:val="single" w:sz="4" w:space="0" w:color="auto"/>
              <w:left w:val="single" w:sz="4" w:space="0" w:color="auto"/>
              <w:bottom w:val="single" w:sz="4" w:space="0" w:color="auto"/>
              <w:right w:val="single" w:sz="4" w:space="0" w:color="auto"/>
            </w:tcBorders>
            <w:vAlign w:val="center"/>
          </w:tcPr>
          <w:p w14:paraId="20A43BC7" w14:textId="77777777" w:rsidR="00CB2594" w:rsidRPr="007434DA" w:rsidRDefault="00CB2594" w:rsidP="004715B0">
            <w:pPr>
              <w:spacing w:line="240" w:lineRule="atLeast"/>
              <w:ind w:right="216"/>
              <w:jc w:val="center"/>
              <w:rPr>
                <w:rFonts w:eastAsia="Arial"/>
                <w:b/>
                <w:bCs/>
                <w:color w:val="000000" w:themeColor="text1"/>
                <w:sz w:val="20"/>
              </w:rPr>
            </w:pPr>
            <w:r w:rsidRPr="007434DA">
              <w:rPr>
                <w:rFonts w:eastAsia="Arial"/>
                <w:b/>
                <w:bCs/>
                <w:color w:val="000000" w:themeColor="text1"/>
                <w:sz w:val="20"/>
              </w:rPr>
              <w:t>282</w:t>
            </w:r>
          </w:p>
        </w:tc>
        <w:tc>
          <w:tcPr>
            <w:tcW w:w="1252" w:type="dxa"/>
            <w:tcBorders>
              <w:top w:val="single" w:sz="4" w:space="0" w:color="auto"/>
              <w:left w:val="single" w:sz="4" w:space="0" w:color="auto"/>
              <w:bottom w:val="single" w:sz="4" w:space="0" w:color="auto"/>
              <w:right w:val="double" w:sz="4" w:space="0" w:color="auto"/>
            </w:tcBorders>
            <w:vAlign w:val="center"/>
          </w:tcPr>
          <w:p w14:paraId="5795F810" w14:textId="77777777" w:rsidR="00CB2594" w:rsidRPr="007434DA" w:rsidRDefault="00CB2594" w:rsidP="004715B0">
            <w:pPr>
              <w:spacing w:line="240" w:lineRule="atLeast"/>
              <w:ind w:right="216"/>
              <w:jc w:val="center"/>
              <w:rPr>
                <w:rFonts w:eastAsia="Arial"/>
                <w:b/>
                <w:bCs/>
                <w:color w:val="000000" w:themeColor="text1"/>
                <w:sz w:val="20"/>
              </w:rPr>
            </w:pPr>
            <w:r w:rsidRPr="007434DA">
              <w:rPr>
                <w:rFonts w:eastAsia="Arial"/>
                <w:b/>
                <w:bCs/>
                <w:color w:val="000000" w:themeColor="text1"/>
                <w:sz w:val="20"/>
              </w:rPr>
              <w:t>206</w:t>
            </w:r>
          </w:p>
        </w:tc>
      </w:tr>
      <w:tr w:rsidR="00CB2594" w:rsidRPr="007434DA" w14:paraId="1AA9F5CA" w14:textId="77777777" w:rsidTr="004A57B3">
        <w:trPr>
          <w:trHeight w:val="443"/>
        </w:trPr>
        <w:tc>
          <w:tcPr>
            <w:tcW w:w="1545" w:type="dxa"/>
            <w:tcBorders>
              <w:top w:val="single" w:sz="8" w:space="0" w:color="auto"/>
              <w:left w:val="double" w:sz="4" w:space="0" w:color="auto"/>
              <w:bottom w:val="double" w:sz="4" w:space="0" w:color="auto"/>
              <w:right w:val="single" w:sz="12" w:space="0" w:color="auto"/>
            </w:tcBorders>
            <w:vAlign w:val="center"/>
          </w:tcPr>
          <w:p w14:paraId="3C5C5FBD" w14:textId="77777777" w:rsidR="00CB2594" w:rsidRPr="007434DA" w:rsidRDefault="00CB2594" w:rsidP="004A57B3">
            <w:pPr>
              <w:spacing w:line="240" w:lineRule="atLeast"/>
              <w:rPr>
                <w:rFonts w:eastAsia="Arial"/>
                <w:b/>
                <w:bCs/>
                <w:color w:val="000000" w:themeColor="text1"/>
                <w:sz w:val="20"/>
              </w:rPr>
            </w:pPr>
            <w:r w:rsidRPr="007434DA">
              <w:rPr>
                <w:rFonts w:eastAsia="Arial"/>
                <w:b/>
                <w:bCs/>
                <w:color w:val="000000" w:themeColor="text1"/>
                <w:sz w:val="20"/>
              </w:rPr>
              <w:t>Počet porušení</w:t>
            </w:r>
          </w:p>
        </w:tc>
        <w:tc>
          <w:tcPr>
            <w:tcW w:w="1252" w:type="dxa"/>
            <w:tcBorders>
              <w:top w:val="single" w:sz="4" w:space="0" w:color="auto"/>
              <w:left w:val="single" w:sz="12" w:space="0" w:color="auto"/>
              <w:bottom w:val="double" w:sz="4" w:space="0" w:color="auto"/>
              <w:right w:val="single" w:sz="4" w:space="0" w:color="auto"/>
            </w:tcBorders>
          </w:tcPr>
          <w:p w14:paraId="3ED1B45F" w14:textId="77777777" w:rsidR="00CB2594" w:rsidRPr="007434DA" w:rsidRDefault="00CB2594" w:rsidP="004715B0">
            <w:pPr>
              <w:spacing w:line="240" w:lineRule="atLeast"/>
              <w:ind w:right="215"/>
              <w:jc w:val="center"/>
              <w:rPr>
                <w:rFonts w:eastAsia="Arial"/>
                <w:b/>
                <w:bCs/>
                <w:color w:val="000000" w:themeColor="text1"/>
                <w:sz w:val="20"/>
              </w:rPr>
            </w:pPr>
            <w:r w:rsidRPr="007434DA">
              <w:rPr>
                <w:color w:val="000000"/>
                <w:sz w:val="20"/>
              </w:rPr>
              <w:t>6</w:t>
            </w:r>
          </w:p>
        </w:tc>
        <w:tc>
          <w:tcPr>
            <w:tcW w:w="1252" w:type="dxa"/>
            <w:tcBorders>
              <w:top w:val="single" w:sz="4" w:space="0" w:color="auto"/>
              <w:left w:val="single" w:sz="4" w:space="0" w:color="auto"/>
              <w:bottom w:val="double" w:sz="4" w:space="0" w:color="auto"/>
              <w:right w:val="single" w:sz="4" w:space="0" w:color="auto"/>
            </w:tcBorders>
          </w:tcPr>
          <w:p w14:paraId="0E016AC5" w14:textId="77777777" w:rsidR="00CB2594" w:rsidRPr="007434DA" w:rsidRDefault="00CB2594" w:rsidP="004715B0">
            <w:pPr>
              <w:spacing w:line="240" w:lineRule="atLeast"/>
              <w:ind w:right="215"/>
              <w:jc w:val="center"/>
              <w:rPr>
                <w:rFonts w:eastAsia="Arial"/>
                <w:b/>
                <w:bCs/>
                <w:color w:val="000000" w:themeColor="text1"/>
                <w:sz w:val="20"/>
              </w:rPr>
            </w:pPr>
            <w:r w:rsidRPr="007434DA">
              <w:rPr>
                <w:color w:val="000000"/>
                <w:sz w:val="20"/>
              </w:rPr>
              <w:t>9</w:t>
            </w:r>
          </w:p>
        </w:tc>
        <w:tc>
          <w:tcPr>
            <w:tcW w:w="1252" w:type="dxa"/>
            <w:tcBorders>
              <w:top w:val="single" w:sz="4" w:space="0" w:color="auto"/>
              <w:left w:val="single" w:sz="4" w:space="0" w:color="auto"/>
              <w:bottom w:val="double" w:sz="4" w:space="0" w:color="auto"/>
              <w:right w:val="single" w:sz="4" w:space="0" w:color="auto"/>
            </w:tcBorders>
          </w:tcPr>
          <w:p w14:paraId="6769BB44" w14:textId="77777777" w:rsidR="00CB2594" w:rsidRPr="007434DA" w:rsidRDefault="00CB2594" w:rsidP="004715B0">
            <w:pPr>
              <w:spacing w:line="240" w:lineRule="atLeast"/>
              <w:ind w:right="215"/>
              <w:jc w:val="center"/>
              <w:rPr>
                <w:rFonts w:eastAsia="Arial"/>
                <w:b/>
                <w:bCs/>
                <w:color w:val="000000" w:themeColor="text1"/>
                <w:sz w:val="20"/>
              </w:rPr>
            </w:pPr>
            <w:r w:rsidRPr="007434DA">
              <w:rPr>
                <w:color w:val="000000"/>
                <w:sz w:val="20"/>
              </w:rPr>
              <w:t>4</w:t>
            </w:r>
          </w:p>
        </w:tc>
        <w:tc>
          <w:tcPr>
            <w:tcW w:w="1252" w:type="dxa"/>
            <w:tcBorders>
              <w:top w:val="single" w:sz="4" w:space="0" w:color="auto"/>
              <w:left w:val="single" w:sz="4" w:space="0" w:color="auto"/>
              <w:bottom w:val="double" w:sz="4" w:space="0" w:color="auto"/>
              <w:right w:val="single" w:sz="4" w:space="0" w:color="auto"/>
            </w:tcBorders>
          </w:tcPr>
          <w:p w14:paraId="5E420647" w14:textId="77777777" w:rsidR="00CB2594" w:rsidRPr="007434DA" w:rsidRDefault="00CB2594" w:rsidP="004715B0">
            <w:pPr>
              <w:spacing w:line="240" w:lineRule="atLeast"/>
              <w:ind w:right="215"/>
              <w:jc w:val="center"/>
              <w:rPr>
                <w:rFonts w:eastAsia="Arial"/>
                <w:b/>
                <w:bCs/>
                <w:color w:val="000000" w:themeColor="text1"/>
                <w:sz w:val="20"/>
              </w:rPr>
            </w:pPr>
            <w:r w:rsidRPr="007434DA">
              <w:rPr>
                <w:color w:val="000000"/>
                <w:sz w:val="20"/>
              </w:rPr>
              <w:t>2</w:t>
            </w:r>
          </w:p>
        </w:tc>
        <w:tc>
          <w:tcPr>
            <w:tcW w:w="1252" w:type="dxa"/>
            <w:tcBorders>
              <w:top w:val="single" w:sz="4" w:space="0" w:color="auto"/>
              <w:left w:val="single" w:sz="4" w:space="0" w:color="auto"/>
              <w:bottom w:val="double" w:sz="4" w:space="0" w:color="auto"/>
              <w:right w:val="single" w:sz="4" w:space="0" w:color="auto"/>
            </w:tcBorders>
          </w:tcPr>
          <w:p w14:paraId="25F7C52F" w14:textId="77777777" w:rsidR="00CB2594" w:rsidRPr="007434DA" w:rsidRDefault="00CB2594" w:rsidP="004715B0">
            <w:pPr>
              <w:spacing w:line="240" w:lineRule="atLeast"/>
              <w:ind w:right="215"/>
              <w:jc w:val="center"/>
              <w:rPr>
                <w:rFonts w:eastAsia="Arial"/>
                <w:b/>
                <w:bCs/>
                <w:color w:val="000000" w:themeColor="text1"/>
                <w:sz w:val="20"/>
              </w:rPr>
            </w:pPr>
            <w:r w:rsidRPr="007434DA">
              <w:rPr>
                <w:color w:val="000000"/>
                <w:sz w:val="20"/>
              </w:rPr>
              <w:t>3</w:t>
            </w:r>
          </w:p>
        </w:tc>
        <w:tc>
          <w:tcPr>
            <w:tcW w:w="1252" w:type="dxa"/>
            <w:tcBorders>
              <w:top w:val="single" w:sz="4" w:space="0" w:color="auto"/>
              <w:left w:val="single" w:sz="4" w:space="0" w:color="auto"/>
              <w:bottom w:val="double" w:sz="4" w:space="0" w:color="auto"/>
              <w:right w:val="double" w:sz="4" w:space="0" w:color="auto"/>
            </w:tcBorders>
          </w:tcPr>
          <w:p w14:paraId="2D546B6D" w14:textId="77777777" w:rsidR="00CB2594" w:rsidRPr="007434DA" w:rsidRDefault="00CB2594" w:rsidP="004715B0">
            <w:pPr>
              <w:spacing w:line="240" w:lineRule="atLeast"/>
              <w:ind w:right="215"/>
              <w:jc w:val="center"/>
              <w:rPr>
                <w:rFonts w:eastAsia="Arial"/>
                <w:b/>
                <w:bCs/>
                <w:color w:val="000000" w:themeColor="text1"/>
                <w:sz w:val="20"/>
              </w:rPr>
            </w:pPr>
            <w:r w:rsidRPr="007434DA">
              <w:rPr>
                <w:color w:val="000000"/>
                <w:sz w:val="20"/>
              </w:rPr>
              <w:t>4</w:t>
            </w:r>
          </w:p>
        </w:tc>
      </w:tr>
    </w:tbl>
    <w:p w14:paraId="0546FAE9" w14:textId="77777777" w:rsidR="00CB2594" w:rsidRPr="007434DA" w:rsidRDefault="00CB2594" w:rsidP="004715B0">
      <w:pPr>
        <w:pStyle w:val="UZEIZdroj"/>
        <w:rPr>
          <w:rFonts w:eastAsia="Arial"/>
          <w:sz w:val="18"/>
          <w:szCs w:val="18"/>
        </w:rPr>
      </w:pPr>
      <w:r w:rsidRPr="007434DA">
        <w:rPr>
          <w:rFonts w:eastAsia="Arial"/>
          <w:sz w:val="18"/>
          <w:szCs w:val="18"/>
        </w:rPr>
        <w:t xml:space="preserve">Pramen: ÚZEI podle SVS - </w:t>
      </w:r>
      <w:r w:rsidRPr="007434DA">
        <w:t>Animal Welfare – Program ochrany zvířat, situace v roce 2015-2020</w:t>
      </w:r>
    </w:p>
    <w:p w14:paraId="25BC2911" w14:textId="0B1BCD81" w:rsidR="00CB2594" w:rsidRPr="007434DA" w:rsidRDefault="004715B0" w:rsidP="004715B0">
      <w:pPr>
        <w:spacing w:after="160" w:line="259" w:lineRule="auto"/>
        <w:jc w:val="left"/>
        <w:rPr>
          <w:rFonts w:ascii="Arial" w:hAnsi="Arial" w:cs="Arial"/>
          <w:sz w:val="20"/>
          <w:szCs w:val="20"/>
          <w:lang w:val="cs-CZ"/>
        </w:rPr>
      </w:pPr>
      <w:r w:rsidRPr="007434DA">
        <w:rPr>
          <w:rFonts w:ascii="Arial" w:hAnsi="Arial" w:cs="Arial"/>
          <w:sz w:val="20"/>
          <w:szCs w:val="20"/>
          <w:lang w:val="cs-CZ"/>
        </w:rPr>
        <w:br w:type="page"/>
      </w:r>
    </w:p>
    <w:p w14:paraId="2003F114" w14:textId="72F48319" w:rsidR="00CB2594" w:rsidRPr="007434DA" w:rsidRDefault="00CB2594" w:rsidP="004715B0">
      <w:pPr>
        <w:pStyle w:val="Nadpis1"/>
      </w:pPr>
      <w:bookmarkStart w:id="360" w:name="_Toc519497852"/>
      <w:bookmarkStart w:id="361" w:name="_Toc520197042"/>
      <w:bookmarkStart w:id="362" w:name="_Toc533068234"/>
      <w:bookmarkStart w:id="363" w:name="_Toc12613458"/>
      <w:bookmarkStart w:id="364" w:name="_Toc80877910"/>
      <w:bookmarkStart w:id="365" w:name="_Toc81755640"/>
      <w:r w:rsidRPr="007434DA">
        <w:t xml:space="preserve">Jak </w:t>
      </w:r>
      <w:r w:rsidR="00DE46DC">
        <w:t>b</w:t>
      </w:r>
      <w:r w:rsidRPr="007434DA">
        <w:t>y se situace vyvíjela bez zavedení příslušných intervencí?</w:t>
      </w:r>
      <w:bookmarkEnd w:id="360"/>
      <w:bookmarkEnd w:id="361"/>
      <w:bookmarkEnd w:id="362"/>
      <w:bookmarkEnd w:id="363"/>
      <w:bookmarkEnd w:id="364"/>
      <w:bookmarkEnd w:id="365"/>
      <w:r w:rsidRPr="007434DA">
        <w:t xml:space="preserve"> </w:t>
      </w:r>
    </w:p>
    <w:p w14:paraId="52445FBC" w14:textId="77777777" w:rsidR="00CB2594" w:rsidRPr="007434DA" w:rsidRDefault="00CB2594" w:rsidP="004715B0">
      <w:pPr>
        <w:pStyle w:val="UZEINormaln"/>
      </w:pPr>
      <w:r w:rsidRPr="007434DA">
        <w:t>Z dotazníkového šetření ÚZEI, které v roce 2017 proběhlo mezi chovateli-žadateli zařazenými do výše zmíněného opatření v rámci PRV 2014-2020, je patrné, že hlavní motivací pro vstup do závazku je dotační podpora. Jako hlavní motiv ji uvedlo více než 87 % respondentů zapojených v dotazníkovém šetření. Po prvotní finanční podpoře je ale více než 70 % dotázaných ochotno plnit podmínky opatření i po ukončení závazku. Jedná se však pouze o tvrzení, které však není v souladu se skutečností, neboť chovatelé nerealizují v současné době další nové závazky v oblasti zlepšení DŽPZ.</w:t>
      </w:r>
    </w:p>
    <w:p w14:paraId="2419967A" w14:textId="77777777" w:rsidR="00CB2594" w:rsidRPr="007434DA" w:rsidRDefault="00CB2594" w:rsidP="004715B0">
      <w:pPr>
        <w:pStyle w:val="UZEINormaln"/>
      </w:pPr>
      <w:r w:rsidRPr="007434DA">
        <w:t xml:space="preserve">Vzhledem k tomu, že každé zlepšení životních podmínek hospodářských zvířat nad zákonnou normu je obvykle spojeno s vyššími náklady neinvestičního nebo i investičního charakteru (např. investice do změny technologií, zařízení stájí apod.), dá se předpokládat, že bez podpory by chovatelé dobrovolně tyto změny nerealizovali. </w:t>
      </w:r>
    </w:p>
    <w:p w14:paraId="6A980713" w14:textId="020ECBCE" w:rsidR="00CB2594" w:rsidRPr="007434DA" w:rsidRDefault="004715B0" w:rsidP="004715B0">
      <w:pPr>
        <w:spacing w:after="160" w:line="259" w:lineRule="auto"/>
        <w:jc w:val="left"/>
        <w:rPr>
          <w:rFonts w:eastAsia="Times New Roman" w:cstheme="minorHAnsi"/>
          <w:szCs w:val="24"/>
          <w:lang w:val="cs-CZ" w:eastAsia="cs-CZ"/>
        </w:rPr>
      </w:pPr>
      <w:r w:rsidRPr="007434DA">
        <w:rPr>
          <w:lang w:val="cs-CZ"/>
        </w:rPr>
        <w:br w:type="page"/>
      </w:r>
    </w:p>
    <w:p w14:paraId="74B90560" w14:textId="50BEBB4E" w:rsidR="00CB2594" w:rsidRPr="007434DA" w:rsidRDefault="00CB2594" w:rsidP="00CB2594">
      <w:pPr>
        <w:pStyle w:val="Nadpis1"/>
      </w:pPr>
      <w:bookmarkStart w:id="366" w:name="_Toc533068235"/>
      <w:bookmarkStart w:id="367" w:name="_Toc12613459"/>
      <w:bookmarkStart w:id="368" w:name="_Toc80877911"/>
      <w:bookmarkStart w:id="369" w:name="_Toc81755641"/>
      <w:r w:rsidRPr="007434DA">
        <w:t>SWOT ANALÝZA</w:t>
      </w:r>
      <w:bookmarkEnd w:id="366"/>
      <w:bookmarkEnd w:id="367"/>
      <w:bookmarkEnd w:id="368"/>
      <w:bookmarkEnd w:id="369"/>
    </w:p>
    <w:p w14:paraId="791018F3" w14:textId="77777777" w:rsidR="00CB2594" w:rsidRPr="007434DA" w:rsidRDefault="00CB2594" w:rsidP="00691321">
      <w:pPr>
        <w:pStyle w:val="UZEINormaln"/>
        <w:rPr>
          <w:b/>
          <w:bCs/>
        </w:rPr>
      </w:pPr>
      <w:r w:rsidRPr="007434DA">
        <w:rPr>
          <w:b/>
          <w:bCs/>
        </w:rPr>
        <w:t>Silné stránky</w:t>
      </w:r>
    </w:p>
    <w:p w14:paraId="799A23D3" w14:textId="71A5D752" w:rsidR="00CB2594" w:rsidRPr="007434DA" w:rsidRDefault="00691321" w:rsidP="00691321">
      <w:pPr>
        <w:pStyle w:val="UZEIOdrky"/>
      </w:pPr>
      <w:r w:rsidRPr="007434DA">
        <w:t xml:space="preserve">S1: </w:t>
      </w:r>
      <w:r w:rsidR="00CB2594" w:rsidRPr="007434DA">
        <w:t>Vysoký podíl krav BTPM z celkového stavu v ČR chovaných v režimu EZ.</w:t>
      </w:r>
    </w:p>
    <w:p w14:paraId="295D581B" w14:textId="388401F6" w:rsidR="00CB2594" w:rsidRPr="007434DA" w:rsidRDefault="00691321" w:rsidP="00691321">
      <w:pPr>
        <w:pStyle w:val="UZEIOdrky"/>
      </w:pPr>
      <w:r w:rsidRPr="007434DA">
        <w:t xml:space="preserve">S2: </w:t>
      </w:r>
      <w:r w:rsidR="00CB2594" w:rsidRPr="007434DA">
        <w:t>Vysoký podíl ovcí a koz chovaných v režimu EZ.</w:t>
      </w:r>
    </w:p>
    <w:p w14:paraId="7D09C06C" w14:textId="3734EB83" w:rsidR="00CB2594" w:rsidRPr="007434DA" w:rsidRDefault="00691321" w:rsidP="00691321">
      <w:pPr>
        <w:pStyle w:val="UZEIOdrky"/>
      </w:pPr>
      <w:r w:rsidRPr="007434DA">
        <w:t xml:space="preserve">S3: </w:t>
      </w:r>
      <w:r w:rsidR="00CB2594" w:rsidRPr="007434DA">
        <w:t>Existence nástrojů politiky (např. systém kontrol podmíněnosti (cross compliance), PRV, poradenský systém).</w:t>
      </w:r>
    </w:p>
    <w:p w14:paraId="7A27ED69" w14:textId="53106D18" w:rsidR="00CB2594" w:rsidRPr="007434DA" w:rsidRDefault="00691321" w:rsidP="00691321">
      <w:pPr>
        <w:pStyle w:val="UZEIOdrky"/>
      </w:pPr>
      <w:r w:rsidRPr="007434DA">
        <w:t xml:space="preserve">S4: </w:t>
      </w:r>
      <w:r w:rsidR="00CB2594" w:rsidRPr="007434DA">
        <w:t>Zájem chovatelů o účast v opatřeních zaměřených na DŽPZ z PRV a v národních dotací.</w:t>
      </w:r>
    </w:p>
    <w:p w14:paraId="68CBD0D9" w14:textId="61321C5F" w:rsidR="00CB2594" w:rsidRPr="007434DA" w:rsidRDefault="00691321" w:rsidP="00691321">
      <w:pPr>
        <w:pStyle w:val="UZEIOdrky"/>
      </w:pPr>
      <w:r w:rsidRPr="007434DA">
        <w:t xml:space="preserve">S5: </w:t>
      </w:r>
      <w:r w:rsidR="00CB2594" w:rsidRPr="007434DA">
        <w:t>Vysoký podíl dojnic zapojených v některých podopatřeních DŽPZ v rámci PRV.</w:t>
      </w:r>
    </w:p>
    <w:p w14:paraId="6E1810D6" w14:textId="69E37B01" w:rsidR="00CB2594" w:rsidRPr="007434DA" w:rsidRDefault="00691321" w:rsidP="00691321">
      <w:pPr>
        <w:pStyle w:val="UZEIOdrky"/>
      </w:pPr>
      <w:r w:rsidRPr="007434DA">
        <w:t xml:space="preserve">S6: </w:t>
      </w:r>
      <w:r w:rsidR="00CB2594" w:rsidRPr="007434DA">
        <w:t>Zapojení zemědělců do režimu jakosti mléka – Q mléko (zahrnující také zapojení do národních podpor na welfare dojnic).</w:t>
      </w:r>
    </w:p>
    <w:p w14:paraId="2C4AD32F" w14:textId="030C73CF" w:rsidR="00CB2594" w:rsidRPr="007434DA" w:rsidRDefault="00691321" w:rsidP="00691321">
      <w:pPr>
        <w:pStyle w:val="UZEIOdrky"/>
      </w:pPr>
      <w:r w:rsidRPr="007434DA">
        <w:t xml:space="preserve">S7: </w:t>
      </w:r>
      <w:r w:rsidR="00CB2594" w:rsidRPr="007434DA">
        <w:t>Příprava režimů jakosti drůbežího masa spojená s národními podporami v rámci nadstandardního welfare drůbeže.</w:t>
      </w:r>
    </w:p>
    <w:p w14:paraId="4D948C36" w14:textId="45811239" w:rsidR="00CB2594" w:rsidRPr="007434DA" w:rsidRDefault="00691321" w:rsidP="00691321">
      <w:pPr>
        <w:pStyle w:val="UZEIOdrky"/>
      </w:pPr>
      <w:r w:rsidRPr="007434DA">
        <w:t xml:space="preserve">S8: </w:t>
      </w:r>
      <w:r w:rsidR="00CB2594" w:rsidRPr="007434DA">
        <w:t>Zkušenosti z ekologického zemědělství (značka BIO – znalosti o produkci, vývoji produkce a spotřeby).</w:t>
      </w:r>
    </w:p>
    <w:p w14:paraId="56D3E129" w14:textId="1A9257BA" w:rsidR="00CB2594" w:rsidRPr="007434DA" w:rsidRDefault="00691321" w:rsidP="00691321">
      <w:pPr>
        <w:pStyle w:val="UZEIOdrky"/>
      </w:pPr>
      <w:r w:rsidRPr="007434DA">
        <w:t xml:space="preserve">S9: </w:t>
      </w:r>
      <w:r w:rsidR="00CB2594" w:rsidRPr="007434DA">
        <w:t>U hlavních kategorií zvířat – dojnice, prasnice, prasničky a selata po odstavu jsou k dispozici některé údaje o welfare v českých chovech (v rozsahu dotazníku ÚZEI z let 2016 a 2017).</w:t>
      </w:r>
      <w:r w:rsidR="00CB2594" w:rsidRPr="007434DA" w:rsidDel="001D0402">
        <w:t xml:space="preserve"> </w:t>
      </w:r>
    </w:p>
    <w:p w14:paraId="37A90C37" w14:textId="316E42BB" w:rsidR="00CB2594" w:rsidRPr="007434DA" w:rsidRDefault="00691321" w:rsidP="00691321">
      <w:pPr>
        <w:pStyle w:val="UZEIOdrky"/>
      </w:pPr>
      <w:r w:rsidRPr="007434DA">
        <w:t xml:space="preserve">S10: </w:t>
      </w:r>
      <w:r w:rsidR="00CB2594" w:rsidRPr="007434DA">
        <w:t>Připravenost (ochota) chovatelů a jejich svazů soustředit se na konkrétní problém či další možnost zlepšení životních podmínek zvířat v chovech.</w:t>
      </w:r>
    </w:p>
    <w:p w14:paraId="6B466043" w14:textId="77777777" w:rsidR="00CB2594" w:rsidRPr="007434DA" w:rsidRDefault="00CB2594" w:rsidP="00691321">
      <w:pPr>
        <w:pStyle w:val="UZEIOdrky"/>
        <w:numPr>
          <w:ilvl w:val="0"/>
          <w:numId w:val="0"/>
        </w:numPr>
        <w:rPr>
          <w:b/>
          <w:bCs/>
        </w:rPr>
      </w:pPr>
      <w:r w:rsidRPr="007434DA">
        <w:rPr>
          <w:b/>
          <w:bCs/>
        </w:rPr>
        <w:t>Slabé stránky</w:t>
      </w:r>
    </w:p>
    <w:p w14:paraId="05E7D2B8" w14:textId="7BF2D480" w:rsidR="00CB2594" w:rsidRPr="007434DA" w:rsidRDefault="00691321" w:rsidP="00691321">
      <w:pPr>
        <w:pStyle w:val="UZEIOdrky"/>
      </w:pPr>
      <w:r w:rsidRPr="007434DA">
        <w:t xml:space="preserve">W1: </w:t>
      </w:r>
      <w:r w:rsidR="00CB2594" w:rsidRPr="007434DA">
        <w:t xml:space="preserve">Vysoká koncentrace zvířat ve stájích dojnic, prasat a drůbeže. Zvířata podléhají většímu stresu, je zhoršená individuální kontrola zvířat a individuální nadstandardní péče o zvířata. </w:t>
      </w:r>
    </w:p>
    <w:p w14:paraId="298B915F" w14:textId="1690BAB5" w:rsidR="00CB2594" w:rsidRPr="007434DA" w:rsidRDefault="00691321" w:rsidP="00691321">
      <w:pPr>
        <w:pStyle w:val="UZEIOdrky"/>
      </w:pPr>
      <w:r w:rsidRPr="007434DA">
        <w:t xml:space="preserve">W2: </w:t>
      </w:r>
      <w:r w:rsidR="00CB2594" w:rsidRPr="007434DA">
        <w:t>Vysoký podíl nosnic chovaný v klecích v porovnání s chovatelsky vyspělými zeměmi EU.</w:t>
      </w:r>
    </w:p>
    <w:p w14:paraId="6A54A9A6" w14:textId="3F42DC6D" w:rsidR="00CB2594" w:rsidRPr="007434DA" w:rsidRDefault="00691321" w:rsidP="00691321">
      <w:pPr>
        <w:pStyle w:val="UZEIOdrky"/>
      </w:pPr>
      <w:r w:rsidRPr="007434DA">
        <w:t xml:space="preserve">W3: </w:t>
      </w:r>
      <w:r w:rsidR="00CB2594" w:rsidRPr="007434DA">
        <w:t xml:space="preserve">Vysoký podíl prasnic ustájených v období 5-10 dní před a 4 týdny po porodu v individuálních klecích. </w:t>
      </w:r>
    </w:p>
    <w:p w14:paraId="4CFD31BA" w14:textId="2A9ADD6A" w:rsidR="00CB2594" w:rsidRPr="007434DA" w:rsidRDefault="00691321" w:rsidP="00691321">
      <w:pPr>
        <w:pStyle w:val="UZEIOdrky"/>
      </w:pPr>
      <w:r w:rsidRPr="007434DA">
        <w:t xml:space="preserve">W4: </w:t>
      </w:r>
      <w:r w:rsidR="00CB2594" w:rsidRPr="007434DA">
        <w:t>Stále se vyskytují chovy využívající vazné ustájení dojnic či jalovic.</w:t>
      </w:r>
    </w:p>
    <w:p w14:paraId="2869800B" w14:textId="3A50FB77" w:rsidR="00CB2594" w:rsidRPr="007434DA" w:rsidRDefault="00691321" w:rsidP="00691321">
      <w:pPr>
        <w:pStyle w:val="UZEIOdrky"/>
        <w:rPr>
          <w:color w:val="000000" w:themeColor="text1"/>
        </w:rPr>
      </w:pPr>
      <w:r w:rsidRPr="007434DA">
        <w:rPr>
          <w:color w:val="000000" w:themeColor="text1"/>
        </w:rPr>
        <w:t xml:space="preserve">W5: </w:t>
      </w:r>
      <w:r w:rsidR="00CB2594" w:rsidRPr="007434DA">
        <w:rPr>
          <w:color w:val="000000" w:themeColor="text1"/>
        </w:rPr>
        <w:t>Nedostatečný welfare v chovu telat a selat (kastrace selat a odrohování telat bez anestezie).</w:t>
      </w:r>
    </w:p>
    <w:p w14:paraId="7261E6CE" w14:textId="3B3FE5EF" w:rsidR="00CB2594" w:rsidRPr="007434DA" w:rsidRDefault="00691321" w:rsidP="00691321">
      <w:pPr>
        <w:pStyle w:val="UZEIOdrky"/>
        <w:rPr>
          <w:color w:val="000000" w:themeColor="text1"/>
        </w:rPr>
      </w:pPr>
      <w:r w:rsidRPr="007434DA">
        <w:rPr>
          <w:color w:val="000000" w:themeColor="text1"/>
        </w:rPr>
        <w:t xml:space="preserve">W6: </w:t>
      </w:r>
      <w:r w:rsidR="00CB2594" w:rsidRPr="007434DA">
        <w:rPr>
          <w:color w:val="000000" w:themeColor="text1"/>
        </w:rPr>
        <w:t>Nedostatečná chovatelská péče u telat a selat (pozornost otázek nadstandardního welfare se soustřeďuje především na hlavní kategorie zvířat, tj. dojnice, prasnice, ostatní kategorie jako telata, jalovice, výkrm býků jsou opomíjeny).</w:t>
      </w:r>
    </w:p>
    <w:p w14:paraId="30E0719C" w14:textId="701101A4" w:rsidR="00CB2594" w:rsidRPr="007434DA" w:rsidRDefault="00691321" w:rsidP="00691321">
      <w:pPr>
        <w:pStyle w:val="UZEIOdrky"/>
        <w:rPr>
          <w:color w:val="000000" w:themeColor="text1"/>
        </w:rPr>
      </w:pPr>
      <w:r w:rsidRPr="007434DA">
        <w:rPr>
          <w:color w:val="000000" w:themeColor="text1"/>
        </w:rPr>
        <w:t xml:space="preserve">W7: </w:t>
      </w:r>
      <w:r w:rsidR="00CB2594" w:rsidRPr="007434DA">
        <w:rPr>
          <w:color w:val="000000" w:themeColor="text1"/>
        </w:rPr>
        <w:t>Neexistuje označení výrobků (kromě potravin z BIO chovů a vajec) spojených s vyšším standardem chovu a garancí kvality (není propojení prvovýrobce - zpracovatel – obchod - spotřebitel).</w:t>
      </w:r>
    </w:p>
    <w:p w14:paraId="2D73426B" w14:textId="5E511879" w:rsidR="00CB2594" w:rsidRPr="007434DA" w:rsidRDefault="00691321" w:rsidP="00691321">
      <w:pPr>
        <w:pStyle w:val="UZEIOdrky"/>
        <w:rPr>
          <w:color w:val="000000" w:themeColor="text1"/>
        </w:rPr>
      </w:pPr>
      <w:r w:rsidRPr="007434DA">
        <w:rPr>
          <w:color w:val="000000" w:themeColor="text1"/>
        </w:rPr>
        <w:t xml:space="preserve">W8: </w:t>
      </w:r>
      <w:r w:rsidR="00CB2594" w:rsidRPr="007434DA">
        <w:rPr>
          <w:color w:val="000000" w:themeColor="text1"/>
        </w:rPr>
        <w:t>Velmi nízký podíl značky BIO v produkci hlavních živočišných komodit v Česku.</w:t>
      </w:r>
    </w:p>
    <w:p w14:paraId="39C7C70E" w14:textId="392B3C9D" w:rsidR="00CB2594" w:rsidRPr="007434DA" w:rsidRDefault="00691321" w:rsidP="00691321">
      <w:pPr>
        <w:pStyle w:val="UZEIOdrky"/>
        <w:rPr>
          <w:color w:val="000000" w:themeColor="text1"/>
        </w:rPr>
      </w:pPr>
      <w:r w:rsidRPr="007434DA">
        <w:rPr>
          <w:color w:val="000000" w:themeColor="text1"/>
        </w:rPr>
        <w:t xml:space="preserve">W9: </w:t>
      </w:r>
      <w:r w:rsidR="00CB2594" w:rsidRPr="007434DA">
        <w:rPr>
          <w:color w:val="000000" w:themeColor="text1"/>
        </w:rPr>
        <w:t>Neexistence systematického sledování potřebných údajů – jaké jsou problémy související s DŽPZ v jednotlivých obdobích života u jednotlivých kategorií hospodářských zvířat – skot (např. odstav telat, výkrm býků, odchov jalovic, KBTPM), prasata (selata) – běžné je zjišťování výchozích údajů zpětně.</w:t>
      </w:r>
    </w:p>
    <w:p w14:paraId="402C492A" w14:textId="420399E7" w:rsidR="00CB2594" w:rsidRPr="007434DA" w:rsidRDefault="00691321" w:rsidP="00691321">
      <w:pPr>
        <w:pStyle w:val="UZEIOdrky"/>
        <w:rPr>
          <w:color w:val="000000" w:themeColor="text1"/>
        </w:rPr>
      </w:pPr>
      <w:r w:rsidRPr="007434DA">
        <w:rPr>
          <w:color w:val="000000" w:themeColor="text1"/>
        </w:rPr>
        <w:t xml:space="preserve">W10: </w:t>
      </w:r>
      <w:r w:rsidR="00CB2594" w:rsidRPr="007434DA">
        <w:rPr>
          <w:color w:val="000000" w:themeColor="text1"/>
        </w:rPr>
        <w:t xml:space="preserve">Ve chybí ucelený přehled o běžné praxi technologie a techniky v chovech zvířat jako východiska pro neplacený základ (zastoupení technologií v chovech, možnosti technologií pro zlepšení DŽPZ, rezervy v chovech pro zlepšení DŽPZ). </w:t>
      </w:r>
    </w:p>
    <w:p w14:paraId="7DFFAB5E" w14:textId="3154EBAB" w:rsidR="00CB2594" w:rsidRPr="007434DA" w:rsidRDefault="00691321" w:rsidP="00691321">
      <w:pPr>
        <w:pStyle w:val="UZEIOdrky"/>
        <w:rPr>
          <w:color w:val="000000" w:themeColor="text1"/>
        </w:rPr>
      </w:pPr>
      <w:r w:rsidRPr="007434DA">
        <w:rPr>
          <w:color w:val="000000" w:themeColor="text1"/>
        </w:rPr>
        <w:t xml:space="preserve">W11: </w:t>
      </w:r>
      <w:r w:rsidR="00CB2594" w:rsidRPr="007434DA">
        <w:rPr>
          <w:color w:val="000000" w:themeColor="text1"/>
        </w:rPr>
        <w:t>Nedostatečná odborná a marketingová osvěta týkající se problematiky DŽPZ ve vztahu k spotřebiteli – souvisí s neexistující nabídkou potravin pocházející od nadstandardně chovaných zvířat.</w:t>
      </w:r>
    </w:p>
    <w:p w14:paraId="545E308E" w14:textId="02135C17" w:rsidR="00CB2594" w:rsidRPr="007434DA" w:rsidRDefault="00691321" w:rsidP="00691321">
      <w:pPr>
        <w:pStyle w:val="UZEIOdrky"/>
        <w:rPr>
          <w:color w:val="000000" w:themeColor="text1"/>
        </w:rPr>
      </w:pPr>
      <w:r w:rsidRPr="007434DA">
        <w:rPr>
          <w:color w:val="000000" w:themeColor="text1"/>
        </w:rPr>
        <w:t xml:space="preserve">W12: </w:t>
      </w:r>
      <w:r w:rsidR="00CB2594" w:rsidRPr="007434DA">
        <w:rPr>
          <w:color w:val="000000" w:themeColor="text1"/>
        </w:rPr>
        <w:t xml:space="preserve">Není dostatečné poradenství chovatelům v oboru DŽPZ – netýká se jen problematiky plnění podmínek zavedených opatření, ale poradenství obecně ve vztahu k DŽPZ - zdravotní přínosy, přínos užitkovosti, nové trendy v EU atd. Tato skutečnost se odráží i v plnění podmínek již zavedených intervencí cílených na DŽPZ. Například titul „Zlepšení stájového prostředí v chovu dojnic“ nabízí žadateli možnost zvolit chemickou či biologickou metodu eliminace nežádoucího hmyzu, přičemž biologickou metodu (tj. dravé mouchy či vosičky) volí jen velmi nízké procento žadatelů. </w:t>
      </w:r>
    </w:p>
    <w:p w14:paraId="3C7997B8" w14:textId="6B1EEC9E" w:rsidR="00CB2594" w:rsidRPr="007434DA" w:rsidRDefault="00691321" w:rsidP="00691321">
      <w:pPr>
        <w:pStyle w:val="UZEIOdrky"/>
        <w:rPr>
          <w:color w:val="000000" w:themeColor="text1"/>
        </w:rPr>
      </w:pPr>
      <w:r w:rsidRPr="007434DA">
        <w:rPr>
          <w:color w:val="000000" w:themeColor="text1"/>
        </w:rPr>
        <w:t xml:space="preserve">W13: </w:t>
      </w:r>
      <w:r w:rsidR="00CB2594" w:rsidRPr="007434DA">
        <w:rPr>
          <w:color w:val="000000" w:themeColor="text1"/>
        </w:rPr>
        <w:t>Nedostatečné propojení výzkumu v jednotlivých oborech ve vztahu k DŽPZ (existuje řada dílčích výzkumů z pohledu zootechnického, etologického, veterinárního, ekonomického, ale chybí komplexní propojení, ze kterého by byl pro chovatele zřejmý ekonomický přínos zlepšení životních podmínek zvířat v chovech).</w:t>
      </w:r>
    </w:p>
    <w:p w14:paraId="6212F345" w14:textId="16B1D0A5" w:rsidR="00CB2594" w:rsidRPr="007434DA" w:rsidRDefault="00691321" w:rsidP="00691321">
      <w:pPr>
        <w:pStyle w:val="UZEIOdrky"/>
      </w:pPr>
      <w:r w:rsidRPr="007434DA">
        <w:rPr>
          <w:color w:val="000000" w:themeColor="text1"/>
        </w:rPr>
        <w:t xml:space="preserve">W14: </w:t>
      </w:r>
      <w:r w:rsidR="00CB2594" w:rsidRPr="007434DA">
        <w:rPr>
          <w:color w:val="000000" w:themeColor="text1"/>
        </w:rPr>
        <w:t>Není řešeno provázání dodržování vyšších standardů DŽPZ s</w:t>
      </w:r>
      <w:r w:rsidR="00757556" w:rsidRPr="007434DA">
        <w:rPr>
          <w:color w:val="000000" w:themeColor="text1"/>
        </w:rPr>
        <w:t> </w:t>
      </w:r>
      <w:r w:rsidR="00CB2594" w:rsidRPr="007434DA">
        <w:rPr>
          <w:color w:val="000000" w:themeColor="text1"/>
        </w:rPr>
        <w:t>následnou přepravou zvířat na jatka a manipulací při porážce (standard při přepravě zvířat nebo zacházení na jatkách u zvířat pocházejícíc</w:t>
      </w:r>
      <w:r w:rsidR="00CB2594" w:rsidRPr="007434DA">
        <w:t>h z</w:t>
      </w:r>
      <w:r w:rsidR="00757556" w:rsidRPr="007434DA">
        <w:t> </w:t>
      </w:r>
      <w:r w:rsidR="00CB2594" w:rsidRPr="007434DA">
        <w:t>chovů s</w:t>
      </w:r>
      <w:r w:rsidR="00757556" w:rsidRPr="007434DA">
        <w:t> </w:t>
      </w:r>
      <w:r w:rsidR="00CB2594" w:rsidRPr="007434DA">
        <w:t>vyšším standardem DŽPZ by měl být nad úrovní běžné legislativy, jinak degraduje výsledný produkt; probíhají kontroly v</w:t>
      </w:r>
      <w:r w:rsidR="00757556" w:rsidRPr="007434DA">
        <w:t> </w:t>
      </w:r>
      <w:r w:rsidR="00CB2594" w:rsidRPr="007434DA">
        <w:t xml:space="preserve">režii SVS). </w:t>
      </w:r>
    </w:p>
    <w:p w14:paraId="0C0B8BC4" w14:textId="77777777" w:rsidR="00CB2594" w:rsidRPr="007434DA" w:rsidRDefault="00CB2594" w:rsidP="00757556">
      <w:pPr>
        <w:pStyle w:val="UZEINormaln"/>
        <w:rPr>
          <w:b/>
          <w:bCs/>
        </w:rPr>
      </w:pPr>
      <w:r w:rsidRPr="007434DA">
        <w:rPr>
          <w:b/>
          <w:bCs/>
        </w:rPr>
        <w:t>Příležitosti</w:t>
      </w:r>
    </w:p>
    <w:p w14:paraId="31FD8EAF" w14:textId="27F7002D" w:rsidR="00CB2594" w:rsidRPr="007434DA" w:rsidRDefault="00757556" w:rsidP="00691321">
      <w:pPr>
        <w:pStyle w:val="UZEIOdrky"/>
      </w:pPr>
      <w:r w:rsidRPr="007434DA">
        <w:t>O</w:t>
      </w:r>
      <w:r w:rsidRPr="007434DA">
        <w:rPr>
          <w:color w:val="000000" w:themeColor="text1"/>
        </w:rPr>
        <w:t xml:space="preserve">1: </w:t>
      </w:r>
      <w:r w:rsidR="00CB2594" w:rsidRPr="007434DA">
        <w:t>Rostoucí kupní síla spotřebitelů (16 % výdajů domácností je na potraviny) – prostor pro poptávku po potravinách s vyšší přidanou hodnotou.</w:t>
      </w:r>
    </w:p>
    <w:p w14:paraId="6757970E" w14:textId="4462E1F2" w:rsidR="00CB2594" w:rsidRPr="007434DA" w:rsidRDefault="00757556" w:rsidP="00691321">
      <w:pPr>
        <w:pStyle w:val="UZEIOdrky"/>
      </w:pPr>
      <w:r w:rsidRPr="007434DA">
        <w:t xml:space="preserve">O2: </w:t>
      </w:r>
      <w:r w:rsidR="00CB2594" w:rsidRPr="007434DA">
        <w:t>Ochota spotřebitele zaplatit odpovídající cenu (pokud spotřebitel má informaci o původu, kvalitě a důvěřuje produktu) – zatím pouze vejce a bioprodukty.</w:t>
      </w:r>
    </w:p>
    <w:p w14:paraId="264AD8DE" w14:textId="2C6FFB95" w:rsidR="00CB2594" w:rsidRPr="007434DA" w:rsidRDefault="00757556" w:rsidP="00691321">
      <w:pPr>
        <w:pStyle w:val="UZEIOdrky"/>
      </w:pPr>
      <w:r w:rsidRPr="007434DA">
        <w:t xml:space="preserve">O3: </w:t>
      </w:r>
      <w:r w:rsidR="00CB2594" w:rsidRPr="007434DA">
        <w:t>Tlak nevládních organizací zabývajících se ochranou zvířat na další zlepšování kvality života hospodářských zvířat.</w:t>
      </w:r>
    </w:p>
    <w:p w14:paraId="206E7BE4" w14:textId="3F83BF78" w:rsidR="00CB2594" w:rsidRPr="007434DA" w:rsidRDefault="00757556" w:rsidP="00691321">
      <w:pPr>
        <w:pStyle w:val="UZEIOdrky"/>
      </w:pPr>
      <w:r w:rsidRPr="007434DA">
        <w:t xml:space="preserve">O4: </w:t>
      </w:r>
      <w:r w:rsidR="00CB2594" w:rsidRPr="007434DA">
        <w:t>Zájem médií a části veřejnosti o kvalitu života hospodářských zvířat.</w:t>
      </w:r>
    </w:p>
    <w:p w14:paraId="499398FE" w14:textId="104C1AAD" w:rsidR="00CB2594" w:rsidRPr="007434DA" w:rsidRDefault="00757556" w:rsidP="00691321">
      <w:pPr>
        <w:pStyle w:val="UZEIOdrky"/>
      </w:pPr>
      <w:r w:rsidRPr="007434DA">
        <w:t xml:space="preserve">O5: </w:t>
      </w:r>
      <w:r w:rsidR="00CB2594" w:rsidRPr="007434DA">
        <w:t>Rozvoj nových způsobů odbytu produktů vyrobených v podmínkách s vyšším standardem DŽPZ (krátké dodavatelské řetězce - trhy, prodej ze dvora apod.).</w:t>
      </w:r>
    </w:p>
    <w:p w14:paraId="3E6126D5" w14:textId="3469D6E4" w:rsidR="00CB2594" w:rsidRPr="007434DA" w:rsidRDefault="00757556" w:rsidP="00691321">
      <w:pPr>
        <w:pStyle w:val="UZEIOdrky"/>
      </w:pPr>
      <w:r w:rsidRPr="007434DA">
        <w:t xml:space="preserve">O6: </w:t>
      </w:r>
      <w:r w:rsidR="00CB2594" w:rsidRPr="007434DA">
        <w:t>Narůstající ochota k informovanému a konstruktivnímu dialogu mezi zainteresovanými účastníky (stakeholders: chovatelé a jejich svazy, veřejnost, státní správa, občanská společnost, akademická sféra, média) k otázkám DŽPZ.</w:t>
      </w:r>
    </w:p>
    <w:p w14:paraId="2E3ECDC2" w14:textId="1793CA09" w:rsidR="00CB2594" w:rsidRPr="007434DA" w:rsidRDefault="00757556" w:rsidP="00757556">
      <w:pPr>
        <w:pStyle w:val="UZEIOdrky"/>
      </w:pPr>
      <w:r w:rsidRPr="007434DA">
        <w:t xml:space="preserve">O7: </w:t>
      </w:r>
      <w:r w:rsidR="00CB2594" w:rsidRPr="007434DA">
        <w:t>Lepší informovanost o šíření výsledků výzkumu v oblastech DŽPZ.</w:t>
      </w:r>
    </w:p>
    <w:p w14:paraId="3A684AF1" w14:textId="77777777" w:rsidR="00CB2594" w:rsidRPr="007434DA" w:rsidRDefault="00CB2594" w:rsidP="00757556">
      <w:pPr>
        <w:pStyle w:val="UZEINormaln"/>
        <w:rPr>
          <w:b/>
          <w:bCs/>
        </w:rPr>
      </w:pPr>
      <w:r w:rsidRPr="007434DA">
        <w:rPr>
          <w:b/>
          <w:bCs/>
        </w:rPr>
        <w:t>Rizika</w:t>
      </w:r>
    </w:p>
    <w:p w14:paraId="4E0FD39F" w14:textId="44A4450E" w:rsidR="00CB2594" w:rsidRPr="007434DA" w:rsidRDefault="00757556" w:rsidP="00691321">
      <w:pPr>
        <w:pStyle w:val="UZEIOdrky"/>
      </w:pPr>
      <w:r w:rsidRPr="007434DA">
        <w:t xml:space="preserve">T1: </w:t>
      </w:r>
      <w:r w:rsidR="00CB2594" w:rsidRPr="007434DA">
        <w:t>Neochota NNO akceptovat navržená opatření, požadavek zmírnění podmínek opatření.</w:t>
      </w:r>
    </w:p>
    <w:p w14:paraId="50364CF5" w14:textId="55278559" w:rsidR="00CB2594" w:rsidRPr="007434DA" w:rsidRDefault="00757556" w:rsidP="00691321">
      <w:pPr>
        <w:pStyle w:val="UZEIOdrky"/>
      </w:pPr>
      <w:r w:rsidRPr="007434DA">
        <w:t xml:space="preserve">T2: </w:t>
      </w:r>
      <w:r w:rsidR="00CB2594" w:rsidRPr="007434DA">
        <w:t>Výrobní a marketingovou prioritou velkých producentů a zpracovatelů zůstane především objem výroby a nízké náklady, bez důrazu na přidanou hodnotu.</w:t>
      </w:r>
    </w:p>
    <w:p w14:paraId="4E3336CF" w14:textId="4C3153B5" w:rsidR="00CB2594" w:rsidRPr="007434DA" w:rsidRDefault="00757556" w:rsidP="00691321">
      <w:pPr>
        <w:pStyle w:val="UZEIOdrky"/>
      </w:pPr>
      <w:r w:rsidRPr="007434DA">
        <w:t xml:space="preserve">T3: </w:t>
      </w:r>
      <w:r w:rsidR="00CB2594" w:rsidRPr="007434DA">
        <w:t>Nedůvěra spotřebitele v zemědělskou praxi a značku (původ, kvalita) – problém s identifikací produktů a informovaností spotřebitele.</w:t>
      </w:r>
    </w:p>
    <w:p w14:paraId="1DCA7AF1" w14:textId="50892518" w:rsidR="00CB2594" w:rsidRPr="007434DA" w:rsidRDefault="00757556" w:rsidP="00691321">
      <w:pPr>
        <w:pStyle w:val="UZEIOdrky"/>
      </w:pPr>
      <w:r w:rsidRPr="007434DA">
        <w:t xml:space="preserve">T4: </w:t>
      </w:r>
      <w:r w:rsidR="00CB2594" w:rsidRPr="007434DA">
        <w:t>Změna vládní politiky (změna vládních priorit).</w:t>
      </w:r>
    </w:p>
    <w:p w14:paraId="7BDB3DEC" w14:textId="55CC8AFC" w:rsidR="00CB2594" w:rsidRPr="007434DA" w:rsidRDefault="00757556" w:rsidP="00691321">
      <w:pPr>
        <w:pStyle w:val="UZEIOdrky"/>
      </w:pPr>
      <w:r w:rsidRPr="007434DA">
        <w:t xml:space="preserve">T5: </w:t>
      </w:r>
      <w:r w:rsidR="00CB2594" w:rsidRPr="007434DA">
        <w:t>Zhoršení ekonomické situace spotřebitelů – zhoršující se ochota platit za produkty vyšší kvality.</w:t>
      </w:r>
    </w:p>
    <w:p w14:paraId="24E386CA" w14:textId="038EA328" w:rsidR="00CB2594" w:rsidRPr="007434DA" w:rsidRDefault="00757556" w:rsidP="00691321">
      <w:pPr>
        <w:pStyle w:val="UZEIOdrky"/>
      </w:pPr>
      <w:r w:rsidRPr="007434DA">
        <w:t xml:space="preserve">T6: </w:t>
      </w:r>
      <w:r w:rsidR="00CB2594" w:rsidRPr="007434DA">
        <w:t>Formální dodržování zákonných norem bez faktického dodržování (například v otázce manipulovatelného materiálu pro prasata), a to na národní i evropské úrovni; z toho vzniklá skepse a nedůvěra k opatřením ve prospěch welfare.</w:t>
      </w:r>
    </w:p>
    <w:p w14:paraId="47B6B731" w14:textId="6A30D8AD" w:rsidR="00CB2594" w:rsidRPr="007434DA" w:rsidRDefault="00757556" w:rsidP="00691321">
      <w:pPr>
        <w:pStyle w:val="UZEIOdrky"/>
      </w:pPr>
      <w:r w:rsidRPr="007434DA">
        <w:t xml:space="preserve">T7: </w:t>
      </w:r>
      <w:r w:rsidR="00CB2594" w:rsidRPr="007434DA">
        <w:t>Konkurenční výhoda produktů ze zahraničí, které budou deklarovat nadstandartní kvalitu produktu (od zvířat chovaných v rámci nadstandardních DŽPZ).</w:t>
      </w:r>
    </w:p>
    <w:p w14:paraId="479EBB67" w14:textId="1E9AE5F6" w:rsidR="00CB2594" w:rsidRPr="007434DA" w:rsidRDefault="00757556" w:rsidP="00691321">
      <w:pPr>
        <w:pStyle w:val="UZEIOdrky"/>
      </w:pPr>
      <w:r w:rsidRPr="007434DA">
        <w:t xml:space="preserve">T8: </w:t>
      </w:r>
      <w:r w:rsidR="00CB2594" w:rsidRPr="007434DA">
        <w:t xml:space="preserve">Nedostatek kvalifikované pracovní síly v prvovýrobě. </w:t>
      </w:r>
    </w:p>
    <w:p w14:paraId="2F8827C6" w14:textId="3DC7FF37" w:rsidR="00CB2594" w:rsidRPr="007434DA" w:rsidRDefault="00757556" w:rsidP="00691321">
      <w:pPr>
        <w:pStyle w:val="UZEIOdrky"/>
      </w:pPr>
      <w:r w:rsidRPr="007434DA">
        <w:t xml:space="preserve">T9: </w:t>
      </w:r>
      <w:r w:rsidR="00CB2594" w:rsidRPr="007434DA">
        <w:t>Klesající zájem spotřebitelů o konzumaci některých živočišných produktů (zejména masa).</w:t>
      </w:r>
    </w:p>
    <w:p w14:paraId="156AAA1A" w14:textId="46A452EA" w:rsidR="00CB2594" w:rsidRPr="007434DA" w:rsidRDefault="00757556" w:rsidP="00691321">
      <w:pPr>
        <w:pStyle w:val="UZEIOdrky"/>
      </w:pPr>
      <w:r w:rsidRPr="007434DA">
        <w:t xml:space="preserve">T10: </w:t>
      </w:r>
      <w:r w:rsidR="00CB2594" w:rsidRPr="007434DA">
        <w:t>Stálé se zpřísňující pravidla podmínek dopravy hospodářských zvířat na větší vzdálenosti s důrazem na zlepšení welfare.</w:t>
      </w:r>
    </w:p>
    <w:p w14:paraId="380C72C0" w14:textId="3F8050FB" w:rsidR="00DE46DC" w:rsidRPr="0005469C" w:rsidRDefault="00DE46DC">
      <w:pPr>
        <w:spacing w:after="160" w:line="259" w:lineRule="auto"/>
        <w:jc w:val="left"/>
        <w:rPr>
          <w:lang w:val="cs-CZ"/>
        </w:rPr>
      </w:pPr>
      <w:r w:rsidRPr="0005469C">
        <w:rPr>
          <w:lang w:val="cs-CZ"/>
        </w:rPr>
        <w:br w:type="page"/>
      </w:r>
    </w:p>
    <w:p w14:paraId="5F2A2BC0" w14:textId="695255CC" w:rsidR="00C10026" w:rsidRPr="0005469C" w:rsidRDefault="00DE46DC" w:rsidP="00DE46DC">
      <w:pPr>
        <w:spacing w:line="360" w:lineRule="atLeast"/>
        <w:rPr>
          <w:lang w:val="cs-CZ"/>
        </w:rPr>
      </w:pPr>
      <w:r w:rsidRPr="00FA3A37">
        <w:rPr>
          <w:rFonts w:eastAsiaTheme="majorEastAsia" w:cstheme="majorBidi"/>
          <w:b/>
          <w:caps/>
          <w:color w:val="000000" w:themeColor="text1"/>
          <w:sz w:val="28"/>
          <w:szCs w:val="32"/>
        </w:rPr>
        <w:t>D. Plýtvání potravinami</w:t>
      </w:r>
    </w:p>
    <w:p w14:paraId="0AA62538" w14:textId="77777777" w:rsidR="00DE46DC" w:rsidRPr="00DE46DC" w:rsidRDefault="00DE46DC" w:rsidP="00DE46DC">
      <w:pPr>
        <w:pStyle w:val="UZEINormaln"/>
      </w:pPr>
      <w:r w:rsidRPr="00DE46DC">
        <w:t xml:space="preserve">Komplexně řeší problematiku odpadů Ministerstvo životního prostředí v programu předcházení vzniku odpadů v ČR. </w:t>
      </w:r>
    </w:p>
    <w:p w14:paraId="22EE817B" w14:textId="77777777" w:rsidR="00DE46DC" w:rsidRPr="00DE46DC" w:rsidRDefault="00DE46DC" w:rsidP="00DE46DC">
      <w:pPr>
        <w:pStyle w:val="UZEINormaln"/>
      </w:pPr>
      <w:r w:rsidRPr="00DE46DC">
        <w:t xml:space="preserve">Plýtvání potravinami souvisí s růstem prosperity společnosti a s demografickými změnami, např. zvyšujícím se počtem jednočlenných domácnosti, které vykazují vyšší míru plýtvání potravinami na obyvatele než domácnosti větší, ale i s nízkou informovaností obyvatelstva. Snaha zamezit plýtvání potravinami (mj. i v pohostinství) musí respektovat ochranu zdraví spotřebitelů, ale může i narážet na nároky obchodníků na vzhled potravin a marketingové kampaně podporující nadbytečný nákup (typicky akce 1+1). Obchodní řetězce ve střední Evropě se od roku 2017 zapojují do iniciativy na předcházení plýtvání potravinami a zařazují do prodeje i na první pohled nedokonalé ovoce a zeleninu. </w:t>
      </w:r>
    </w:p>
    <w:p w14:paraId="32E9FEA3" w14:textId="77777777" w:rsidR="00DE46DC" w:rsidRPr="00DE46DC" w:rsidRDefault="00DE46DC" w:rsidP="00DE46DC">
      <w:pPr>
        <w:pStyle w:val="UZEINormaln"/>
      </w:pPr>
      <w:r w:rsidRPr="00DE46DC">
        <w:t xml:space="preserve">Ke snížení potravinového odpadu se snaží přispívat </w:t>
      </w:r>
      <w:r w:rsidRPr="00DE46DC">
        <w:rPr>
          <w:b/>
          <w:bCs/>
        </w:rPr>
        <w:t>Ministerstvo zemědělství</w:t>
      </w:r>
      <w:r w:rsidRPr="00DE46DC">
        <w:t>, např.</w:t>
      </w:r>
    </w:p>
    <w:p w14:paraId="55DA7A78" w14:textId="7A8A7A04" w:rsidR="00DE46DC" w:rsidRPr="00DE46DC" w:rsidRDefault="00DE46DC" w:rsidP="00DE46DC">
      <w:pPr>
        <w:pStyle w:val="UZEINormaln"/>
        <w:numPr>
          <w:ilvl w:val="0"/>
          <w:numId w:val="54"/>
        </w:numPr>
        <w:rPr>
          <w:b/>
          <w:bCs/>
        </w:rPr>
      </w:pPr>
      <w:r w:rsidRPr="00DE46DC">
        <w:rPr>
          <w:b/>
          <w:bCs/>
        </w:rPr>
        <w:t>zavedením povinnosti darovat na charitativní účely neprodané bezpečné potraviny.</w:t>
      </w:r>
    </w:p>
    <w:p w14:paraId="399943D5" w14:textId="77777777" w:rsidR="00DE46DC" w:rsidRPr="00DE46DC" w:rsidRDefault="00DE46DC" w:rsidP="00DE46DC">
      <w:pPr>
        <w:pStyle w:val="UZEINormaln"/>
      </w:pPr>
      <w:r w:rsidRPr="00DE46DC">
        <w:rPr>
          <w:b/>
          <w:bCs/>
        </w:rPr>
        <w:t>V legislativní rovině</w:t>
      </w:r>
      <w:r w:rsidRPr="00DE46DC">
        <w:t xml:space="preserve"> začala od roku 2018 platit povinnost, kterou Ministerstvo zemědělství zakotvilo v novele zákona č. 110/1997 Sb. o potravinách a tabákových výrobcích, v platném znění. </w:t>
      </w:r>
    </w:p>
    <w:p w14:paraId="47CC0DFB" w14:textId="77777777" w:rsidR="00DE46DC" w:rsidRPr="00DE46DC" w:rsidRDefault="00DE46DC" w:rsidP="00DE46DC">
      <w:pPr>
        <w:pStyle w:val="UZEINormaln"/>
      </w:pPr>
      <w:r w:rsidRPr="00DE46DC">
        <w:t>Obchody nad 400 m2 povinně dávají neprodejné, ale stále bezpečné potraviny na charitu. Obecně se jedná o potraviny, u kterých byl zjištěn nějaký nesoulad s potravinovým právem např. z oblasti nedostatků v označování (např. nedodržení minimální velikosti písma), nesplnění kvalitativních parametrů). Do okamžiku, než byla přijata zmíněná novela zákona o potravinách, musely být tyto potraviny staženy z trhu, přeznačeny nebo zlikvidovány apod. V současné době lze díky novele zákona o potravinách potraviny s těmito nedostatky (za stanovených podmínek) dále předávat charitativním nebo humanitárním organizacím. Dále V ČR mohou být potraviny s označením „data minimální trvanlivosti“ („best before“) po překročení tohoto data uváděny na trh, tedy i darovány, za předpokladu, že jsou bezpečné a jsou takto označené.</w:t>
      </w:r>
    </w:p>
    <w:p w14:paraId="7A413A96" w14:textId="77777777" w:rsidR="00DE46DC" w:rsidRPr="00DE46DC" w:rsidRDefault="00DE46DC" w:rsidP="00DE46DC">
      <w:pPr>
        <w:pStyle w:val="UZEINormaln"/>
      </w:pPr>
      <w:r w:rsidRPr="00DE46DC">
        <w:t xml:space="preserve">Kategorii alkoholických nápojů byla ze stávající povinnosti darovat pro uvádění na trh nevyhovující potraviny potřebným vyjmuta zákonem č. 174/2021 Sb., kterým se mění zákon č. 110/1997 Sb., o potravinách a tabákových výrobcích a o změně a doplnění některých souvisejících zákonů, ve znění pozdějších předpisů, a další související zákony. V případě vyjmutí kategorie alkoholických nápojů ze stávající povinnosti darovat pro uvádění na trh nevyhovující potraviny potřebným se jedná pouze o legislativní ukotvení již aplikované praxe a dohody mezi potravinovými bankami a provozovateli potravinářských podniků, kdy alkoholické nápoje nejsou předmětem darování. </w:t>
      </w:r>
    </w:p>
    <w:p w14:paraId="3371759E" w14:textId="77777777" w:rsidR="00DE46DC" w:rsidRPr="00DE46DC" w:rsidRDefault="00DE46DC" w:rsidP="00DE46DC">
      <w:pPr>
        <w:pStyle w:val="UZEINormaln"/>
      </w:pPr>
      <w:r w:rsidRPr="00DE46DC">
        <w:t>Ustanovení § 11 odst. 2 zákona č. 110/1997, ve znění pozdějších předpisů uvádí, že „provozovatel potravinářského podniku, který uvádí na trh potraviny v provozovně s prodejní plochou větší než 400 m2, je povinen potraviny, které nejsou v souladu s požadavky stanovenými tímto zákonem nebo přímo použitelným předpisem Evropské unie upravujícím požadavky na potraviny, ale jsou bezpečné, poskytnout bezplatně neziskové organizaci, která shromažďuje bezplatně potraviny, skladuje a přiděluje je veřejně prospěšným právnickým osobám, které poskytují potravinovou pomoc; tyto neziskové organizace určí ministerstvo rozhodnutím vydaným z moci úřední. Tato povinnost se nevztahuje na nápoje s obsahem alkoholu nad 0,5 % objemových. Potraviny podle věty první musí být následně uváděny na trh pouze bezplatně.“</w:t>
      </w:r>
    </w:p>
    <w:p w14:paraId="22BA023F" w14:textId="77777777" w:rsidR="00DE46DC" w:rsidRPr="00DE46DC" w:rsidRDefault="00DE46DC" w:rsidP="00DE46DC">
      <w:pPr>
        <w:pStyle w:val="UZEINormaln"/>
      </w:pPr>
      <w:r w:rsidRPr="00DE46DC">
        <w:t>Darovat potraviny, které nejsou zcela v souladu s potravinovým právem, mohou samozřejmě i menší obchody. Tuto možnost mají všechny obchody (velké i malé) již od začátku roku 2017.</w:t>
      </w:r>
    </w:p>
    <w:p w14:paraId="54F4E82D" w14:textId="77777777" w:rsidR="00DE46DC" w:rsidRPr="00DE46DC" w:rsidRDefault="00DE46DC" w:rsidP="00DE46DC">
      <w:pPr>
        <w:pStyle w:val="UZEINormaln"/>
        <w:rPr>
          <w:u w:val="single"/>
        </w:rPr>
      </w:pPr>
      <w:r w:rsidRPr="00DE46DC">
        <w:rPr>
          <w:u w:val="single"/>
        </w:rPr>
        <w:t xml:space="preserve">Cílem těchto opatření je omezit plýtvání potravinami a předejít vzniku potravinového odpadu. Dále toto řešení napomáhá poskytování potravin potřebným. Obchodní společnosti za toto zboží nemusí platit náklady na jeho likvidaci, stejně tak je vyřešena problematika odpočtu DPH. </w:t>
      </w:r>
    </w:p>
    <w:p w14:paraId="527BF684" w14:textId="77777777" w:rsidR="00DE46DC" w:rsidRPr="00DE46DC" w:rsidRDefault="00DE46DC" w:rsidP="00DE46DC">
      <w:pPr>
        <w:pStyle w:val="UZEINormaln"/>
      </w:pPr>
      <w:r w:rsidRPr="00DE46DC">
        <w:t>Potravinové banky a Svaz obchodu a cestovního ruchu ve spolupráci s Ministerstvem zemědělství a Státní zemědělskou a potravinářskou inspekcí připravili metodiku pro usnadnění darování potravin v tomto režimu.</w:t>
      </w:r>
    </w:p>
    <w:p w14:paraId="1F6245FB" w14:textId="50A5A034" w:rsidR="00DE46DC" w:rsidRPr="00DE46DC" w:rsidRDefault="00DE46DC" w:rsidP="00DE46DC">
      <w:pPr>
        <w:pStyle w:val="UZEINormaln"/>
        <w:numPr>
          <w:ilvl w:val="0"/>
          <w:numId w:val="54"/>
        </w:numPr>
        <w:rPr>
          <w:b/>
          <w:bCs/>
        </w:rPr>
      </w:pPr>
      <w:r w:rsidRPr="00DE46DC">
        <w:rPr>
          <w:b/>
          <w:bCs/>
        </w:rPr>
        <w:t>finanční podporou prostřednictvím národního dotačního programu 18. určeného pro potravinové banky a charitativní organizace, které tyto potraviny odebírají nebo sběrem dat o potravinovém odpadu napříč jednotlivými články potravinového řetězce.</w:t>
      </w:r>
    </w:p>
    <w:p w14:paraId="1823790A" w14:textId="77777777" w:rsidR="00DE46DC" w:rsidRPr="00DE46DC" w:rsidRDefault="00DE46DC" w:rsidP="00DE46DC">
      <w:pPr>
        <w:pStyle w:val="UZEINormaln"/>
      </w:pPr>
      <w:r w:rsidRPr="00DE46DC">
        <w:t xml:space="preserve">Ministerstvo zemědělství zadalo v roce 2017 pilotní studii UZEI vypracování metodiky statistiky plýtvání v rámci jednotlivých článků potravinového řetězce. Metodika je postavena na doporučené metodice FUSIONS. Získané údaje budou složit k hledání možných řešení vedoucích ke snížení plýtvání potravinami. </w:t>
      </w:r>
    </w:p>
    <w:p w14:paraId="23E739B8" w14:textId="77777777" w:rsidR="00DE46DC" w:rsidRPr="00DE46DC" w:rsidRDefault="00DE46DC" w:rsidP="00DE46DC">
      <w:pPr>
        <w:pStyle w:val="UZEINormaln"/>
      </w:pPr>
      <w:r w:rsidRPr="00DE46DC">
        <w:t xml:space="preserve">V roce 2017 Ústav zemědělské ekonomiky a informací (ÚZEI) zmapoval problematiku potravinového odpadu napříč potravinovým řetězcem při respektování manuálu vytvořeném v rámci projektu Evropské komise FUSIONS. Cílem studie bylo zjistit, zda u vybraných subjektů existuje evidence potravinového odpadu, zda by tento odpad mohl být subjekty odhadnut a zda by subjekty mohly provést jednorázové šetření v této oblasti.  Z výsledků vyplývá, že oslovené subjekty většinou tuto evidenci nevedou, pokud vedou, jedná se zejména o obchodní řetězce, které ale nejsou ochotny data poskytovat z důvodů citlivosti údajů. Fungujícím opatřením snižujícím vznik odpadů z potravin a využívání potravin jsou potravinové banky. Shromažďují zdarma potraviny, skladují a přidělují je humanitárním nebo charitativním organizacím, které poskytují potravinovou pomoc potřebným lidem. Na základě této studie provádí do současnosti monitorování potravinového odpadu s cílem jeho kvantifikace v jednotlivých článcích potravinového řetězce. </w:t>
      </w:r>
    </w:p>
    <w:p w14:paraId="789E0D73" w14:textId="77777777" w:rsidR="00DE46DC" w:rsidRPr="00DE46DC" w:rsidRDefault="00DE46DC" w:rsidP="00DE46DC">
      <w:pPr>
        <w:pStyle w:val="UZEINormaln"/>
      </w:pPr>
      <w:r w:rsidRPr="00DE46DC">
        <w:t xml:space="preserve">Potravinářská komora ČR vytvořila dokument „Programy prevence vzniku odpadů“, který mapuje hospodaření s odpady vznikajícími v potravinářském průmyslu a předcházení vzniku odpadu v jednotlivých společnostech v ČR. </w:t>
      </w:r>
    </w:p>
    <w:p w14:paraId="6276EB2A" w14:textId="77777777" w:rsidR="00DE46DC" w:rsidRPr="00DE46DC" w:rsidRDefault="00DE46DC" w:rsidP="00DE46DC">
      <w:pPr>
        <w:pStyle w:val="UZEINormaln"/>
      </w:pPr>
      <w:r w:rsidRPr="00DE46DC">
        <w:rPr>
          <w:b/>
          <w:bCs/>
        </w:rPr>
        <w:t>Od roku 2016</w:t>
      </w:r>
      <w:r w:rsidRPr="00DE46DC">
        <w:t xml:space="preserve"> je Ministerstvem zemědělství realizován zcela nový dotační program 18 </w:t>
      </w:r>
      <w:r w:rsidRPr="00DE46DC">
        <w:rPr>
          <w:u w:val="single"/>
        </w:rPr>
        <w:t>Podpora činnosti potravinových bank a dalších subjektů s humanitárním zaměřením</w:t>
      </w:r>
      <w:r w:rsidRPr="00DE46DC">
        <w:t xml:space="preserve">. Cílem této podpory je přispět ke snížení plýtvání potravinami a podpořit distribuci potravin lidem na hranici hmotné nouze, kteří jsou bez adekvátního přístupu k základním potravinám. DP 18A je určen pro podporu režijních nákladů (financování pronájmů skladovacích prostor, mzdy…), DP18B je určen na investice (chladící zařízení, police, nákup auta pro svoz darovaných potravin…). Jedná se aktuálně o jediný stabilní zdroj financování Potravinových bank z veřejných zdrojů. </w:t>
      </w:r>
    </w:p>
    <w:p w14:paraId="072883CD" w14:textId="77777777" w:rsidR="00DE46DC" w:rsidRPr="00DE46DC" w:rsidRDefault="00DE46DC" w:rsidP="00DE46DC">
      <w:pPr>
        <w:pStyle w:val="UZEINormaln"/>
      </w:pPr>
      <w:r w:rsidRPr="00DE46DC">
        <w:t>Zdrojem potravin pro potravinové banky jsou zejména potraviny z obchodních řetězců, potraviny darované výrobci a také potraviny z potravinových sbírek. K nárůstu množství potravin darovaných pro potravinové banky přispěla výrazně novela zákona o potravinách, kdy byla obchodníkům s prodejní plochou větší než 400m2 od 1. 1. 2018 dána povinnost aby potraviny, které nesplňují určitá ustanovení potravinového práva, ale jsou stále bezpečné, poskytli bezplatně neziskové organizaci, která shromažďuje bezplatně potraviny, skladuje a přiděluje je humanitárním nebo charitativním organizacím, které poskytují potravinovou pomoc klientům sociálních služeb. Potraviny určené klientům sociálních služeb musí být následně uváděny na trh pouze bezplatně. Díky této povinnosti stouplo výrazně množství potravin, které byly potravinové banky darovány. DP 18 výrazně pomáhá potravinové banky tyto vysoké objemy darovaných potravin distribuovat potřebným skupinám obyvatelstva.</w:t>
      </w:r>
    </w:p>
    <w:p w14:paraId="6224F666" w14:textId="6D85CF16" w:rsidR="00DE46DC" w:rsidRDefault="00DE46DC" w:rsidP="00DE46DC">
      <w:pPr>
        <w:pStyle w:val="UZEINormaln"/>
      </w:pPr>
      <w:r w:rsidRPr="00DE46DC">
        <w:t xml:space="preserve">Podpora v rámci DP 18 představuje dlouhodobě nejvýznamnější a jediný stabilní zdroj financování a představuje cca 70% veškerých příjmů potravinových bank. Kromě sociální stránky, kdy se bezpečné potraviny dostanou zdarma potřebným osobám, tak je zde nepominutelný efekt ekologický, kdy jsou využity potraviny, které by v tržním systému byly z větší části neprodejné a staly by se potravinovým odpadem. </w:t>
      </w:r>
      <w:r w:rsidRPr="00DE46DC">
        <w:rPr>
          <w:b/>
          <w:bCs/>
        </w:rPr>
        <w:t>V roce 2020 došlo k navýšení objemu zachráněných potravin o více jak čtvrtinu oproti roku 2019 a bylo redistribuováno cca 6</w:t>
      </w:r>
      <w:r>
        <w:rPr>
          <w:b/>
          <w:bCs/>
        </w:rPr>
        <w:t xml:space="preserve"> </w:t>
      </w:r>
      <w:r w:rsidRPr="00DE46DC">
        <w:rPr>
          <w:b/>
          <w:bCs/>
        </w:rPr>
        <w:t>300 t potravin.</w:t>
      </w:r>
      <w:r w:rsidRPr="00DE46DC">
        <w:t xml:space="preserve"> Dotační program tak zásadní měrou přispívá k naplňování závazku EU snižovat potravinový odpad a předcházet plýtvání potravinami v rámci celého potravinového řetězce.</w:t>
      </w:r>
    </w:p>
    <w:p w14:paraId="38550546" w14:textId="28190015" w:rsidR="00DE46DC" w:rsidRPr="00DE46DC" w:rsidRDefault="00DE46DC" w:rsidP="00DE46DC">
      <w:pPr>
        <w:pStyle w:val="UZEINormaln"/>
      </w:pPr>
      <w:r w:rsidRPr="00DE46DC">
        <w:t xml:space="preserve">  </w:t>
      </w:r>
    </w:p>
    <w:p w14:paraId="30B811F1" w14:textId="1E905ED0" w:rsidR="00DE46DC" w:rsidRPr="00F92499" w:rsidRDefault="00DE46DC" w:rsidP="00F92499">
      <w:pPr>
        <w:pStyle w:val="UZEITaB"/>
        <w:tabs>
          <w:tab w:val="num" w:pos="360"/>
        </w:tabs>
        <w:ind w:left="1134" w:hanging="1134"/>
      </w:pPr>
      <w:bookmarkStart w:id="370" w:name="_Toc94095295"/>
      <w:r w:rsidRPr="00F92499">
        <w:t>Přehled množství zachráněných potravin a podpory v rámci DP 18</w:t>
      </w:r>
      <w:bookmarkEnd w:id="370"/>
    </w:p>
    <w:tbl>
      <w:tblPr>
        <w:tblpPr w:leftFromText="141" w:rightFromText="141" w:vertAnchor="text" w:horzAnchor="margin" w:tblpY="1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11"/>
        <w:gridCol w:w="618"/>
        <w:gridCol w:w="618"/>
        <w:gridCol w:w="543"/>
        <w:gridCol w:w="560"/>
        <w:gridCol w:w="618"/>
        <w:gridCol w:w="619"/>
        <w:gridCol w:w="620"/>
        <w:gridCol w:w="620"/>
        <w:gridCol w:w="753"/>
        <w:gridCol w:w="781"/>
      </w:tblGrid>
      <w:tr w:rsidR="00DE46DC" w:rsidRPr="00E87DB9" w14:paraId="101AA561" w14:textId="77777777" w:rsidTr="00101E04">
        <w:trPr>
          <w:trHeight w:val="300"/>
        </w:trPr>
        <w:tc>
          <w:tcPr>
            <w:tcW w:w="1222" w:type="pct"/>
            <w:shd w:val="clear" w:color="000000" w:fill="FABF8F"/>
            <w:noWrap/>
            <w:vAlign w:val="bottom"/>
            <w:hideMark/>
          </w:tcPr>
          <w:p w14:paraId="20951748" w14:textId="41515C9F" w:rsidR="00DE46DC" w:rsidRPr="00DE46DC" w:rsidRDefault="00DE46DC" w:rsidP="00DE46DC">
            <w:pPr>
              <w:spacing w:before="120" w:line="271" w:lineRule="auto"/>
              <w:jc w:val="center"/>
              <w:rPr>
                <w:rFonts w:ascii="Arial" w:eastAsia="Times New Roman" w:hAnsi="Arial" w:cs="Arial"/>
                <w:b/>
                <w:bCs/>
                <w:sz w:val="18"/>
                <w:szCs w:val="18"/>
                <w:lang w:eastAsia="cs-CZ"/>
              </w:rPr>
            </w:pPr>
            <w:r>
              <w:rPr>
                <w:rFonts w:ascii="Arial" w:eastAsia="Times New Roman" w:hAnsi="Arial" w:cs="Arial"/>
                <w:b/>
                <w:bCs/>
                <w:sz w:val="18"/>
                <w:szCs w:val="18"/>
                <w:lang w:eastAsia="cs-CZ"/>
              </w:rPr>
              <w:t>R</w:t>
            </w:r>
            <w:r w:rsidRPr="00DE46DC">
              <w:rPr>
                <w:rFonts w:ascii="Arial" w:eastAsia="Times New Roman" w:hAnsi="Arial" w:cs="Arial"/>
                <w:b/>
                <w:bCs/>
                <w:sz w:val="18"/>
                <w:szCs w:val="18"/>
                <w:lang w:eastAsia="cs-CZ"/>
              </w:rPr>
              <w:t>ok</w:t>
            </w:r>
          </w:p>
        </w:tc>
        <w:tc>
          <w:tcPr>
            <w:tcW w:w="371" w:type="pct"/>
            <w:shd w:val="clear" w:color="000000" w:fill="FABF8F"/>
            <w:noWrap/>
            <w:vAlign w:val="bottom"/>
            <w:hideMark/>
          </w:tcPr>
          <w:p w14:paraId="12AAD8A3" w14:textId="77777777" w:rsidR="00DE46DC" w:rsidRPr="00DE46DC" w:rsidRDefault="00DE46DC" w:rsidP="00101E04">
            <w:pPr>
              <w:spacing w:before="120" w:line="271" w:lineRule="auto"/>
              <w:jc w:val="center"/>
              <w:rPr>
                <w:rFonts w:ascii="Arial" w:eastAsia="Times New Roman" w:hAnsi="Arial" w:cs="Arial"/>
                <w:b/>
                <w:bCs/>
                <w:sz w:val="18"/>
                <w:szCs w:val="18"/>
                <w:lang w:eastAsia="cs-CZ"/>
              </w:rPr>
            </w:pPr>
            <w:r w:rsidRPr="00DE46DC">
              <w:rPr>
                <w:rFonts w:ascii="Arial" w:eastAsia="Times New Roman" w:hAnsi="Arial" w:cs="Arial"/>
                <w:b/>
                <w:bCs/>
                <w:sz w:val="18"/>
                <w:szCs w:val="18"/>
                <w:lang w:eastAsia="cs-CZ"/>
              </w:rPr>
              <w:t>2012</w:t>
            </w:r>
          </w:p>
        </w:tc>
        <w:tc>
          <w:tcPr>
            <w:tcW w:w="371" w:type="pct"/>
            <w:shd w:val="clear" w:color="000000" w:fill="FABF8F"/>
            <w:noWrap/>
            <w:vAlign w:val="bottom"/>
            <w:hideMark/>
          </w:tcPr>
          <w:p w14:paraId="3F459086" w14:textId="77777777" w:rsidR="00DE46DC" w:rsidRPr="00DE46DC" w:rsidRDefault="00DE46DC" w:rsidP="00101E04">
            <w:pPr>
              <w:spacing w:before="120" w:line="271" w:lineRule="auto"/>
              <w:jc w:val="center"/>
              <w:rPr>
                <w:rFonts w:ascii="Arial" w:eastAsia="Times New Roman" w:hAnsi="Arial" w:cs="Arial"/>
                <w:b/>
                <w:bCs/>
                <w:sz w:val="18"/>
                <w:szCs w:val="18"/>
                <w:lang w:eastAsia="cs-CZ"/>
              </w:rPr>
            </w:pPr>
            <w:r w:rsidRPr="00DE46DC">
              <w:rPr>
                <w:rFonts w:ascii="Arial" w:eastAsia="Times New Roman" w:hAnsi="Arial" w:cs="Arial"/>
                <w:b/>
                <w:bCs/>
                <w:sz w:val="18"/>
                <w:szCs w:val="18"/>
                <w:lang w:eastAsia="cs-CZ"/>
              </w:rPr>
              <w:t>2013</w:t>
            </w:r>
          </w:p>
        </w:tc>
        <w:tc>
          <w:tcPr>
            <w:tcW w:w="329" w:type="pct"/>
            <w:shd w:val="clear" w:color="000000" w:fill="FABF8F"/>
            <w:noWrap/>
            <w:vAlign w:val="bottom"/>
            <w:hideMark/>
          </w:tcPr>
          <w:p w14:paraId="6AC63E11" w14:textId="77777777" w:rsidR="00DE46DC" w:rsidRPr="00DE46DC" w:rsidRDefault="00DE46DC" w:rsidP="00101E04">
            <w:pPr>
              <w:spacing w:before="120" w:line="271" w:lineRule="auto"/>
              <w:jc w:val="center"/>
              <w:rPr>
                <w:rFonts w:ascii="Arial" w:eastAsia="Times New Roman" w:hAnsi="Arial" w:cs="Arial"/>
                <w:b/>
                <w:bCs/>
                <w:sz w:val="18"/>
                <w:szCs w:val="18"/>
                <w:lang w:eastAsia="cs-CZ"/>
              </w:rPr>
            </w:pPr>
            <w:r w:rsidRPr="00DE46DC">
              <w:rPr>
                <w:rFonts w:ascii="Arial" w:eastAsia="Times New Roman" w:hAnsi="Arial" w:cs="Arial"/>
                <w:b/>
                <w:bCs/>
                <w:sz w:val="18"/>
                <w:szCs w:val="18"/>
                <w:lang w:eastAsia="cs-CZ"/>
              </w:rPr>
              <w:t>2014</w:t>
            </w:r>
          </w:p>
        </w:tc>
        <w:tc>
          <w:tcPr>
            <w:tcW w:w="338" w:type="pct"/>
            <w:shd w:val="clear" w:color="000000" w:fill="FABF8F"/>
            <w:noWrap/>
            <w:vAlign w:val="bottom"/>
            <w:hideMark/>
          </w:tcPr>
          <w:p w14:paraId="524806C3" w14:textId="77777777" w:rsidR="00DE46DC" w:rsidRPr="00DE46DC" w:rsidRDefault="00DE46DC" w:rsidP="00101E04">
            <w:pPr>
              <w:spacing w:before="120" w:line="271" w:lineRule="auto"/>
              <w:jc w:val="center"/>
              <w:rPr>
                <w:rFonts w:ascii="Arial" w:eastAsia="Times New Roman" w:hAnsi="Arial" w:cs="Arial"/>
                <w:b/>
                <w:bCs/>
                <w:sz w:val="18"/>
                <w:szCs w:val="18"/>
                <w:lang w:eastAsia="cs-CZ"/>
              </w:rPr>
            </w:pPr>
            <w:r w:rsidRPr="00DE46DC">
              <w:rPr>
                <w:rFonts w:ascii="Arial" w:eastAsia="Times New Roman" w:hAnsi="Arial" w:cs="Arial"/>
                <w:b/>
                <w:bCs/>
                <w:sz w:val="18"/>
                <w:szCs w:val="18"/>
                <w:lang w:eastAsia="cs-CZ"/>
              </w:rPr>
              <w:t>2015</w:t>
            </w:r>
          </w:p>
        </w:tc>
        <w:tc>
          <w:tcPr>
            <w:tcW w:w="370" w:type="pct"/>
            <w:shd w:val="clear" w:color="000000" w:fill="FABF8F"/>
            <w:noWrap/>
            <w:vAlign w:val="bottom"/>
            <w:hideMark/>
          </w:tcPr>
          <w:p w14:paraId="303858F5" w14:textId="77777777" w:rsidR="00DE46DC" w:rsidRPr="00DE46DC" w:rsidRDefault="00DE46DC" w:rsidP="00101E04">
            <w:pPr>
              <w:spacing w:before="120" w:line="271" w:lineRule="auto"/>
              <w:jc w:val="center"/>
              <w:rPr>
                <w:rFonts w:ascii="Arial" w:eastAsia="Times New Roman" w:hAnsi="Arial" w:cs="Arial"/>
                <w:b/>
                <w:bCs/>
                <w:sz w:val="18"/>
                <w:szCs w:val="18"/>
                <w:lang w:eastAsia="cs-CZ"/>
              </w:rPr>
            </w:pPr>
            <w:r w:rsidRPr="00DE46DC">
              <w:rPr>
                <w:rFonts w:ascii="Arial" w:eastAsia="Times New Roman" w:hAnsi="Arial" w:cs="Arial"/>
                <w:b/>
                <w:bCs/>
                <w:sz w:val="18"/>
                <w:szCs w:val="18"/>
                <w:lang w:eastAsia="cs-CZ"/>
              </w:rPr>
              <w:t>2016</w:t>
            </w:r>
          </w:p>
        </w:tc>
        <w:tc>
          <w:tcPr>
            <w:tcW w:w="371" w:type="pct"/>
            <w:shd w:val="clear" w:color="000000" w:fill="FABF8F"/>
            <w:noWrap/>
            <w:vAlign w:val="bottom"/>
            <w:hideMark/>
          </w:tcPr>
          <w:p w14:paraId="7CB97AFA" w14:textId="77777777" w:rsidR="00DE46DC" w:rsidRPr="00DE46DC" w:rsidRDefault="00DE46DC" w:rsidP="00101E04">
            <w:pPr>
              <w:spacing w:before="120" w:line="271" w:lineRule="auto"/>
              <w:jc w:val="center"/>
              <w:rPr>
                <w:rFonts w:ascii="Arial" w:eastAsia="Times New Roman" w:hAnsi="Arial" w:cs="Arial"/>
                <w:b/>
                <w:bCs/>
                <w:sz w:val="18"/>
                <w:szCs w:val="18"/>
                <w:lang w:eastAsia="cs-CZ"/>
              </w:rPr>
            </w:pPr>
            <w:r w:rsidRPr="00DE46DC">
              <w:rPr>
                <w:rFonts w:ascii="Arial" w:eastAsia="Times New Roman" w:hAnsi="Arial" w:cs="Arial"/>
                <w:b/>
                <w:bCs/>
                <w:sz w:val="18"/>
                <w:szCs w:val="18"/>
                <w:lang w:eastAsia="cs-CZ"/>
              </w:rPr>
              <w:t>2017</w:t>
            </w:r>
          </w:p>
        </w:tc>
        <w:tc>
          <w:tcPr>
            <w:tcW w:w="371" w:type="pct"/>
            <w:shd w:val="clear" w:color="000000" w:fill="FABF8F"/>
            <w:noWrap/>
            <w:vAlign w:val="bottom"/>
            <w:hideMark/>
          </w:tcPr>
          <w:p w14:paraId="72AFD010" w14:textId="77777777" w:rsidR="00DE46DC" w:rsidRPr="00DE46DC" w:rsidRDefault="00DE46DC" w:rsidP="00101E04">
            <w:pPr>
              <w:spacing w:before="120" w:line="271" w:lineRule="auto"/>
              <w:jc w:val="center"/>
              <w:rPr>
                <w:rFonts w:ascii="Arial" w:eastAsia="Times New Roman" w:hAnsi="Arial" w:cs="Arial"/>
                <w:b/>
                <w:bCs/>
                <w:sz w:val="18"/>
                <w:szCs w:val="18"/>
                <w:lang w:eastAsia="cs-CZ"/>
              </w:rPr>
            </w:pPr>
            <w:r w:rsidRPr="00DE46DC">
              <w:rPr>
                <w:rFonts w:ascii="Arial" w:eastAsia="Times New Roman" w:hAnsi="Arial" w:cs="Arial"/>
                <w:b/>
                <w:bCs/>
                <w:sz w:val="18"/>
                <w:szCs w:val="18"/>
                <w:lang w:eastAsia="cs-CZ"/>
              </w:rPr>
              <w:t>2018</w:t>
            </w:r>
          </w:p>
        </w:tc>
        <w:tc>
          <w:tcPr>
            <w:tcW w:w="371" w:type="pct"/>
            <w:shd w:val="clear" w:color="000000" w:fill="FABF8F"/>
            <w:noWrap/>
            <w:vAlign w:val="bottom"/>
            <w:hideMark/>
          </w:tcPr>
          <w:p w14:paraId="5DCDF0C5" w14:textId="77777777" w:rsidR="00DE46DC" w:rsidRPr="00DE46DC" w:rsidRDefault="00DE46DC" w:rsidP="00101E04">
            <w:pPr>
              <w:spacing w:before="120" w:line="271" w:lineRule="auto"/>
              <w:jc w:val="center"/>
              <w:rPr>
                <w:rFonts w:ascii="Arial" w:eastAsia="Times New Roman" w:hAnsi="Arial" w:cs="Arial"/>
                <w:b/>
                <w:bCs/>
                <w:sz w:val="18"/>
                <w:szCs w:val="18"/>
                <w:lang w:eastAsia="cs-CZ"/>
              </w:rPr>
            </w:pPr>
            <w:r w:rsidRPr="00DE46DC">
              <w:rPr>
                <w:rFonts w:ascii="Arial" w:eastAsia="Times New Roman" w:hAnsi="Arial" w:cs="Arial"/>
                <w:b/>
                <w:bCs/>
                <w:sz w:val="18"/>
                <w:szCs w:val="18"/>
                <w:lang w:eastAsia="cs-CZ"/>
              </w:rPr>
              <w:t>2019</w:t>
            </w:r>
          </w:p>
        </w:tc>
        <w:tc>
          <w:tcPr>
            <w:tcW w:w="444" w:type="pct"/>
            <w:shd w:val="clear" w:color="000000" w:fill="FABF8F"/>
            <w:vAlign w:val="bottom"/>
          </w:tcPr>
          <w:p w14:paraId="409A9241" w14:textId="77777777" w:rsidR="00DE46DC" w:rsidRPr="00DE46DC" w:rsidRDefault="00DE46DC" w:rsidP="00101E04">
            <w:pPr>
              <w:spacing w:before="120" w:line="271" w:lineRule="auto"/>
              <w:jc w:val="center"/>
              <w:rPr>
                <w:rFonts w:ascii="Arial" w:eastAsia="Times New Roman" w:hAnsi="Arial" w:cs="Arial"/>
                <w:b/>
                <w:bCs/>
                <w:sz w:val="18"/>
                <w:szCs w:val="18"/>
                <w:lang w:eastAsia="cs-CZ"/>
              </w:rPr>
            </w:pPr>
            <w:r w:rsidRPr="00DE46DC">
              <w:rPr>
                <w:rFonts w:ascii="Arial" w:eastAsia="Times New Roman" w:hAnsi="Arial" w:cs="Arial"/>
                <w:b/>
                <w:bCs/>
                <w:sz w:val="18"/>
                <w:szCs w:val="18"/>
                <w:lang w:eastAsia="cs-CZ"/>
              </w:rPr>
              <w:t>2020</w:t>
            </w:r>
          </w:p>
        </w:tc>
        <w:tc>
          <w:tcPr>
            <w:tcW w:w="445" w:type="pct"/>
            <w:shd w:val="clear" w:color="000000" w:fill="FABF8F"/>
            <w:noWrap/>
            <w:vAlign w:val="bottom"/>
            <w:hideMark/>
          </w:tcPr>
          <w:p w14:paraId="04E9958B" w14:textId="510F7F19" w:rsidR="00DE46DC" w:rsidRPr="00DE46DC" w:rsidRDefault="00DE46DC" w:rsidP="00101E04">
            <w:pPr>
              <w:spacing w:before="120" w:line="271" w:lineRule="auto"/>
              <w:jc w:val="center"/>
              <w:rPr>
                <w:rFonts w:ascii="Arial" w:eastAsia="Times New Roman" w:hAnsi="Arial" w:cs="Arial"/>
                <w:b/>
                <w:bCs/>
                <w:sz w:val="18"/>
                <w:szCs w:val="18"/>
                <w:lang w:eastAsia="cs-CZ"/>
              </w:rPr>
            </w:pPr>
            <w:r>
              <w:rPr>
                <w:rFonts w:ascii="Arial" w:eastAsia="Times New Roman" w:hAnsi="Arial" w:cs="Arial"/>
                <w:b/>
                <w:bCs/>
                <w:sz w:val="18"/>
                <w:szCs w:val="18"/>
                <w:lang w:eastAsia="cs-CZ"/>
              </w:rPr>
              <w:t>C</w:t>
            </w:r>
            <w:r w:rsidRPr="00DE46DC">
              <w:rPr>
                <w:rFonts w:ascii="Arial" w:eastAsia="Times New Roman" w:hAnsi="Arial" w:cs="Arial"/>
                <w:b/>
                <w:bCs/>
                <w:sz w:val="18"/>
                <w:szCs w:val="18"/>
                <w:lang w:eastAsia="cs-CZ"/>
              </w:rPr>
              <w:t>elkem</w:t>
            </w:r>
          </w:p>
        </w:tc>
      </w:tr>
      <w:tr w:rsidR="00DE46DC" w:rsidRPr="00E87DB9" w14:paraId="71D671E7" w14:textId="77777777" w:rsidTr="00101E04">
        <w:trPr>
          <w:trHeight w:val="300"/>
        </w:trPr>
        <w:tc>
          <w:tcPr>
            <w:tcW w:w="1222" w:type="pct"/>
            <w:shd w:val="clear" w:color="auto" w:fill="auto"/>
            <w:noWrap/>
            <w:vAlign w:val="bottom"/>
            <w:hideMark/>
          </w:tcPr>
          <w:p w14:paraId="69473056" w14:textId="77777777" w:rsidR="00DE46DC" w:rsidRPr="00DE46DC" w:rsidRDefault="00DE46DC" w:rsidP="00DE46DC">
            <w:pPr>
              <w:spacing w:before="120" w:line="271" w:lineRule="auto"/>
              <w:jc w:val="left"/>
              <w:rPr>
                <w:rFonts w:ascii="Arial" w:eastAsia="Times New Roman" w:hAnsi="Arial" w:cs="Arial"/>
                <w:b/>
                <w:bCs/>
                <w:sz w:val="18"/>
                <w:szCs w:val="18"/>
                <w:lang w:eastAsia="cs-CZ"/>
              </w:rPr>
            </w:pPr>
            <w:r w:rsidRPr="00DE46DC">
              <w:rPr>
                <w:rFonts w:ascii="Arial" w:eastAsia="Times New Roman" w:hAnsi="Arial" w:cs="Arial"/>
                <w:b/>
                <w:bCs/>
                <w:sz w:val="18"/>
                <w:szCs w:val="18"/>
                <w:lang w:eastAsia="cs-CZ"/>
              </w:rPr>
              <w:t>shromážděné potraviny (t)</w:t>
            </w:r>
          </w:p>
        </w:tc>
        <w:tc>
          <w:tcPr>
            <w:tcW w:w="371" w:type="pct"/>
            <w:shd w:val="clear" w:color="auto" w:fill="auto"/>
            <w:noWrap/>
            <w:vAlign w:val="bottom"/>
            <w:hideMark/>
          </w:tcPr>
          <w:p w14:paraId="6B1632A0" w14:textId="77777777" w:rsidR="00DE46DC" w:rsidRPr="00981301" w:rsidRDefault="00DE46DC" w:rsidP="00101E04">
            <w:pPr>
              <w:spacing w:before="120" w:line="271" w:lineRule="auto"/>
              <w:jc w:val="center"/>
              <w:rPr>
                <w:rFonts w:ascii="Arial" w:eastAsia="Times New Roman" w:hAnsi="Arial" w:cs="Arial"/>
                <w:sz w:val="18"/>
                <w:szCs w:val="18"/>
                <w:lang w:eastAsia="cs-CZ"/>
              </w:rPr>
            </w:pPr>
            <w:r w:rsidRPr="00981301">
              <w:rPr>
                <w:rFonts w:ascii="Arial" w:eastAsia="Times New Roman" w:hAnsi="Arial" w:cs="Arial"/>
                <w:sz w:val="18"/>
                <w:szCs w:val="18"/>
                <w:lang w:eastAsia="cs-CZ"/>
              </w:rPr>
              <w:t>93</w:t>
            </w:r>
          </w:p>
        </w:tc>
        <w:tc>
          <w:tcPr>
            <w:tcW w:w="371" w:type="pct"/>
            <w:shd w:val="clear" w:color="auto" w:fill="auto"/>
            <w:noWrap/>
            <w:vAlign w:val="bottom"/>
            <w:hideMark/>
          </w:tcPr>
          <w:p w14:paraId="4DA106BB" w14:textId="77777777" w:rsidR="00DE46DC" w:rsidRPr="00981301" w:rsidRDefault="00DE46DC" w:rsidP="00101E04">
            <w:pPr>
              <w:spacing w:before="120" w:line="271" w:lineRule="auto"/>
              <w:jc w:val="center"/>
              <w:rPr>
                <w:rFonts w:ascii="Arial" w:eastAsia="Times New Roman" w:hAnsi="Arial" w:cs="Arial"/>
                <w:sz w:val="18"/>
                <w:szCs w:val="18"/>
                <w:lang w:eastAsia="cs-CZ"/>
              </w:rPr>
            </w:pPr>
            <w:r w:rsidRPr="00981301">
              <w:rPr>
                <w:rFonts w:ascii="Arial" w:eastAsia="Times New Roman" w:hAnsi="Arial" w:cs="Arial"/>
                <w:sz w:val="18"/>
                <w:szCs w:val="18"/>
                <w:lang w:eastAsia="cs-CZ"/>
              </w:rPr>
              <w:t>245</w:t>
            </w:r>
          </w:p>
        </w:tc>
        <w:tc>
          <w:tcPr>
            <w:tcW w:w="329" w:type="pct"/>
            <w:shd w:val="clear" w:color="auto" w:fill="auto"/>
            <w:noWrap/>
            <w:vAlign w:val="bottom"/>
            <w:hideMark/>
          </w:tcPr>
          <w:p w14:paraId="358C0F46" w14:textId="77777777" w:rsidR="00DE46DC" w:rsidRPr="00981301" w:rsidRDefault="00DE46DC" w:rsidP="00101E04">
            <w:pPr>
              <w:spacing w:before="120" w:line="271" w:lineRule="auto"/>
              <w:jc w:val="center"/>
              <w:rPr>
                <w:rFonts w:ascii="Arial" w:eastAsia="Times New Roman" w:hAnsi="Arial" w:cs="Arial"/>
                <w:sz w:val="18"/>
                <w:szCs w:val="18"/>
                <w:lang w:eastAsia="cs-CZ"/>
              </w:rPr>
            </w:pPr>
            <w:r w:rsidRPr="00981301">
              <w:rPr>
                <w:rFonts w:ascii="Arial" w:eastAsia="Times New Roman" w:hAnsi="Arial" w:cs="Arial"/>
                <w:sz w:val="18"/>
                <w:szCs w:val="18"/>
                <w:lang w:eastAsia="cs-CZ"/>
              </w:rPr>
              <w:t>495</w:t>
            </w:r>
          </w:p>
        </w:tc>
        <w:tc>
          <w:tcPr>
            <w:tcW w:w="338" w:type="pct"/>
            <w:shd w:val="clear" w:color="auto" w:fill="auto"/>
            <w:noWrap/>
            <w:vAlign w:val="bottom"/>
            <w:hideMark/>
          </w:tcPr>
          <w:p w14:paraId="5932B404" w14:textId="77777777" w:rsidR="00DE46DC" w:rsidRPr="00981301" w:rsidRDefault="00DE46DC" w:rsidP="00101E04">
            <w:pPr>
              <w:spacing w:before="120" w:line="271" w:lineRule="auto"/>
              <w:jc w:val="center"/>
              <w:rPr>
                <w:rFonts w:ascii="Arial" w:eastAsia="Times New Roman" w:hAnsi="Arial" w:cs="Arial"/>
                <w:sz w:val="18"/>
                <w:szCs w:val="18"/>
                <w:lang w:eastAsia="cs-CZ"/>
              </w:rPr>
            </w:pPr>
            <w:r w:rsidRPr="00981301">
              <w:rPr>
                <w:rFonts w:ascii="Arial" w:eastAsia="Times New Roman" w:hAnsi="Arial" w:cs="Arial"/>
                <w:sz w:val="18"/>
                <w:szCs w:val="18"/>
                <w:lang w:eastAsia="cs-CZ"/>
              </w:rPr>
              <w:t>750</w:t>
            </w:r>
          </w:p>
        </w:tc>
        <w:tc>
          <w:tcPr>
            <w:tcW w:w="370" w:type="pct"/>
            <w:shd w:val="clear" w:color="auto" w:fill="auto"/>
            <w:noWrap/>
            <w:vAlign w:val="bottom"/>
            <w:hideMark/>
          </w:tcPr>
          <w:p w14:paraId="0930D127" w14:textId="4A478C6A" w:rsidR="00DE46DC" w:rsidRPr="00981301" w:rsidRDefault="00DE46DC" w:rsidP="00101E04">
            <w:pPr>
              <w:spacing w:before="120" w:line="271" w:lineRule="auto"/>
              <w:jc w:val="center"/>
              <w:rPr>
                <w:rFonts w:ascii="Arial" w:eastAsia="Times New Roman" w:hAnsi="Arial" w:cs="Arial"/>
                <w:sz w:val="18"/>
                <w:szCs w:val="18"/>
                <w:lang w:eastAsia="cs-CZ"/>
              </w:rPr>
            </w:pPr>
            <w:r w:rsidRPr="00981301">
              <w:rPr>
                <w:rFonts w:ascii="Arial" w:eastAsia="Times New Roman" w:hAnsi="Arial" w:cs="Arial"/>
                <w:sz w:val="18"/>
                <w:szCs w:val="18"/>
                <w:lang w:eastAsia="cs-CZ"/>
              </w:rPr>
              <w:t>1</w:t>
            </w:r>
            <w:r>
              <w:rPr>
                <w:rFonts w:ascii="Arial" w:eastAsia="Times New Roman" w:hAnsi="Arial" w:cs="Arial"/>
                <w:sz w:val="18"/>
                <w:szCs w:val="18"/>
                <w:lang w:eastAsia="cs-CZ"/>
              </w:rPr>
              <w:t xml:space="preserve"> </w:t>
            </w:r>
            <w:r w:rsidRPr="00981301">
              <w:rPr>
                <w:rFonts w:ascii="Arial" w:eastAsia="Times New Roman" w:hAnsi="Arial" w:cs="Arial"/>
                <w:sz w:val="18"/>
                <w:szCs w:val="18"/>
                <w:lang w:eastAsia="cs-CZ"/>
              </w:rPr>
              <w:t>209</w:t>
            </w:r>
          </w:p>
        </w:tc>
        <w:tc>
          <w:tcPr>
            <w:tcW w:w="371" w:type="pct"/>
            <w:shd w:val="clear" w:color="auto" w:fill="auto"/>
            <w:noWrap/>
            <w:vAlign w:val="bottom"/>
            <w:hideMark/>
          </w:tcPr>
          <w:p w14:paraId="30D47486" w14:textId="6A89F9F8" w:rsidR="00DE46DC" w:rsidRPr="00981301" w:rsidRDefault="00DE46DC" w:rsidP="00101E04">
            <w:pPr>
              <w:spacing w:before="120" w:line="271" w:lineRule="auto"/>
              <w:jc w:val="center"/>
              <w:rPr>
                <w:rFonts w:ascii="Arial" w:eastAsia="Times New Roman" w:hAnsi="Arial" w:cs="Arial"/>
                <w:sz w:val="18"/>
                <w:szCs w:val="18"/>
                <w:lang w:eastAsia="cs-CZ"/>
              </w:rPr>
            </w:pPr>
            <w:r w:rsidRPr="00981301">
              <w:rPr>
                <w:rFonts w:ascii="Arial" w:eastAsia="Times New Roman" w:hAnsi="Arial" w:cs="Arial"/>
                <w:sz w:val="18"/>
                <w:szCs w:val="18"/>
                <w:lang w:eastAsia="cs-CZ"/>
              </w:rPr>
              <w:t>2</w:t>
            </w:r>
            <w:r>
              <w:rPr>
                <w:rFonts w:ascii="Arial" w:eastAsia="Times New Roman" w:hAnsi="Arial" w:cs="Arial"/>
                <w:sz w:val="18"/>
                <w:szCs w:val="18"/>
                <w:lang w:eastAsia="cs-CZ"/>
              </w:rPr>
              <w:t xml:space="preserve"> </w:t>
            </w:r>
            <w:r w:rsidRPr="00981301">
              <w:rPr>
                <w:rFonts w:ascii="Arial" w:eastAsia="Times New Roman" w:hAnsi="Arial" w:cs="Arial"/>
                <w:sz w:val="18"/>
                <w:szCs w:val="18"/>
                <w:lang w:eastAsia="cs-CZ"/>
              </w:rPr>
              <w:t>336</w:t>
            </w:r>
          </w:p>
        </w:tc>
        <w:tc>
          <w:tcPr>
            <w:tcW w:w="371" w:type="pct"/>
            <w:shd w:val="clear" w:color="auto" w:fill="auto"/>
            <w:noWrap/>
            <w:vAlign w:val="bottom"/>
            <w:hideMark/>
          </w:tcPr>
          <w:p w14:paraId="61870AB9" w14:textId="36F1850C" w:rsidR="00DE46DC" w:rsidRPr="00981301" w:rsidRDefault="00DE46DC" w:rsidP="00101E04">
            <w:pPr>
              <w:spacing w:before="120" w:line="271" w:lineRule="auto"/>
              <w:jc w:val="center"/>
              <w:rPr>
                <w:rFonts w:ascii="Arial" w:eastAsia="Times New Roman" w:hAnsi="Arial" w:cs="Arial"/>
                <w:sz w:val="18"/>
                <w:szCs w:val="18"/>
                <w:lang w:eastAsia="cs-CZ"/>
              </w:rPr>
            </w:pPr>
            <w:r w:rsidRPr="00981301">
              <w:rPr>
                <w:rFonts w:ascii="Arial" w:eastAsia="Times New Roman" w:hAnsi="Arial" w:cs="Arial"/>
                <w:sz w:val="18"/>
                <w:szCs w:val="18"/>
                <w:lang w:eastAsia="cs-CZ"/>
              </w:rPr>
              <w:t>4</w:t>
            </w:r>
            <w:r>
              <w:rPr>
                <w:rFonts w:ascii="Arial" w:eastAsia="Times New Roman" w:hAnsi="Arial" w:cs="Arial"/>
                <w:sz w:val="18"/>
                <w:szCs w:val="18"/>
                <w:lang w:eastAsia="cs-CZ"/>
              </w:rPr>
              <w:t xml:space="preserve"> </w:t>
            </w:r>
            <w:r w:rsidRPr="00981301">
              <w:rPr>
                <w:rFonts w:ascii="Arial" w:eastAsia="Times New Roman" w:hAnsi="Arial" w:cs="Arial"/>
                <w:sz w:val="18"/>
                <w:szCs w:val="18"/>
                <w:lang w:eastAsia="cs-CZ"/>
              </w:rPr>
              <w:t>200</w:t>
            </w:r>
          </w:p>
        </w:tc>
        <w:tc>
          <w:tcPr>
            <w:tcW w:w="371" w:type="pct"/>
            <w:shd w:val="clear" w:color="auto" w:fill="auto"/>
            <w:noWrap/>
            <w:vAlign w:val="bottom"/>
            <w:hideMark/>
          </w:tcPr>
          <w:p w14:paraId="14B35771" w14:textId="50250304" w:rsidR="00DE46DC" w:rsidRPr="00981301" w:rsidRDefault="00DE46DC" w:rsidP="00101E04">
            <w:pPr>
              <w:spacing w:before="120" w:line="271" w:lineRule="auto"/>
              <w:jc w:val="center"/>
              <w:rPr>
                <w:rFonts w:ascii="Arial" w:eastAsia="Times New Roman" w:hAnsi="Arial" w:cs="Arial"/>
                <w:sz w:val="18"/>
                <w:szCs w:val="18"/>
                <w:lang w:eastAsia="cs-CZ"/>
              </w:rPr>
            </w:pPr>
            <w:r w:rsidRPr="00981301">
              <w:rPr>
                <w:rFonts w:ascii="Arial" w:eastAsia="Times New Roman" w:hAnsi="Arial" w:cs="Arial"/>
                <w:sz w:val="18"/>
                <w:szCs w:val="18"/>
                <w:lang w:eastAsia="cs-CZ"/>
              </w:rPr>
              <w:t>5</w:t>
            </w:r>
            <w:r>
              <w:rPr>
                <w:rFonts w:ascii="Arial" w:eastAsia="Times New Roman" w:hAnsi="Arial" w:cs="Arial"/>
                <w:sz w:val="18"/>
                <w:szCs w:val="18"/>
                <w:lang w:eastAsia="cs-CZ"/>
              </w:rPr>
              <w:t xml:space="preserve"> </w:t>
            </w:r>
            <w:r w:rsidRPr="00981301">
              <w:rPr>
                <w:rFonts w:ascii="Arial" w:eastAsia="Times New Roman" w:hAnsi="Arial" w:cs="Arial"/>
                <w:sz w:val="18"/>
                <w:szCs w:val="18"/>
                <w:lang w:eastAsia="cs-CZ"/>
              </w:rPr>
              <w:t>000</w:t>
            </w:r>
          </w:p>
        </w:tc>
        <w:tc>
          <w:tcPr>
            <w:tcW w:w="444" w:type="pct"/>
            <w:vAlign w:val="bottom"/>
          </w:tcPr>
          <w:p w14:paraId="3F2E43AC" w14:textId="4E9BF579" w:rsidR="00DE46DC" w:rsidRPr="00981301" w:rsidRDefault="00DE46DC" w:rsidP="00101E04">
            <w:pPr>
              <w:spacing w:before="120" w:line="271" w:lineRule="auto"/>
              <w:jc w:val="center"/>
              <w:rPr>
                <w:rFonts w:ascii="Arial" w:eastAsia="Times New Roman" w:hAnsi="Arial" w:cs="Arial"/>
                <w:sz w:val="18"/>
                <w:szCs w:val="18"/>
                <w:lang w:eastAsia="cs-CZ"/>
              </w:rPr>
            </w:pPr>
            <w:r w:rsidRPr="00981301">
              <w:rPr>
                <w:rFonts w:ascii="Arial" w:eastAsia="Times New Roman" w:hAnsi="Arial" w:cs="Arial"/>
                <w:sz w:val="18"/>
                <w:szCs w:val="18"/>
                <w:lang w:eastAsia="cs-CZ"/>
              </w:rPr>
              <w:t>6</w:t>
            </w:r>
            <w:r>
              <w:rPr>
                <w:rFonts w:ascii="Arial" w:eastAsia="Times New Roman" w:hAnsi="Arial" w:cs="Arial"/>
                <w:sz w:val="18"/>
                <w:szCs w:val="18"/>
                <w:lang w:eastAsia="cs-CZ"/>
              </w:rPr>
              <w:t xml:space="preserve"> </w:t>
            </w:r>
            <w:r w:rsidRPr="00981301">
              <w:rPr>
                <w:rFonts w:ascii="Arial" w:eastAsia="Times New Roman" w:hAnsi="Arial" w:cs="Arial"/>
                <w:sz w:val="18"/>
                <w:szCs w:val="18"/>
                <w:lang w:eastAsia="cs-CZ"/>
              </w:rPr>
              <w:t>300</w:t>
            </w:r>
          </w:p>
        </w:tc>
        <w:tc>
          <w:tcPr>
            <w:tcW w:w="445" w:type="pct"/>
            <w:shd w:val="clear" w:color="auto" w:fill="auto"/>
            <w:noWrap/>
            <w:vAlign w:val="bottom"/>
            <w:hideMark/>
          </w:tcPr>
          <w:p w14:paraId="6CE6EB1C" w14:textId="11A6FF47" w:rsidR="00DE46DC" w:rsidRPr="00981301" w:rsidRDefault="00DE46DC" w:rsidP="00101E04">
            <w:pPr>
              <w:spacing w:before="120" w:line="271" w:lineRule="auto"/>
              <w:jc w:val="center"/>
              <w:rPr>
                <w:rFonts w:ascii="Arial" w:eastAsia="Times New Roman" w:hAnsi="Arial" w:cs="Arial"/>
                <w:sz w:val="18"/>
                <w:szCs w:val="18"/>
                <w:lang w:eastAsia="cs-CZ"/>
              </w:rPr>
            </w:pPr>
            <w:r w:rsidRPr="00981301">
              <w:rPr>
                <w:rFonts w:ascii="Arial" w:eastAsia="Times New Roman" w:hAnsi="Arial" w:cs="Arial"/>
                <w:sz w:val="18"/>
                <w:szCs w:val="18"/>
                <w:lang w:eastAsia="cs-CZ"/>
              </w:rPr>
              <w:t>2</w:t>
            </w:r>
            <w:r>
              <w:rPr>
                <w:rFonts w:ascii="Arial" w:eastAsia="Times New Roman" w:hAnsi="Arial" w:cs="Arial"/>
                <w:sz w:val="18"/>
                <w:szCs w:val="18"/>
                <w:lang w:eastAsia="cs-CZ"/>
              </w:rPr>
              <w:t xml:space="preserve"> </w:t>
            </w:r>
            <w:r w:rsidRPr="00981301">
              <w:rPr>
                <w:rFonts w:ascii="Arial" w:eastAsia="Times New Roman" w:hAnsi="Arial" w:cs="Arial"/>
                <w:sz w:val="18"/>
                <w:szCs w:val="18"/>
                <w:lang w:eastAsia="cs-CZ"/>
              </w:rPr>
              <w:t>0628</w:t>
            </w:r>
          </w:p>
        </w:tc>
      </w:tr>
      <w:tr w:rsidR="00DE46DC" w:rsidRPr="00E87DB9" w14:paraId="0690F39F" w14:textId="77777777" w:rsidTr="00101E04">
        <w:trPr>
          <w:trHeight w:val="300"/>
        </w:trPr>
        <w:tc>
          <w:tcPr>
            <w:tcW w:w="1222" w:type="pct"/>
            <w:shd w:val="clear" w:color="000000" w:fill="FDE9D9"/>
            <w:noWrap/>
            <w:vAlign w:val="bottom"/>
            <w:hideMark/>
          </w:tcPr>
          <w:p w14:paraId="4ADC97F0" w14:textId="77777777" w:rsidR="00DE46DC" w:rsidRPr="00DE46DC" w:rsidRDefault="00DE46DC" w:rsidP="00DE46DC">
            <w:pPr>
              <w:spacing w:before="120" w:line="271" w:lineRule="auto"/>
              <w:jc w:val="left"/>
              <w:rPr>
                <w:rFonts w:ascii="Arial" w:eastAsia="Times New Roman" w:hAnsi="Arial" w:cs="Arial"/>
                <w:b/>
                <w:bCs/>
                <w:sz w:val="18"/>
                <w:szCs w:val="18"/>
                <w:lang w:eastAsia="cs-CZ"/>
              </w:rPr>
            </w:pPr>
            <w:r w:rsidRPr="00DE46DC">
              <w:rPr>
                <w:rFonts w:ascii="Arial" w:eastAsia="Times New Roman" w:hAnsi="Arial" w:cs="Arial"/>
                <w:b/>
                <w:bCs/>
                <w:sz w:val="18"/>
                <w:szCs w:val="18"/>
                <w:lang w:eastAsia="cs-CZ"/>
              </w:rPr>
              <w:t>podpora investiční (mil. Kč)</w:t>
            </w:r>
          </w:p>
        </w:tc>
        <w:tc>
          <w:tcPr>
            <w:tcW w:w="371" w:type="pct"/>
            <w:shd w:val="clear" w:color="000000" w:fill="FDE9D9"/>
            <w:noWrap/>
            <w:vAlign w:val="bottom"/>
            <w:hideMark/>
          </w:tcPr>
          <w:p w14:paraId="0BBDB71F" w14:textId="77777777" w:rsidR="00DE46DC" w:rsidRPr="00981301" w:rsidRDefault="00DE46DC" w:rsidP="00101E04">
            <w:pPr>
              <w:spacing w:before="120" w:line="271" w:lineRule="auto"/>
              <w:jc w:val="center"/>
              <w:rPr>
                <w:rFonts w:ascii="Arial" w:eastAsia="Times New Roman" w:hAnsi="Arial" w:cs="Arial"/>
                <w:sz w:val="18"/>
                <w:szCs w:val="18"/>
                <w:lang w:eastAsia="cs-CZ"/>
              </w:rPr>
            </w:pPr>
            <w:r w:rsidRPr="00981301">
              <w:rPr>
                <w:rFonts w:ascii="Arial" w:eastAsia="Times New Roman" w:hAnsi="Arial" w:cs="Arial"/>
                <w:sz w:val="18"/>
                <w:szCs w:val="18"/>
                <w:lang w:eastAsia="cs-CZ"/>
              </w:rPr>
              <w:t>0</w:t>
            </w:r>
          </w:p>
        </w:tc>
        <w:tc>
          <w:tcPr>
            <w:tcW w:w="371" w:type="pct"/>
            <w:shd w:val="clear" w:color="000000" w:fill="FDE9D9"/>
            <w:noWrap/>
            <w:vAlign w:val="bottom"/>
            <w:hideMark/>
          </w:tcPr>
          <w:p w14:paraId="0826C714" w14:textId="77777777" w:rsidR="00DE46DC" w:rsidRPr="00981301" w:rsidRDefault="00DE46DC" w:rsidP="00101E04">
            <w:pPr>
              <w:spacing w:before="120" w:line="271" w:lineRule="auto"/>
              <w:jc w:val="center"/>
              <w:rPr>
                <w:rFonts w:ascii="Arial" w:eastAsia="Times New Roman" w:hAnsi="Arial" w:cs="Arial"/>
                <w:sz w:val="18"/>
                <w:szCs w:val="18"/>
                <w:lang w:eastAsia="cs-CZ"/>
              </w:rPr>
            </w:pPr>
            <w:r w:rsidRPr="00981301">
              <w:rPr>
                <w:rFonts w:ascii="Arial" w:eastAsia="Times New Roman" w:hAnsi="Arial" w:cs="Arial"/>
                <w:sz w:val="18"/>
                <w:szCs w:val="18"/>
                <w:lang w:eastAsia="cs-CZ"/>
              </w:rPr>
              <w:t>0</w:t>
            </w:r>
          </w:p>
        </w:tc>
        <w:tc>
          <w:tcPr>
            <w:tcW w:w="329" w:type="pct"/>
            <w:shd w:val="clear" w:color="000000" w:fill="FDE9D9"/>
            <w:noWrap/>
            <w:vAlign w:val="bottom"/>
            <w:hideMark/>
          </w:tcPr>
          <w:p w14:paraId="52B00130" w14:textId="77777777" w:rsidR="00DE46DC" w:rsidRPr="00981301" w:rsidRDefault="00DE46DC" w:rsidP="00101E04">
            <w:pPr>
              <w:spacing w:before="120" w:line="271" w:lineRule="auto"/>
              <w:jc w:val="center"/>
              <w:rPr>
                <w:rFonts w:ascii="Arial" w:eastAsia="Times New Roman" w:hAnsi="Arial" w:cs="Arial"/>
                <w:sz w:val="18"/>
                <w:szCs w:val="18"/>
                <w:lang w:eastAsia="cs-CZ"/>
              </w:rPr>
            </w:pPr>
            <w:r w:rsidRPr="00981301">
              <w:rPr>
                <w:rFonts w:ascii="Arial" w:eastAsia="Times New Roman" w:hAnsi="Arial" w:cs="Arial"/>
                <w:sz w:val="18"/>
                <w:szCs w:val="18"/>
                <w:lang w:eastAsia="cs-CZ"/>
              </w:rPr>
              <w:t>0</w:t>
            </w:r>
          </w:p>
        </w:tc>
        <w:tc>
          <w:tcPr>
            <w:tcW w:w="338" w:type="pct"/>
            <w:shd w:val="clear" w:color="000000" w:fill="FDE9D9"/>
            <w:noWrap/>
            <w:vAlign w:val="bottom"/>
            <w:hideMark/>
          </w:tcPr>
          <w:p w14:paraId="452A6DBF" w14:textId="77777777" w:rsidR="00DE46DC" w:rsidRPr="00981301" w:rsidRDefault="00DE46DC" w:rsidP="00101E04">
            <w:pPr>
              <w:spacing w:before="120" w:line="271" w:lineRule="auto"/>
              <w:jc w:val="center"/>
              <w:rPr>
                <w:rFonts w:ascii="Arial" w:eastAsia="Times New Roman" w:hAnsi="Arial" w:cs="Arial"/>
                <w:sz w:val="18"/>
                <w:szCs w:val="18"/>
                <w:lang w:eastAsia="cs-CZ"/>
              </w:rPr>
            </w:pPr>
            <w:r w:rsidRPr="00981301">
              <w:rPr>
                <w:rFonts w:ascii="Arial" w:eastAsia="Times New Roman" w:hAnsi="Arial" w:cs="Arial"/>
                <w:sz w:val="18"/>
                <w:szCs w:val="18"/>
                <w:lang w:eastAsia="cs-CZ"/>
              </w:rPr>
              <w:t>0</w:t>
            </w:r>
          </w:p>
        </w:tc>
        <w:tc>
          <w:tcPr>
            <w:tcW w:w="370" w:type="pct"/>
            <w:shd w:val="clear" w:color="000000" w:fill="FDE9D9"/>
            <w:noWrap/>
            <w:vAlign w:val="bottom"/>
            <w:hideMark/>
          </w:tcPr>
          <w:p w14:paraId="07C11407" w14:textId="77777777" w:rsidR="00DE46DC" w:rsidRPr="00981301" w:rsidRDefault="00DE46DC" w:rsidP="00101E04">
            <w:pPr>
              <w:spacing w:before="120" w:line="271" w:lineRule="auto"/>
              <w:jc w:val="center"/>
              <w:rPr>
                <w:rFonts w:ascii="Arial" w:eastAsia="Times New Roman" w:hAnsi="Arial" w:cs="Arial"/>
                <w:sz w:val="18"/>
                <w:szCs w:val="18"/>
                <w:lang w:eastAsia="cs-CZ"/>
              </w:rPr>
            </w:pPr>
            <w:r w:rsidRPr="00981301">
              <w:rPr>
                <w:rFonts w:ascii="Arial" w:eastAsia="Times New Roman" w:hAnsi="Arial" w:cs="Arial"/>
                <w:sz w:val="18"/>
                <w:szCs w:val="18"/>
                <w:lang w:eastAsia="cs-CZ"/>
              </w:rPr>
              <w:t>13,9</w:t>
            </w:r>
          </w:p>
        </w:tc>
        <w:tc>
          <w:tcPr>
            <w:tcW w:w="371" w:type="pct"/>
            <w:shd w:val="clear" w:color="000000" w:fill="FDE9D9"/>
            <w:noWrap/>
            <w:vAlign w:val="bottom"/>
            <w:hideMark/>
          </w:tcPr>
          <w:p w14:paraId="152A09A4" w14:textId="77777777" w:rsidR="00DE46DC" w:rsidRPr="00981301" w:rsidRDefault="00DE46DC" w:rsidP="00101E04">
            <w:pPr>
              <w:spacing w:before="120" w:line="271" w:lineRule="auto"/>
              <w:jc w:val="center"/>
              <w:rPr>
                <w:rFonts w:ascii="Arial" w:eastAsia="Times New Roman" w:hAnsi="Arial" w:cs="Arial"/>
                <w:sz w:val="18"/>
                <w:szCs w:val="18"/>
                <w:lang w:eastAsia="cs-CZ"/>
              </w:rPr>
            </w:pPr>
            <w:r w:rsidRPr="00981301">
              <w:rPr>
                <w:rFonts w:ascii="Arial" w:eastAsia="Times New Roman" w:hAnsi="Arial" w:cs="Arial"/>
                <w:sz w:val="18"/>
                <w:szCs w:val="18"/>
                <w:lang w:eastAsia="cs-CZ"/>
              </w:rPr>
              <w:t>19,4</w:t>
            </w:r>
          </w:p>
        </w:tc>
        <w:tc>
          <w:tcPr>
            <w:tcW w:w="371" w:type="pct"/>
            <w:shd w:val="clear" w:color="000000" w:fill="FDE9D9"/>
            <w:noWrap/>
            <w:vAlign w:val="bottom"/>
            <w:hideMark/>
          </w:tcPr>
          <w:p w14:paraId="08C09BCB" w14:textId="77777777" w:rsidR="00DE46DC" w:rsidRPr="00981301" w:rsidRDefault="00DE46DC" w:rsidP="00101E04">
            <w:pPr>
              <w:spacing w:before="120" w:line="271" w:lineRule="auto"/>
              <w:jc w:val="center"/>
              <w:rPr>
                <w:rFonts w:ascii="Arial" w:eastAsia="Times New Roman" w:hAnsi="Arial" w:cs="Arial"/>
                <w:sz w:val="18"/>
                <w:szCs w:val="18"/>
                <w:lang w:eastAsia="cs-CZ"/>
              </w:rPr>
            </w:pPr>
            <w:r w:rsidRPr="00981301">
              <w:rPr>
                <w:rFonts w:ascii="Arial" w:eastAsia="Times New Roman" w:hAnsi="Arial" w:cs="Arial"/>
                <w:sz w:val="18"/>
                <w:szCs w:val="18"/>
                <w:lang w:eastAsia="cs-CZ"/>
              </w:rPr>
              <w:t>11,6</w:t>
            </w:r>
          </w:p>
        </w:tc>
        <w:tc>
          <w:tcPr>
            <w:tcW w:w="371" w:type="pct"/>
            <w:shd w:val="clear" w:color="000000" w:fill="FDE9D9"/>
            <w:noWrap/>
            <w:vAlign w:val="bottom"/>
            <w:hideMark/>
          </w:tcPr>
          <w:p w14:paraId="60256B99" w14:textId="77777777" w:rsidR="00DE46DC" w:rsidRPr="00981301" w:rsidRDefault="00DE46DC" w:rsidP="00101E04">
            <w:pPr>
              <w:spacing w:before="120" w:line="271" w:lineRule="auto"/>
              <w:jc w:val="center"/>
              <w:rPr>
                <w:rFonts w:ascii="Arial" w:eastAsia="Times New Roman" w:hAnsi="Arial" w:cs="Arial"/>
                <w:sz w:val="18"/>
                <w:szCs w:val="18"/>
                <w:lang w:eastAsia="cs-CZ"/>
              </w:rPr>
            </w:pPr>
            <w:r w:rsidRPr="00981301">
              <w:rPr>
                <w:rFonts w:ascii="Arial" w:eastAsia="Times New Roman" w:hAnsi="Arial" w:cs="Arial"/>
                <w:sz w:val="18"/>
                <w:szCs w:val="18"/>
                <w:lang w:eastAsia="cs-CZ"/>
              </w:rPr>
              <w:t>66,8</w:t>
            </w:r>
          </w:p>
        </w:tc>
        <w:tc>
          <w:tcPr>
            <w:tcW w:w="444" w:type="pct"/>
            <w:shd w:val="clear" w:color="000000" w:fill="FDE9D9"/>
            <w:vAlign w:val="bottom"/>
          </w:tcPr>
          <w:p w14:paraId="169DB6E8" w14:textId="77777777" w:rsidR="00DE46DC" w:rsidRPr="00981301" w:rsidRDefault="00DE46DC" w:rsidP="00101E04">
            <w:pPr>
              <w:spacing w:before="120" w:line="271" w:lineRule="auto"/>
              <w:jc w:val="center"/>
              <w:rPr>
                <w:rFonts w:ascii="Arial" w:eastAsia="Times New Roman" w:hAnsi="Arial" w:cs="Arial"/>
                <w:sz w:val="18"/>
                <w:szCs w:val="18"/>
                <w:lang w:eastAsia="cs-CZ"/>
              </w:rPr>
            </w:pPr>
            <w:r w:rsidRPr="00981301">
              <w:rPr>
                <w:rFonts w:ascii="Arial" w:eastAsia="Times New Roman" w:hAnsi="Arial" w:cs="Arial"/>
                <w:sz w:val="18"/>
                <w:szCs w:val="18"/>
                <w:lang w:eastAsia="cs-CZ"/>
              </w:rPr>
              <w:t>19,7</w:t>
            </w:r>
          </w:p>
        </w:tc>
        <w:tc>
          <w:tcPr>
            <w:tcW w:w="445" w:type="pct"/>
            <w:shd w:val="clear" w:color="000000" w:fill="FDE9D9"/>
            <w:noWrap/>
            <w:vAlign w:val="bottom"/>
            <w:hideMark/>
          </w:tcPr>
          <w:p w14:paraId="3B7EB275" w14:textId="77777777" w:rsidR="00DE46DC" w:rsidRPr="00981301" w:rsidRDefault="00DE46DC" w:rsidP="00101E04">
            <w:pPr>
              <w:spacing w:before="120" w:line="271" w:lineRule="auto"/>
              <w:jc w:val="center"/>
              <w:rPr>
                <w:rFonts w:ascii="Arial" w:eastAsia="Times New Roman" w:hAnsi="Arial" w:cs="Arial"/>
                <w:sz w:val="18"/>
                <w:szCs w:val="18"/>
                <w:lang w:eastAsia="cs-CZ"/>
              </w:rPr>
            </w:pPr>
            <w:r w:rsidRPr="00981301">
              <w:rPr>
                <w:rFonts w:ascii="Arial" w:eastAsia="Times New Roman" w:hAnsi="Arial" w:cs="Arial"/>
                <w:sz w:val="18"/>
                <w:szCs w:val="18"/>
                <w:lang w:eastAsia="cs-CZ"/>
              </w:rPr>
              <w:t>131,4</w:t>
            </w:r>
          </w:p>
        </w:tc>
      </w:tr>
      <w:tr w:rsidR="00DE46DC" w:rsidRPr="00E87DB9" w14:paraId="12D45ECD" w14:textId="77777777" w:rsidTr="00101E04">
        <w:trPr>
          <w:trHeight w:val="300"/>
        </w:trPr>
        <w:tc>
          <w:tcPr>
            <w:tcW w:w="1222" w:type="pct"/>
            <w:shd w:val="clear" w:color="auto" w:fill="auto"/>
            <w:noWrap/>
            <w:vAlign w:val="bottom"/>
            <w:hideMark/>
          </w:tcPr>
          <w:p w14:paraId="01DEC852" w14:textId="77777777" w:rsidR="00DE46DC" w:rsidRPr="00DE46DC" w:rsidRDefault="00DE46DC" w:rsidP="00DE46DC">
            <w:pPr>
              <w:spacing w:before="120" w:line="271" w:lineRule="auto"/>
              <w:jc w:val="left"/>
              <w:rPr>
                <w:rFonts w:ascii="Arial" w:eastAsia="Times New Roman" w:hAnsi="Arial" w:cs="Arial"/>
                <w:b/>
                <w:bCs/>
                <w:sz w:val="18"/>
                <w:szCs w:val="18"/>
                <w:lang w:eastAsia="cs-CZ"/>
              </w:rPr>
            </w:pPr>
            <w:r w:rsidRPr="00DE46DC">
              <w:rPr>
                <w:rFonts w:ascii="Arial" w:eastAsia="Times New Roman" w:hAnsi="Arial" w:cs="Arial"/>
                <w:b/>
                <w:bCs/>
                <w:sz w:val="18"/>
                <w:szCs w:val="18"/>
                <w:lang w:eastAsia="cs-CZ"/>
              </w:rPr>
              <w:t>podpora neinvestiční (mil. Kč)</w:t>
            </w:r>
          </w:p>
        </w:tc>
        <w:tc>
          <w:tcPr>
            <w:tcW w:w="371" w:type="pct"/>
            <w:shd w:val="clear" w:color="auto" w:fill="auto"/>
            <w:noWrap/>
            <w:vAlign w:val="bottom"/>
            <w:hideMark/>
          </w:tcPr>
          <w:p w14:paraId="5AB7B60C" w14:textId="77777777" w:rsidR="00DE46DC" w:rsidRPr="00981301" w:rsidRDefault="00DE46DC" w:rsidP="00101E04">
            <w:pPr>
              <w:spacing w:before="120" w:line="271" w:lineRule="auto"/>
              <w:jc w:val="center"/>
              <w:rPr>
                <w:rFonts w:ascii="Arial" w:eastAsia="Times New Roman" w:hAnsi="Arial" w:cs="Arial"/>
                <w:sz w:val="18"/>
                <w:szCs w:val="18"/>
                <w:lang w:eastAsia="cs-CZ"/>
              </w:rPr>
            </w:pPr>
            <w:r w:rsidRPr="00981301">
              <w:rPr>
                <w:rFonts w:ascii="Arial" w:eastAsia="Times New Roman" w:hAnsi="Arial" w:cs="Arial"/>
                <w:sz w:val="18"/>
                <w:szCs w:val="18"/>
                <w:lang w:eastAsia="cs-CZ"/>
              </w:rPr>
              <w:t>0</w:t>
            </w:r>
          </w:p>
        </w:tc>
        <w:tc>
          <w:tcPr>
            <w:tcW w:w="371" w:type="pct"/>
            <w:shd w:val="clear" w:color="auto" w:fill="auto"/>
            <w:noWrap/>
            <w:vAlign w:val="bottom"/>
            <w:hideMark/>
          </w:tcPr>
          <w:p w14:paraId="54CFD668" w14:textId="77777777" w:rsidR="00DE46DC" w:rsidRPr="00981301" w:rsidRDefault="00DE46DC" w:rsidP="00101E04">
            <w:pPr>
              <w:spacing w:before="120" w:line="271" w:lineRule="auto"/>
              <w:jc w:val="center"/>
              <w:rPr>
                <w:rFonts w:ascii="Arial" w:eastAsia="Times New Roman" w:hAnsi="Arial" w:cs="Arial"/>
                <w:sz w:val="18"/>
                <w:szCs w:val="18"/>
                <w:lang w:eastAsia="cs-CZ"/>
              </w:rPr>
            </w:pPr>
            <w:r w:rsidRPr="00981301">
              <w:rPr>
                <w:rFonts w:ascii="Arial" w:eastAsia="Times New Roman" w:hAnsi="Arial" w:cs="Arial"/>
                <w:sz w:val="18"/>
                <w:szCs w:val="18"/>
                <w:lang w:eastAsia="cs-CZ"/>
              </w:rPr>
              <w:t>0</w:t>
            </w:r>
          </w:p>
        </w:tc>
        <w:tc>
          <w:tcPr>
            <w:tcW w:w="329" w:type="pct"/>
            <w:shd w:val="clear" w:color="auto" w:fill="auto"/>
            <w:noWrap/>
            <w:vAlign w:val="bottom"/>
            <w:hideMark/>
          </w:tcPr>
          <w:p w14:paraId="446141C7" w14:textId="77777777" w:rsidR="00DE46DC" w:rsidRPr="00981301" w:rsidRDefault="00DE46DC" w:rsidP="00101E04">
            <w:pPr>
              <w:spacing w:before="120" w:line="271" w:lineRule="auto"/>
              <w:jc w:val="center"/>
              <w:rPr>
                <w:rFonts w:ascii="Arial" w:eastAsia="Times New Roman" w:hAnsi="Arial" w:cs="Arial"/>
                <w:sz w:val="18"/>
                <w:szCs w:val="18"/>
                <w:lang w:eastAsia="cs-CZ"/>
              </w:rPr>
            </w:pPr>
            <w:r w:rsidRPr="00981301">
              <w:rPr>
                <w:rFonts w:ascii="Arial" w:eastAsia="Times New Roman" w:hAnsi="Arial" w:cs="Arial"/>
                <w:sz w:val="18"/>
                <w:szCs w:val="18"/>
                <w:lang w:eastAsia="cs-CZ"/>
              </w:rPr>
              <w:t>0</w:t>
            </w:r>
          </w:p>
        </w:tc>
        <w:tc>
          <w:tcPr>
            <w:tcW w:w="338" w:type="pct"/>
            <w:shd w:val="clear" w:color="auto" w:fill="auto"/>
            <w:noWrap/>
            <w:vAlign w:val="bottom"/>
            <w:hideMark/>
          </w:tcPr>
          <w:p w14:paraId="62253BA5" w14:textId="77777777" w:rsidR="00DE46DC" w:rsidRPr="00981301" w:rsidRDefault="00DE46DC" w:rsidP="00101E04">
            <w:pPr>
              <w:spacing w:before="120" w:line="271" w:lineRule="auto"/>
              <w:jc w:val="center"/>
              <w:rPr>
                <w:rFonts w:ascii="Arial" w:eastAsia="Times New Roman" w:hAnsi="Arial" w:cs="Arial"/>
                <w:sz w:val="18"/>
                <w:szCs w:val="18"/>
                <w:lang w:eastAsia="cs-CZ"/>
              </w:rPr>
            </w:pPr>
            <w:r w:rsidRPr="00981301">
              <w:rPr>
                <w:rFonts w:ascii="Arial" w:eastAsia="Times New Roman" w:hAnsi="Arial" w:cs="Arial"/>
                <w:sz w:val="18"/>
                <w:szCs w:val="18"/>
                <w:lang w:eastAsia="cs-CZ"/>
              </w:rPr>
              <w:t>0</w:t>
            </w:r>
          </w:p>
        </w:tc>
        <w:tc>
          <w:tcPr>
            <w:tcW w:w="370" w:type="pct"/>
            <w:shd w:val="clear" w:color="auto" w:fill="auto"/>
            <w:noWrap/>
            <w:vAlign w:val="bottom"/>
            <w:hideMark/>
          </w:tcPr>
          <w:p w14:paraId="496E064D" w14:textId="77777777" w:rsidR="00DE46DC" w:rsidRPr="00981301" w:rsidRDefault="00DE46DC" w:rsidP="00101E04">
            <w:pPr>
              <w:spacing w:before="120" w:line="271" w:lineRule="auto"/>
              <w:jc w:val="center"/>
              <w:rPr>
                <w:rFonts w:ascii="Arial" w:eastAsia="Times New Roman" w:hAnsi="Arial" w:cs="Arial"/>
                <w:sz w:val="18"/>
                <w:szCs w:val="18"/>
                <w:lang w:eastAsia="cs-CZ"/>
              </w:rPr>
            </w:pPr>
            <w:r w:rsidRPr="00981301">
              <w:rPr>
                <w:rFonts w:ascii="Arial" w:eastAsia="Times New Roman" w:hAnsi="Arial" w:cs="Arial"/>
                <w:sz w:val="18"/>
                <w:szCs w:val="18"/>
                <w:lang w:eastAsia="cs-CZ"/>
              </w:rPr>
              <w:t>8,6</w:t>
            </w:r>
          </w:p>
        </w:tc>
        <w:tc>
          <w:tcPr>
            <w:tcW w:w="371" w:type="pct"/>
            <w:shd w:val="clear" w:color="auto" w:fill="auto"/>
            <w:noWrap/>
            <w:vAlign w:val="bottom"/>
            <w:hideMark/>
          </w:tcPr>
          <w:p w14:paraId="1CF49E41" w14:textId="77777777" w:rsidR="00DE46DC" w:rsidRPr="00981301" w:rsidRDefault="00DE46DC" w:rsidP="00101E04">
            <w:pPr>
              <w:spacing w:before="120" w:line="271" w:lineRule="auto"/>
              <w:jc w:val="center"/>
              <w:rPr>
                <w:rFonts w:ascii="Arial" w:eastAsia="Times New Roman" w:hAnsi="Arial" w:cs="Arial"/>
                <w:sz w:val="18"/>
                <w:szCs w:val="18"/>
                <w:lang w:eastAsia="cs-CZ"/>
              </w:rPr>
            </w:pPr>
            <w:r w:rsidRPr="00981301">
              <w:rPr>
                <w:rFonts w:ascii="Arial" w:eastAsia="Times New Roman" w:hAnsi="Arial" w:cs="Arial"/>
                <w:sz w:val="18"/>
                <w:szCs w:val="18"/>
                <w:lang w:eastAsia="cs-CZ"/>
              </w:rPr>
              <w:t>10,2</w:t>
            </w:r>
          </w:p>
        </w:tc>
        <w:tc>
          <w:tcPr>
            <w:tcW w:w="371" w:type="pct"/>
            <w:shd w:val="clear" w:color="auto" w:fill="auto"/>
            <w:noWrap/>
            <w:vAlign w:val="bottom"/>
            <w:hideMark/>
          </w:tcPr>
          <w:p w14:paraId="6F67D4C4" w14:textId="77777777" w:rsidR="00DE46DC" w:rsidRPr="00981301" w:rsidRDefault="00DE46DC" w:rsidP="00101E04">
            <w:pPr>
              <w:spacing w:before="120" w:line="271" w:lineRule="auto"/>
              <w:jc w:val="center"/>
              <w:rPr>
                <w:rFonts w:ascii="Arial" w:eastAsia="Times New Roman" w:hAnsi="Arial" w:cs="Arial"/>
                <w:sz w:val="18"/>
                <w:szCs w:val="18"/>
                <w:lang w:eastAsia="cs-CZ"/>
              </w:rPr>
            </w:pPr>
            <w:r w:rsidRPr="00981301">
              <w:rPr>
                <w:rFonts w:ascii="Arial" w:eastAsia="Times New Roman" w:hAnsi="Arial" w:cs="Arial"/>
                <w:sz w:val="18"/>
                <w:szCs w:val="18"/>
                <w:lang w:eastAsia="cs-CZ"/>
              </w:rPr>
              <w:t>29,1</w:t>
            </w:r>
          </w:p>
        </w:tc>
        <w:tc>
          <w:tcPr>
            <w:tcW w:w="371" w:type="pct"/>
            <w:shd w:val="clear" w:color="auto" w:fill="auto"/>
            <w:noWrap/>
            <w:vAlign w:val="bottom"/>
            <w:hideMark/>
          </w:tcPr>
          <w:p w14:paraId="7D5A4308" w14:textId="77777777" w:rsidR="00DE46DC" w:rsidRPr="00981301" w:rsidRDefault="00DE46DC" w:rsidP="00101E04">
            <w:pPr>
              <w:spacing w:before="120" w:line="271" w:lineRule="auto"/>
              <w:jc w:val="center"/>
              <w:rPr>
                <w:rFonts w:ascii="Arial" w:eastAsia="Times New Roman" w:hAnsi="Arial" w:cs="Arial"/>
                <w:sz w:val="18"/>
                <w:szCs w:val="18"/>
                <w:lang w:eastAsia="cs-CZ"/>
              </w:rPr>
            </w:pPr>
            <w:r w:rsidRPr="00981301">
              <w:rPr>
                <w:rFonts w:ascii="Arial" w:eastAsia="Times New Roman" w:hAnsi="Arial" w:cs="Arial"/>
                <w:sz w:val="18"/>
                <w:szCs w:val="18"/>
                <w:lang w:eastAsia="cs-CZ"/>
              </w:rPr>
              <w:t>49,7</w:t>
            </w:r>
          </w:p>
        </w:tc>
        <w:tc>
          <w:tcPr>
            <w:tcW w:w="444" w:type="pct"/>
            <w:vAlign w:val="bottom"/>
          </w:tcPr>
          <w:p w14:paraId="0ACA9666" w14:textId="77777777" w:rsidR="00DE46DC" w:rsidRPr="00981301" w:rsidRDefault="00DE46DC" w:rsidP="00101E04">
            <w:pPr>
              <w:spacing w:before="120" w:line="271" w:lineRule="auto"/>
              <w:jc w:val="center"/>
              <w:rPr>
                <w:rFonts w:ascii="Arial" w:eastAsia="Times New Roman" w:hAnsi="Arial" w:cs="Arial"/>
                <w:sz w:val="18"/>
                <w:szCs w:val="18"/>
                <w:lang w:eastAsia="cs-CZ"/>
              </w:rPr>
            </w:pPr>
            <w:r w:rsidRPr="00981301">
              <w:rPr>
                <w:rFonts w:ascii="Arial" w:eastAsia="Times New Roman" w:hAnsi="Arial" w:cs="Arial"/>
                <w:sz w:val="18"/>
                <w:szCs w:val="18"/>
                <w:lang w:eastAsia="cs-CZ"/>
              </w:rPr>
              <w:t>75</w:t>
            </w:r>
          </w:p>
        </w:tc>
        <w:tc>
          <w:tcPr>
            <w:tcW w:w="445" w:type="pct"/>
            <w:shd w:val="clear" w:color="auto" w:fill="auto"/>
            <w:noWrap/>
            <w:vAlign w:val="bottom"/>
            <w:hideMark/>
          </w:tcPr>
          <w:p w14:paraId="18F890B6" w14:textId="77777777" w:rsidR="00DE46DC" w:rsidRPr="00981301" w:rsidRDefault="00DE46DC" w:rsidP="00101E04">
            <w:pPr>
              <w:spacing w:before="120" w:line="271" w:lineRule="auto"/>
              <w:jc w:val="center"/>
              <w:rPr>
                <w:rFonts w:ascii="Arial" w:eastAsia="Times New Roman" w:hAnsi="Arial" w:cs="Arial"/>
                <w:sz w:val="18"/>
                <w:szCs w:val="18"/>
                <w:lang w:eastAsia="cs-CZ"/>
              </w:rPr>
            </w:pPr>
            <w:r w:rsidRPr="00981301">
              <w:rPr>
                <w:rFonts w:ascii="Arial" w:eastAsia="Times New Roman" w:hAnsi="Arial" w:cs="Arial"/>
                <w:sz w:val="18"/>
                <w:szCs w:val="18"/>
                <w:lang w:eastAsia="cs-CZ"/>
              </w:rPr>
              <w:t>172,6</w:t>
            </w:r>
          </w:p>
        </w:tc>
      </w:tr>
      <w:tr w:rsidR="00DE46DC" w:rsidRPr="00E87DB9" w14:paraId="1D3A7F91" w14:textId="77777777" w:rsidTr="00101E04">
        <w:trPr>
          <w:trHeight w:val="315"/>
        </w:trPr>
        <w:tc>
          <w:tcPr>
            <w:tcW w:w="1222" w:type="pct"/>
            <w:shd w:val="clear" w:color="000000" w:fill="FDE9D9"/>
            <w:noWrap/>
            <w:vAlign w:val="bottom"/>
            <w:hideMark/>
          </w:tcPr>
          <w:p w14:paraId="7845994A" w14:textId="77777777" w:rsidR="00DE46DC" w:rsidRPr="00DE46DC" w:rsidRDefault="00DE46DC" w:rsidP="00DE46DC">
            <w:pPr>
              <w:spacing w:before="120" w:line="271" w:lineRule="auto"/>
              <w:jc w:val="left"/>
              <w:rPr>
                <w:rFonts w:ascii="Arial" w:eastAsia="Times New Roman" w:hAnsi="Arial" w:cs="Arial"/>
                <w:b/>
                <w:bCs/>
                <w:sz w:val="18"/>
                <w:szCs w:val="18"/>
                <w:lang w:eastAsia="cs-CZ"/>
              </w:rPr>
            </w:pPr>
            <w:r w:rsidRPr="00DE46DC">
              <w:rPr>
                <w:rFonts w:ascii="Arial" w:eastAsia="Times New Roman" w:hAnsi="Arial" w:cs="Arial"/>
                <w:b/>
                <w:bCs/>
                <w:sz w:val="18"/>
                <w:szCs w:val="18"/>
                <w:lang w:eastAsia="cs-CZ"/>
              </w:rPr>
              <w:t>podpora celkem (mil. Kč)</w:t>
            </w:r>
          </w:p>
        </w:tc>
        <w:tc>
          <w:tcPr>
            <w:tcW w:w="371" w:type="pct"/>
            <w:shd w:val="clear" w:color="000000" w:fill="FDE9D9"/>
            <w:noWrap/>
            <w:vAlign w:val="bottom"/>
            <w:hideMark/>
          </w:tcPr>
          <w:p w14:paraId="21169C47" w14:textId="77777777" w:rsidR="00DE46DC" w:rsidRPr="00981301" w:rsidRDefault="00DE46DC" w:rsidP="00101E04">
            <w:pPr>
              <w:spacing w:before="120" w:line="271" w:lineRule="auto"/>
              <w:jc w:val="center"/>
              <w:rPr>
                <w:rFonts w:ascii="Arial" w:eastAsia="Times New Roman" w:hAnsi="Arial" w:cs="Arial"/>
                <w:sz w:val="18"/>
                <w:szCs w:val="18"/>
                <w:lang w:eastAsia="cs-CZ"/>
              </w:rPr>
            </w:pPr>
            <w:r w:rsidRPr="00981301">
              <w:rPr>
                <w:rFonts w:ascii="Arial" w:eastAsia="Times New Roman" w:hAnsi="Arial" w:cs="Arial"/>
                <w:sz w:val="18"/>
                <w:szCs w:val="18"/>
                <w:lang w:eastAsia="cs-CZ"/>
              </w:rPr>
              <w:t>0</w:t>
            </w:r>
          </w:p>
        </w:tc>
        <w:tc>
          <w:tcPr>
            <w:tcW w:w="371" w:type="pct"/>
            <w:shd w:val="clear" w:color="000000" w:fill="FDE9D9"/>
            <w:noWrap/>
            <w:vAlign w:val="bottom"/>
            <w:hideMark/>
          </w:tcPr>
          <w:p w14:paraId="7B7614F3" w14:textId="77777777" w:rsidR="00DE46DC" w:rsidRPr="00981301" w:rsidRDefault="00DE46DC" w:rsidP="00101E04">
            <w:pPr>
              <w:spacing w:before="120" w:line="271" w:lineRule="auto"/>
              <w:jc w:val="center"/>
              <w:rPr>
                <w:rFonts w:ascii="Arial" w:eastAsia="Times New Roman" w:hAnsi="Arial" w:cs="Arial"/>
                <w:sz w:val="18"/>
                <w:szCs w:val="18"/>
                <w:lang w:eastAsia="cs-CZ"/>
              </w:rPr>
            </w:pPr>
            <w:r w:rsidRPr="00981301">
              <w:rPr>
                <w:rFonts w:ascii="Arial" w:eastAsia="Times New Roman" w:hAnsi="Arial" w:cs="Arial"/>
                <w:sz w:val="18"/>
                <w:szCs w:val="18"/>
                <w:lang w:eastAsia="cs-CZ"/>
              </w:rPr>
              <w:t>0</w:t>
            </w:r>
          </w:p>
        </w:tc>
        <w:tc>
          <w:tcPr>
            <w:tcW w:w="329" w:type="pct"/>
            <w:shd w:val="clear" w:color="000000" w:fill="FDE9D9"/>
            <w:noWrap/>
            <w:vAlign w:val="bottom"/>
            <w:hideMark/>
          </w:tcPr>
          <w:p w14:paraId="7C0EA137" w14:textId="77777777" w:rsidR="00DE46DC" w:rsidRPr="00981301" w:rsidRDefault="00DE46DC" w:rsidP="00101E04">
            <w:pPr>
              <w:spacing w:before="120" w:line="271" w:lineRule="auto"/>
              <w:jc w:val="center"/>
              <w:rPr>
                <w:rFonts w:ascii="Arial" w:eastAsia="Times New Roman" w:hAnsi="Arial" w:cs="Arial"/>
                <w:sz w:val="18"/>
                <w:szCs w:val="18"/>
                <w:lang w:eastAsia="cs-CZ"/>
              </w:rPr>
            </w:pPr>
            <w:r w:rsidRPr="00981301">
              <w:rPr>
                <w:rFonts w:ascii="Arial" w:eastAsia="Times New Roman" w:hAnsi="Arial" w:cs="Arial"/>
                <w:sz w:val="18"/>
                <w:szCs w:val="18"/>
                <w:lang w:eastAsia="cs-CZ"/>
              </w:rPr>
              <w:t>0</w:t>
            </w:r>
          </w:p>
        </w:tc>
        <w:tc>
          <w:tcPr>
            <w:tcW w:w="338" w:type="pct"/>
            <w:shd w:val="clear" w:color="000000" w:fill="FDE9D9"/>
            <w:noWrap/>
            <w:vAlign w:val="bottom"/>
            <w:hideMark/>
          </w:tcPr>
          <w:p w14:paraId="584BAD65" w14:textId="77777777" w:rsidR="00DE46DC" w:rsidRPr="00981301" w:rsidRDefault="00DE46DC" w:rsidP="00101E04">
            <w:pPr>
              <w:spacing w:before="120" w:line="271" w:lineRule="auto"/>
              <w:jc w:val="center"/>
              <w:rPr>
                <w:rFonts w:ascii="Arial" w:eastAsia="Times New Roman" w:hAnsi="Arial" w:cs="Arial"/>
                <w:sz w:val="18"/>
                <w:szCs w:val="18"/>
                <w:lang w:eastAsia="cs-CZ"/>
              </w:rPr>
            </w:pPr>
            <w:r w:rsidRPr="00981301">
              <w:rPr>
                <w:rFonts w:ascii="Arial" w:eastAsia="Times New Roman" w:hAnsi="Arial" w:cs="Arial"/>
                <w:sz w:val="18"/>
                <w:szCs w:val="18"/>
                <w:lang w:eastAsia="cs-CZ"/>
              </w:rPr>
              <w:t>0</w:t>
            </w:r>
          </w:p>
        </w:tc>
        <w:tc>
          <w:tcPr>
            <w:tcW w:w="370" w:type="pct"/>
            <w:shd w:val="clear" w:color="000000" w:fill="FDE9D9"/>
            <w:noWrap/>
            <w:vAlign w:val="bottom"/>
            <w:hideMark/>
          </w:tcPr>
          <w:p w14:paraId="6A47E39D" w14:textId="77777777" w:rsidR="00DE46DC" w:rsidRPr="00981301" w:rsidRDefault="00DE46DC" w:rsidP="00101E04">
            <w:pPr>
              <w:spacing w:before="120" w:line="271" w:lineRule="auto"/>
              <w:jc w:val="center"/>
              <w:rPr>
                <w:rFonts w:ascii="Arial" w:eastAsia="Times New Roman" w:hAnsi="Arial" w:cs="Arial"/>
                <w:sz w:val="18"/>
                <w:szCs w:val="18"/>
                <w:lang w:eastAsia="cs-CZ"/>
              </w:rPr>
            </w:pPr>
            <w:r w:rsidRPr="00981301">
              <w:rPr>
                <w:rFonts w:ascii="Arial" w:eastAsia="Times New Roman" w:hAnsi="Arial" w:cs="Arial"/>
                <w:sz w:val="18"/>
                <w:szCs w:val="18"/>
                <w:lang w:eastAsia="cs-CZ"/>
              </w:rPr>
              <w:t>22,5</w:t>
            </w:r>
          </w:p>
        </w:tc>
        <w:tc>
          <w:tcPr>
            <w:tcW w:w="371" w:type="pct"/>
            <w:shd w:val="clear" w:color="000000" w:fill="FDE9D9"/>
            <w:noWrap/>
            <w:vAlign w:val="bottom"/>
            <w:hideMark/>
          </w:tcPr>
          <w:p w14:paraId="62F3FBC3" w14:textId="77777777" w:rsidR="00DE46DC" w:rsidRPr="00981301" w:rsidRDefault="00DE46DC" w:rsidP="00101E04">
            <w:pPr>
              <w:spacing w:before="120" w:line="271" w:lineRule="auto"/>
              <w:jc w:val="center"/>
              <w:rPr>
                <w:rFonts w:ascii="Arial" w:eastAsia="Times New Roman" w:hAnsi="Arial" w:cs="Arial"/>
                <w:sz w:val="18"/>
                <w:szCs w:val="18"/>
                <w:lang w:eastAsia="cs-CZ"/>
              </w:rPr>
            </w:pPr>
            <w:r w:rsidRPr="00981301">
              <w:rPr>
                <w:rFonts w:ascii="Arial" w:eastAsia="Times New Roman" w:hAnsi="Arial" w:cs="Arial"/>
                <w:sz w:val="18"/>
                <w:szCs w:val="18"/>
                <w:lang w:eastAsia="cs-CZ"/>
              </w:rPr>
              <w:t>29,6</w:t>
            </w:r>
          </w:p>
        </w:tc>
        <w:tc>
          <w:tcPr>
            <w:tcW w:w="371" w:type="pct"/>
            <w:shd w:val="clear" w:color="000000" w:fill="FDE9D9"/>
            <w:noWrap/>
            <w:vAlign w:val="bottom"/>
            <w:hideMark/>
          </w:tcPr>
          <w:p w14:paraId="450E601A" w14:textId="77777777" w:rsidR="00DE46DC" w:rsidRPr="00981301" w:rsidRDefault="00DE46DC" w:rsidP="00101E04">
            <w:pPr>
              <w:spacing w:before="120" w:line="271" w:lineRule="auto"/>
              <w:jc w:val="center"/>
              <w:rPr>
                <w:rFonts w:ascii="Arial" w:eastAsia="Times New Roman" w:hAnsi="Arial" w:cs="Arial"/>
                <w:sz w:val="18"/>
                <w:szCs w:val="18"/>
                <w:lang w:eastAsia="cs-CZ"/>
              </w:rPr>
            </w:pPr>
            <w:r w:rsidRPr="00981301">
              <w:rPr>
                <w:rFonts w:ascii="Arial" w:eastAsia="Times New Roman" w:hAnsi="Arial" w:cs="Arial"/>
                <w:sz w:val="18"/>
                <w:szCs w:val="18"/>
                <w:lang w:eastAsia="cs-CZ"/>
              </w:rPr>
              <w:t>40,7</w:t>
            </w:r>
          </w:p>
        </w:tc>
        <w:tc>
          <w:tcPr>
            <w:tcW w:w="371" w:type="pct"/>
            <w:shd w:val="clear" w:color="000000" w:fill="FDE9D9"/>
            <w:noWrap/>
            <w:vAlign w:val="bottom"/>
            <w:hideMark/>
          </w:tcPr>
          <w:p w14:paraId="53898D60" w14:textId="77777777" w:rsidR="00DE46DC" w:rsidRPr="00981301" w:rsidRDefault="00DE46DC" w:rsidP="00101E04">
            <w:pPr>
              <w:spacing w:before="120" w:line="271" w:lineRule="auto"/>
              <w:jc w:val="center"/>
              <w:rPr>
                <w:rFonts w:ascii="Arial" w:eastAsia="Times New Roman" w:hAnsi="Arial" w:cs="Arial"/>
                <w:sz w:val="18"/>
                <w:szCs w:val="18"/>
                <w:lang w:eastAsia="cs-CZ"/>
              </w:rPr>
            </w:pPr>
            <w:r w:rsidRPr="00981301">
              <w:rPr>
                <w:rFonts w:ascii="Arial" w:eastAsia="Times New Roman" w:hAnsi="Arial" w:cs="Arial"/>
                <w:sz w:val="18"/>
                <w:szCs w:val="18"/>
                <w:lang w:eastAsia="cs-CZ"/>
              </w:rPr>
              <w:t>116,5</w:t>
            </w:r>
          </w:p>
        </w:tc>
        <w:tc>
          <w:tcPr>
            <w:tcW w:w="444" w:type="pct"/>
            <w:shd w:val="clear" w:color="000000" w:fill="FDE9D9"/>
            <w:vAlign w:val="bottom"/>
          </w:tcPr>
          <w:p w14:paraId="5F018419" w14:textId="77777777" w:rsidR="00DE46DC" w:rsidRPr="00981301" w:rsidRDefault="00DE46DC" w:rsidP="00101E04">
            <w:pPr>
              <w:spacing w:before="120" w:line="271" w:lineRule="auto"/>
              <w:jc w:val="center"/>
              <w:rPr>
                <w:rFonts w:ascii="Arial" w:eastAsia="Times New Roman" w:hAnsi="Arial" w:cs="Arial"/>
                <w:sz w:val="18"/>
                <w:szCs w:val="18"/>
                <w:lang w:eastAsia="cs-CZ"/>
              </w:rPr>
            </w:pPr>
            <w:r w:rsidRPr="00981301">
              <w:rPr>
                <w:rFonts w:ascii="Arial" w:eastAsia="Times New Roman" w:hAnsi="Arial" w:cs="Arial"/>
                <w:sz w:val="18"/>
                <w:szCs w:val="18"/>
                <w:lang w:eastAsia="cs-CZ"/>
              </w:rPr>
              <w:t>94,7</w:t>
            </w:r>
          </w:p>
        </w:tc>
        <w:tc>
          <w:tcPr>
            <w:tcW w:w="445" w:type="pct"/>
            <w:shd w:val="clear" w:color="000000" w:fill="FDE9D9"/>
            <w:noWrap/>
            <w:vAlign w:val="bottom"/>
            <w:hideMark/>
          </w:tcPr>
          <w:p w14:paraId="5835A652" w14:textId="77777777" w:rsidR="00DE46DC" w:rsidRPr="00981301" w:rsidRDefault="00DE46DC" w:rsidP="00101E04">
            <w:pPr>
              <w:spacing w:before="120" w:line="271" w:lineRule="auto"/>
              <w:jc w:val="center"/>
              <w:rPr>
                <w:rFonts w:ascii="Arial" w:eastAsia="Times New Roman" w:hAnsi="Arial" w:cs="Arial"/>
                <w:sz w:val="18"/>
                <w:szCs w:val="18"/>
                <w:lang w:eastAsia="cs-CZ"/>
              </w:rPr>
            </w:pPr>
            <w:r w:rsidRPr="00981301">
              <w:rPr>
                <w:rFonts w:ascii="Arial" w:eastAsia="Times New Roman" w:hAnsi="Arial" w:cs="Arial"/>
                <w:sz w:val="18"/>
                <w:szCs w:val="18"/>
                <w:lang w:eastAsia="cs-CZ"/>
              </w:rPr>
              <w:t>304</w:t>
            </w:r>
          </w:p>
        </w:tc>
      </w:tr>
    </w:tbl>
    <w:p w14:paraId="683CA71A" w14:textId="77777777" w:rsidR="00DE46DC" w:rsidRPr="00E87DB9" w:rsidRDefault="00DE46DC" w:rsidP="00DE46DC">
      <w:pPr>
        <w:spacing w:line="276" w:lineRule="auto"/>
        <w:rPr>
          <w:rFonts w:ascii="Arial" w:hAnsi="Arial" w:cs="Arial"/>
        </w:rPr>
      </w:pPr>
      <w:r w:rsidRPr="00E87DB9">
        <w:rPr>
          <w:rFonts w:ascii="Arial" w:hAnsi="Arial" w:cs="Arial"/>
        </w:rPr>
        <w:t xml:space="preserve"> </w:t>
      </w:r>
    </w:p>
    <w:p w14:paraId="79E390F2" w14:textId="40AD8325" w:rsidR="00DE46DC" w:rsidRPr="00F92499" w:rsidRDefault="00DE46DC" w:rsidP="00F92499">
      <w:pPr>
        <w:pStyle w:val="UZEIGraf"/>
        <w:ind w:hanging="720"/>
      </w:pPr>
      <w:bookmarkStart w:id="371" w:name="_Toc93676680"/>
      <w:r w:rsidRPr="00F92499">
        <w:t xml:space="preserve">Množství zachráněných potravin </w:t>
      </w:r>
      <w:r w:rsidR="00F92499">
        <w:t>(t)</w:t>
      </w:r>
      <w:bookmarkEnd w:id="371"/>
    </w:p>
    <w:p w14:paraId="2A3C8176" w14:textId="4EE082B4" w:rsidR="00DE46DC" w:rsidRPr="00E87DB9" w:rsidRDefault="00DE46DC" w:rsidP="00DE46DC">
      <w:pPr>
        <w:rPr>
          <w:rFonts w:ascii="Arial" w:hAnsi="Arial" w:cs="Arial"/>
          <w:bCs/>
        </w:rPr>
      </w:pPr>
      <w:r w:rsidRPr="00E87DB9">
        <w:rPr>
          <w:rFonts w:ascii="Arial" w:hAnsi="Arial" w:cs="Arial"/>
          <w:noProof/>
          <w:lang w:val="cs-CZ" w:eastAsia="cs-CZ"/>
        </w:rPr>
        <w:drawing>
          <wp:inline distT="0" distB="0" distL="0" distR="0" wp14:anchorId="3791CA30" wp14:editId="5E1CA44D">
            <wp:extent cx="5731933" cy="3445511"/>
            <wp:effectExtent l="0" t="0" r="2540" b="254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37158" cy="3448652"/>
                    </a:xfrm>
                    <a:prstGeom prst="rect">
                      <a:avLst/>
                    </a:prstGeom>
                    <a:noFill/>
                  </pic:spPr>
                </pic:pic>
              </a:graphicData>
            </a:graphic>
          </wp:inline>
        </w:drawing>
      </w:r>
    </w:p>
    <w:p w14:paraId="6E3F54EB" w14:textId="77777777" w:rsidR="00DE46DC" w:rsidRPr="00E87DB9" w:rsidRDefault="00DE46DC" w:rsidP="00DE46DC">
      <w:pPr>
        <w:rPr>
          <w:rFonts w:ascii="Arial" w:hAnsi="Arial" w:cs="Arial"/>
        </w:rPr>
      </w:pPr>
      <w:bookmarkStart w:id="372" w:name="_Toc59535539"/>
    </w:p>
    <w:bookmarkEnd w:id="372"/>
    <w:p w14:paraId="001498E7" w14:textId="77777777" w:rsidR="00DE46DC" w:rsidRDefault="00DE46DC">
      <w:pPr>
        <w:spacing w:after="160" w:line="259" w:lineRule="auto"/>
        <w:jc w:val="left"/>
        <w:rPr>
          <w:rFonts w:eastAsia="Times New Roman" w:cstheme="minorHAnsi"/>
          <w:szCs w:val="24"/>
          <w:lang w:val="cs-CZ" w:eastAsia="cs-CZ"/>
        </w:rPr>
      </w:pPr>
      <w:r>
        <w:br w:type="page"/>
      </w:r>
    </w:p>
    <w:p w14:paraId="0EA9BF66" w14:textId="0BD80587" w:rsidR="00DE46DC" w:rsidRDefault="00DE46DC" w:rsidP="00DE46DC">
      <w:pPr>
        <w:pStyle w:val="UZEINormaln"/>
      </w:pPr>
      <w:r w:rsidRPr="00DE46DC">
        <w:t>SWOT analýza k problematice potravinového odpadu (upraveno na základě Materiálu „Státní politika životního prostředí České republiky 2030 s výhledem do 2050“ zpracovaný Ministerstvem životního prostředí ve vztahu k oběhovému hospodářství):</w:t>
      </w:r>
    </w:p>
    <w:p w14:paraId="7958C091" w14:textId="77777777" w:rsidR="00DE46DC" w:rsidRPr="00DE46DC" w:rsidRDefault="00DE46DC" w:rsidP="00DE46DC">
      <w:pPr>
        <w:pStyle w:val="UZEINormaln"/>
      </w:pPr>
    </w:p>
    <w:tbl>
      <w:tblPr>
        <w:tblStyle w:val="Mkatabulky"/>
        <w:tblW w:w="9072" w:type="dxa"/>
        <w:tblInd w:w="-5" w:type="dxa"/>
        <w:tblLook w:val="04A0" w:firstRow="1" w:lastRow="0" w:firstColumn="1" w:lastColumn="0" w:noHBand="0" w:noVBand="1"/>
      </w:tblPr>
      <w:tblGrid>
        <w:gridCol w:w="4678"/>
        <w:gridCol w:w="4394"/>
      </w:tblGrid>
      <w:tr w:rsidR="00DE46DC" w:rsidRPr="00C10026" w14:paraId="3CF28B98" w14:textId="77777777" w:rsidTr="00101E04">
        <w:tc>
          <w:tcPr>
            <w:tcW w:w="4678"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212061A1" w14:textId="77777777" w:rsidR="00DE46DC" w:rsidRPr="00FA3A37" w:rsidRDefault="00DE46DC" w:rsidP="00101E04">
            <w:pPr>
              <w:pStyle w:val="Odstavecseseznamem"/>
              <w:ind w:left="360"/>
              <w:rPr>
                <w:sz w:val="22"/>
                <w:szCs w:val="22"/>
              </w:rPr>
            </w:pPr>
            <w:r w:rsidRPr="00FA3A37">
              <w:rPr>
                <w:b/>
                <w:sz w:val="22"/>
                <w:szCs w:val="22"/>
              </w:rPr>
              <w:t>Silné stránky</w:t>
            </w:r>
            <w:r w:rsidRPr="00FA3A37">
              <w:rPr>
                <w:sz w:val="22"/>
                <w:szCs w:val="22"/>
              </w:rPr>
              <w:t xml:space="preserve"> (S - Strengths)</w:t>
            </w:r>
          </w:p>
        </w:tc>
        <w:tc>
          <w:tcPr>
            <w:tcW w:w="4394"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724E3274" w14:textId="77777777" w:rsidR="00DE46DC" w:rsidRPr="00FA3A37" w:rsidRDefault="00DE46DC" w:rsidP="00101E04">
            <w:pPr>
              <w:pStyle w:val="Odstavecseseznamem"/>
              <w:ind w:left="0"/>
              <w:jc w:val="center"/>
              <w:rPr>
                <w:sz w:val="22"/>
                <w:szCs w:val="22"/>
              </w:rPr>
            </w:pPr>
            <w:r w:rsidRPr="00FA3A37">
              <w:rPr>
                <w:b/>
                <w:sz w:val="22"/>
                <w:szCs w:val="22"/>
              </w:rPr>
              <w:t>Slabé stránky</w:t>
            </w:r>
            <w:r w:rsidRPr="00FA3A37">
              <w:rPr>
                <w:sz w:val="22"/>
                <w:szCs w:val="22"/>
              </w:rPr>
              <w:t xml:space="preserve"> (W - Weaknesses)</w:t>
            </w:r>
          </w:p>
        </w:tc>
      </w:tr>
      <w:tr w:rsidR="00DE46DC" w:rsidRPr="00C10026" w14:paraId="6BE453DE" w14:textId="77777777" w:rsidTr="00101E04">
        <w:tc>
          <w:tcPr>
            <w:tcW w:w="4678" w:type="dxa"/>
            <w:tcBorders>
              <w:top w:val="single" w:sz="4" w:space="0" w:color="auto"/>
              <w:left w:val="single" w:sz="4" w:space="0" w:color="auto"/>
              <w:bottom w:val="single" w:sz="4" w:space="0" w:color="auto"/>
              <w:right w:val="single" w:sz="4" w:space="0" w:color="auto"/>
            </w:tcBorders>
            <w:hideMark/>
          </w:tcPr>
          <w:p w14:paraId="3FE21F02" w14:textId="77777777" w:rsidR="00DE46DC" w:rsidRPr="00FA3A37" w:rsidRDefault="00DE46DC" w:rsidP="00101E04">
            <w:pPr>
              <w:pStyle w:val="Odstavecseseznamem"/>
              <w:ind w:left="180" w:hanging="180"/>
              <w:rPr>
                <w:sz w:val="22"/>
                <w:szCs w:val="22"/>
              </w:rPr>
            </w:pPr>
            <w:r w:rsidRPr="00FA3A37">
              <w:rPr>
                <w:sz w:val="22"/>
                <w:szCs w:val="22"/>
              </w:rPr>
              <w:t xml:space="preserve">Zájem veřejnosti a NNO o problematiku plýtvání potravinami </w:t>
            </w:r>
          </w:p>
          <w:p w14:paraId="60CC72EE" w14:textId="77777777" w:rsidR="00DE46DC" w:rsidRPr="00FA3A37" w:rsidRDefault="00DE46DC" w:rsidP="00101E04">
            <w:pPr>
              <w:pStyle w:val="Odstavecseseznamem"/>
              <w:ind w:left="180" w:hanging="180"/>
              <w:rPr>
                <w:sz w:val="22"/>
                <w:szCs w:val="22"/>
              </w:rPr>
            </w:pPr>
            <w:r w:rsidRPr="00FA3A37">
              <w:rPr>
                <w:sz w:val="22"/>
                <w:szCs w:val="22"/>
              </w:rPr>
              <w:t>Zvyšující se materiálové využití vyřazených potravin jako zdroje suroviny pro další zpracování</w:t>
            </w:r>
          </w:p>
          <w:p w14:paraId="1E62012F" w14:textId="77777777" w:rsidR="00DE46DC" w:rsidRPr="00FA3A37" w:rsidRDefault="00DE46DC" w:rsidP="00101E04">
            <w:pPr>
              <w:pStyle w:val="Odstavecseseznamem"/>
              <w:ind w:left="180" w:hanging="180"/>
              <w:rPr>
                <w:b/>
                <w:sz w:val="22"/>
                <w:szCs w:val="22"/>
              </w:rPr>
            </w:pPr>
            <w:r w:rsidRPr="00FA3A37">
              <w:rPr>
                <w:b/>
                <w:sz w:val="22"/>
                <w:szCs w:val="22"/>
              </w:rPr>
              <w:t>Kvalitní osvěta v oblasti odpadového hospodářství se zaměřením na předcházení vzniku potravinových odpadů</w:t>
            </w:r>
          </w:p>
          <w:p w14:paraId="30D4310E" w14:textId="77777777" w:rsidR="00DE46DC" w:rsidRPr="00FA3A37" w:rsidRDefault="00DE46DC" w:rsidP="00101E04">
            <w:pPr>
              <w:pStyle w:val="Odstavecseseznamem"/>
              <w:ind w:left="180" w:hanging="180"/>
              <w:rPr>
                <w:sz w:val="22"/>
                <w:szCs w:val="22"/>
              </w:rPr>
            </w:pPr>
            <w:r w:rsidRPr="00FA3A37">
              <w:rPr>
                <w:sz w:val="22"/>
                <w:szCs w:val="22"/>
              </w:rPr>
              <w:t>Systém sběru tříděného komunálního odpadu – rozšíření na sběr bioodpadu</w:t>
            </w:r>
          </w:p>
          <w:p w14:paraId="576ABCC7" w14:textId="77777777" w:rsidR="00DE46DC" w:rsidRPr="00FA3A37" w:rsidRDefault="00DE46DC" w:rsidP="00101E04">
            <w:pPr>
              <w:pStyle w:val="Odstavecseseznamem"/>
              <w:ind w:left="180" w:hanging="180"/>
              <w:rPr>
                <w:b/>
                <w:sz w:val="22"/>
                <w:szCs w:val="22"/>
              </w:rPr>
            </w:pPr>
            <w:r w:rsidRPr="00FA3A37">
              <w:rPr>
                <w:b/>
                <w:sz w:val="22"/>
                <w:szCs w:val="22"/>
              </w:rPr>
              <w:t xml:space="preserve">Propojení aktivit státní správy, podnikatelských a průmyslových svazů, asociací a sdružení v oblasti oběhového hospodářství </w:t>
            </w:r>
          </w:p>
          <w:p w14:paraId="34D8FE34" w14:textId="77777777" w:rsidR="00DE46DC" w:rsidRPr="00FA3A37" w:rsidRDefault="00DE46DC" w:rsidP="00101E04">
            <w:pPr>
              <w:pStyle w:val="Odstavecseseznamem"/>
              <w:ind w:left="180" w:hanging="180"/>
              <w:rPr>
                <w:b/>
                <w:sz w:val="22"/>
                <w:szCs w:val="22"/>
              </w:rPr>
            </w:pPr>
            <w:r w:rsidRPr="00FA3A37">
              <w:rPr>
                <w:b/>
                <w:sz w:val="22"/>
                <w:szCs w:val="22"/>
              </w:rPr>
              <w:t>Zvyšující se environmentální uvědomění odborné i občanské veřejnosti</w:t>
            </w:r>
          </w:p>
          <w:p w14:paraId="039CD78D" w14:textId="77777777" w:rsidR="00DE46DC" w:rsidRPr="00FA3A37" w:rsidRDefault="00DE46DC" w:rsidP="00101E04">
            <w:pPr>
              <w:pStyle w:val="Odstavecseseznamem"/>
              <w:ind w:left="180" w:hanging="180"/>
              <w:rPr>
                <w:sz w:val="22"/>
                <w:szCs w:val="22"/>
              </w:rPr>
            </w:pPr>
          </w:p>
        </w:tc>
        <w:tc>
          <w:tcPr>
            <w:tcW w:w="4394" w:type="dxa"/>
            <w:tcBorders>
              <w:top w:val="single" w:sz="4" w:space="0" w:color="auto"/>
              <w:left w:val="single" w:sz="4" w:space="0" w:color="auto"/>
              <w:bottom w:val="single" w:sz="4" w:space="0" w:color="auto"/>
              <w:right w:val="single" w:sz="4" w:space="0" w:color="auto"/>
            </w:tcBorders>
            <w:hideMark/>
          </w:tcPr>
          <w:p w14:paraId="3305FAB7" w14:textId="77777777" w:rsidR="00DE46DC" w:rsidRPr="00FA3A37" w:rsidRDefault="00DE46DC" w:rsidP="00101E04">
            <w:pPr>
              <w:pStyle w:val="Odstavecseseznamem"/>
              <w:ind w:left="180" w:hanging="180"/>
              <w:rPr>
                <w:sz w:val="22"/>
                <w:szCs w:val="22"/>
              </w:rPr>
            </w:pPr>
            <w:r w:rsidRPr="00FA3A37">
              <w:rPr>
                <w:sz w:val="22"/>
                <w:szCs w:val="22"/>
              </w:rPr>
              <w:t xml:space="preserve">Celkové množství vyprodukovaného potravinového odpadu </w:t>
            </w:r>
          </w:p>
          <w:p w14:paraId="077004B1" w14:textId="77777777" w:rsidR="00DE46DC" w:rsidRPr="00FA3A37" w:rsidRDefault="00DE46DC" w:rsidP="00101E04">
            <w:pPr>
              <w:pStyle w:val="Odstavecseseznamem"/>
              <w:ind w:left="180" w:hanging="180"/>
              <w:rPr>
                <w:i/>
                <w:sz w:val="22"/>
                <w:szCs w:val="22"/>
              </w:rPr>
            </w:pPr>
            <w:r w:rsidRPr="00FA3A37">
              <w:rPr>
                <w:sz w:val="22"/>
                <w:szCs w:val="22"/>
              </w:rPr>
              <w:t>Vysoká míra skládkování komunálních odpadů</w:t>
            </w:r>
          </w:p>
          <w:p w14:paraId="6F70B557" w14:textId="77777777" w:rsidR="00DE46DC" w:rsidRPr="00FA3A37" w:rsidRDefault="00DE46DC" w:rsidP="00101E04">
            <w:pPr>
              <w:pStyle w:val="Odstavecseseznamem"/>
              <w:ind w:left="180" w:hanging="180"/>
              <w:rPr>
                <w:sz w:val="22"/>
                <w:szCs w:val="22"/>
              </w:rPr>
            </w:pPr>
            <w:r w:rsidRPr="00FA3A37">
              <w:rPr>
                <w:sz w:val="22"/>
                <w:szCs w:val="22"/>
              </w:rPr>
              <w:t>Nedostatečná separace biologicky rozloži</w:t>
            </w:r>
            <w:r w:rsidRPr="00FA3A37">
              <w:rPr>
                <w:sz w:val="22"/>
                <w:szCs w:val="22"/>
              </w:rPr>
              <w:softHyphen/>
              <w:t>telných odpadů ze směsného komunálního odpadu</w:t>
            </w:r>
          </w:p>
          <w:p w14:paraId="51E9CFE7" w14:textId="77777777" w:rsidR="00DE46DC" w:rsidRPr="00FA3A37" w:rsidRDefault="00DE46DC" w:rsidP="00101E04">
            <w:pPr>
              <w:pStyle w:val="Odstavecseseznamem"/>
              <w:ind w:left="180" w:hanging="180"/>
              <w:rPr>
                <w:b/>
                <w:sz w:val="22"/>
                <w:szCs w:val="22"/>
              </w:rPr>
            </w:pPr>
            <w:r w:rsidRPr="00FA3A37">
              <w:rPr>
                <w:b/>
                <w:sz w:val="22"/>
                <w:szCs w:val="22"/>
              </w:rPr>
              <w:t>Nedostatečná úroveň předcházení vzniku odpadů</w:t>
            </w:r>
          </w:p>
          <w:p w14:paraId="11D9B028" w14:textId="77777777" w:rsidR="00DE46DC" w:rsidRPr="00FA3A37" w:rsidRDefault="00DE46DC" w:rsidP="00101E04">
            <w:pPr>
              <w:pStyle w:val="Odstavecseseznamem"/>
              <w:ind w:left="180" w:hanging="180"/>
              <w:rPr>
                <w:b/>
                <w:sz w:val="22"/>
                <w:szCs w:val="22"/>
              </w:rPr>
            </w:pPr>
            <w:r w:rsidRPr="00FA3A37">
              <w:rPr>
                <w:b/>
                <w:sz w:val="22"/>
                <w:szCs w:val="22"/>
              </w:rPr>
              <w:t>Nejsou k dispozici relevantní data o množství potravinového odpadu z jednotlivých článků potravinového řetězce</w:t>
            </w:r>
          </w:p>
          <w:p w14:paraId="67479CD6" w14:textId="77777777" w:rsidR="00DE46DC" w:rsidRPr="00FA3A37" w:rsidRDefault="00DE46DC" w:rsidP="00101E04">
            <w:pPr>
              <w:pStyle w:val="Odstavecseseznamem"/>
              <w:ind w:left="180" w:hanging="180"/>
              <w:rPr>
                <w:sz w:val="22"/>
                <w:szCs w:val="22"/>
              </w:rPr>
            </w:pPr>
            <w:r w:rsidRPr="00FA3A37">
              <w:rPr>
                <w:sz w:val="22"/>
                <w:szCs w:val="22"/>
              </w:rPr>
              <w:t>Nedostatečná úroveň inovací ve všech částech ekonomického cyklu (využití surovin, výroba, recyklace)</w:t>
            </w:r>
          </w:p>
          <w:p w14:paraId="4158A152" w14:textId="77777777" w:rsidR="00DE46DC" w:rsidRPr="00FA3A37" w:rsidRDefault="00DE46DC" w:rsidP="00101E04">
            <w:pPr>
              <w:pStyle w:val="Odstavecseseznamem"/>
              <w:ind w:left="180" w:hanging="180"/>
              <w:rPr>
                <w:sz w:val="22"/>
                <w:szCs w:val="22"/>
              </w:rPr>
            </w:pPr>
            <w:r w:rsidRPr="00FA3A37">
              <w:rPr>
                <w:sz w:val="22"/>
                <w:szCs w:val="22"/>
              </w:rPr>
              <w:t>Nízká sazba poplatku za uložení na skládku</w:t>
            </w:r>
          </w:p>
          <w:p w14:paraId="0031AFFE" w14:textId="77777777" w:rsidR="00DE46DC" w:rsidRPr="00FA3A37" w:rsidRDefault="00DE46DC" w:rsidP="00101E04">
            <w:pPr>
              <w:pStyle w:val="Odstavecseseznamem"/>
              <w:ind w:left="180" w:hanging="180"/>
              <w:rPr>
                <w:sz w:val="22"/>
                <w:szCs w:val="22"/>
              </w:rPr>
            </w:pPr>
            <w:r w:rsidRPr="00FA3A37">
              <w:rPr>
                <w:sz w:val="22"/>
                <w:szCs w:val="22"/>
              </w:rPr>
              <w:t>Voda stále není považována za zdroj</w:t>
            </w:r>
          </w:p>
          <w:p w14:paraId="0D3957A7" w14:textId="77777777" w:rsidR="00DE46DC" w:rsidRPr="00FA3A37" w:rsidRDefault="00DE46DC" w:rsidP="00101E04">
            <w:pPr>
              <w:pStyle w:val="Odstavecseseznamem"/>
              <w:ind w:left="180" w:hanging="180"/>
              <w:rPr>
                <w:sz w:val="22"/>
                <w:szCs w:val="22"/>
              </w:rPr>
            </w:pPr>
            <w:r w:rsidRPr="00FA3A37">
              <w:rPr>
                <w:sz w:val="22"/>
                <w:szCs w:val="22"/>
              </w:rPr>
              <w:t>Legislativa neřeší recyklaci vod po praktické stránce</w:t>
            </w:r>
          </w:p>
        </w:tc>
      </w:tr>
      <w:tr w:rsidR="00DE46DC" w:rsidRPr="00C10026" w14:paraId="2C9DE391" w14:textId="77777777" w:rsidTr="00101E04">
        <w:tc>
          <w:tcPr>
            <w:tcW w:w="4678"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31726EB1" w14:textId="77777777" w:rsidR="00DE46DC" w:rsidRPr="00FA3A37" w:rsidRDefault="00DE46DC" w:rsidP="00101E04">
            <w:pPr>
              <w:pStyle w:val="Odstavecseseznamem"/>
              <w:ind w:left="0"/>
              <w:jc w:val="center"/>
              <w:rPr>
                <w:sz w:val="22"/>
                <w:szCs w:val="22"/>
              </w:rPr>
            </w:pPr>
            <w:r w:rsidRPr="00FA3A37">
              <w:rPr>
                <w:b/>
                <w:sz w:val="22"/>
                <w:szCs w:val="22"/>
              </w:rPr>
              <w:t>Příležitosti</w:t>
            </w:r>
            <w:r w:rsidRPr="00FA3A37">
              <w:rPr>
                <w:sz w:val="22"/>
                <w:szCs w:val="22"/>
              </w:rPr>
              <w:t xml:space="preserve"> (O - Opportunities)</w:t>
            </w:r>
          </w:p>
        </w:tc>
        <w:tc>
          <w:tcPr>
            <w:tcW w:w="4394"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0E0D3B05" w14:textId="77777777" w:rsidR="00DE46DC" w:rsidRPr="00FA3A37" w:rsidRDefault="00DE46DC" w:rsidP="00101E04">
            <w:pPr>
              <w:pStyle w:val="Odstavecseseznamem"/>
              <w:ind w:left="0"/>
              <w:jc w:val="center"/>
              <w:rPr>
                <w:sz w:val="22"/>
                <w:szCs w:val="22"/>
              </w:rPr>
            </w:pPr>
            <w:r w:rsidRPr="00FA3A37">
              <w:rPr>
                <w:b/>
                <w:sz w:val="22"/>
                <w:szCs w:val="22"/>
              </w:rPr>
              <w:t>Hrozby</w:t>
            </w:r>
            <w:r w:rsidRPr="00FA3A37">
              <w:rPr>
                <w:sz w:val="22"/>
                <w:szCs w:val="22"/>
              </w:rPr>
              <w:t xml:space="preserve"> (T - Threats)</w:t>
            </w:r>
          </w:p>
        </w:tc>
      </w:tr>
      <w:tr w:rsidR="00DE46DC" w:rsidRPr="0005469C" w14:paraId="2EF5692B" w14:textId="77777777" w:rsidTr="00101E04">
        <w:tc>
          <w:tcPr>
            <w:tcW w:w="4678" w:type="dxa"/>
            <w:tcBorders>
              <w:top w:val="single" w:sz="4" w:space="0" w:color="auto"/>
              <w:left w:val="single" w:sz="4" w:space="0" w:color="auto"/>
              <w:bottom w:val="single" w:sz="4" w:space="0" w:color="auto"/>
              <w:right w:val="single" w:sz="4" w:space="0" w:color="auto"/>
            </w:tcBorders>
            <w:hideMark/>
          </w:tcPr>
          <w:p w14:paraId="403006B8" w14:textId="77777777" w:rsidR="00DE46DC" w:rsidRPr="00FA3A37" w:rsidRDefault="00DE46DC" w:rsidP="00101E04">
            <w:pPr>
              <w:pStyle w:val="Odstavecseseznamem"/>
              <w:ind w:left="180" w:hanging="180"/>
              <w:rPr>
                <w:sz w:val="22"/>
                <w:szCs w:val="22"/>
              </w:rPr>
            </w:pPr>
            <w:r w:rsidRPr="00FA3A37">
              <w:rPr>
                <w:sz w:val="22"/>
                <w:szCs w:val="22"/>
              </w:rPr>
              <w:t>Výroba produktů s ohledem na jejich životnost a bezpečnost</w:t>
            </w:r>
          </w:p>
          <w:p w14:paraId="0D7EA0E8" w14:textId="77777777" w:rsidR="00DE46DC" w:rsidRPr="00FA3A37" w:rsidRDefault="00DE46DC" w:rsidP="00101E04">
            <w:pPr>
              <w:pStyle w:val="Odstavecseseznamem"/>
              <w:ind w:left="180" w:hanging="180"/>
              <w:rPr>
                <w:b/>
                <w:sz w:val="22"/>
                <w:szCs w:val="22"/>
              </w:rPr>
            </w:pPr>
            <w:r w:rsidRPr="00FA3A37">
              <w:rPr>
                <w:b/>
                <w:sz w:val="22"/>
                <w:szCs w:val="22"/>
              </w:rPr>
              <w:t>Zvýšená intenzita a kvalita osvěty a vzdělávání v oblasti předcházení vzniku potravinového odpadu</w:t>
            </w:r>
          </w:p>
          <w:p w14:paraId="4DEF9283" w14:textId="77777777" w:rsidR="00DE46DC" w:rsidRPr="00FA3A37" w:rsidRDefault="00DE46DC" w:rsidP="00101E04">
            <w:pPr>
              <w:pStyle w:val="Odstavecseseznamem"/>
              <w:ind w:left="180" w:hanging="180"/>
              <w:rPr>
                <w:sz w:val="22"/>
                <w:szCs w:val="22"/>
              </w:rPr>
            </w:pPr>
            <w:r w:rsidRPr="00FA3A37">
              <w:rPr>
                <w:sz w:val="22"/>
                <w:szCs w:val="22"/>
              </w:rPr>
              <w:t>Rozšíření tříděného sběru komunálního odpadu o další komodity</w:t>
            </w:r>
          </w:p>
          <w:p w14:paraId="7AD48833" w14:textId="77777777" w:rsidR="00DE46DC" w:rsidRPr="00FA3A37" w:rsidRDefault="00DE46DC" w:rsidP="00101E04">
            <w:pPr>
              <w:pStyle w:val="Odstavecseseznamem"/>
              <w:ind w:left="180" w:hanging="180"/>
              <w:rPr>
                <w:b/>
                <w:sz w:val="22"/>
                <w:szCs w:val="22"/>
              </w:rPr>
            </w:pPr>
            <w:r w:rsidRPr="00FA3A37">
              <w:rPr>
                <w:b/>
                <w:sz w:val="22"/>
                <w:szCs w:val="22"/>
              </w:rPr>
              <w:t>Inovace v oblasti surovin, materiálů a odpadů</w:t>
            </w:r>
          </w:p>
          <w:p w14:paraId="4679F9D9" w14:textId="77777777" w:rsidR="00DE46DC" w:rsidRPr="00FA3A37" w:rsidRDefault="00DE46DC" w:rsidP="00101E04">
            <w:pPr>
              <w:pStyle w:val="Odstavecseseznamem"/>
              <w:ind w:left="180" w:hanging="180"/>
              <w:rPr>
                <w:sz w:val="22"/>
                <w:szCs w:val="22"/>
              </w:rPr>
            </w:pPr>
            <w:r w:rsidRPr="00FA3A37">
              <w:rPr>
                <w:sz w:val="22"/>
                <w:szCs w:val="22"/>
              </w:rPr>
              <w:t>Rozvoj bioekonomiky</w:t>
            </w:r>
          </w:p>
          <w:p w14:paraId="5072D445" w14:textId="77777777" w:rsidR="00DE46DC" w:rsidRPr="00FA3A37" w:rsidRDefault="00DE46DC" w:rsidP="00101E04">
            <w:pPr>
              <w:pStyle w:val="Odstavecseseznamem"/>
              <w:ind w:left="180" w:hanging="180"/>
              <w:rPr>
                <w:b/>
                <w:sz w:val="22"/>
                <w:szCs w:val="22"/>
              </w:rPr>
            </w:pPr>
            <w:r w:rsidRPr="00FA3A37">
              <w:rPr>
                <w:b/>
                <w:sz w:val="22"/>
                <w:szCs w:val="22"/>
              </w:rPr>
              <w:t xml:space="preserve">Využívání bezpečných potravin pro jejich účel </w:t>
            </w:r>
          </w:p>
          <w:p w14:paraId="60463E1F" w14:textId="77777777" w:rsidR="00DE46DC" w:rsidRPr="00FA3A37" w:rsidRDefault="00DE46DC" w:rsidP="00101E04">
            <w:pPr>
              <w:pStyle w:val="Odstavecseseznamem"/>
              <w:ind w:left="180" w:hanging="180"/>
              <w:rPr>
                <w:b/>
                <w:sz w:val="22"/>
                <w:szCs w:val="22"/>
              </w:rPr>
            </w:pPr>
            <w:r w:rsidRPr="00FA3A37">
              <w:rPr>
                <w:b/>
                <w:sz w:val="22"/>
                <w:szCs w:val="22"/>
              </w:rPr>
              <w:t>Zpracování potravinového odpadu</w:t>
            </w:r>
          </w:p>
          <w:p w14:paraId="01CA0A0D" w14:textId="77777777" w:rsidR="00DE46DC" w:rsidRPr="00FA3A37" w:rsidRDefault="00DE46DC" w:rsidP="00101E04">
            <w:pPr>
              <w:pStyle w:val="Odstavecseseznamem"/>
              <w:ind w:left="180" w:hanging="180"/>
              <w:rPr>
                <w:sz w:val="22"/>
                <w:szCs w:val="22"/>
              </w:rPr>
            </w:pPr>
            <w:r w:rsidRPr="00FA3A37">
              <w:rPr>
                <w:sz w:val="22"/>
                <w:szCs w:val="22"/>
              </w:rPr>
              <w:t>Transformace odpadů (biomasa, plasty) na „zelené chemikálie“</w:t>
            </w:r>
          </w:p>
          <w:p w14:paraId="3EF03F95" w14:textId="77777777" w:rsidR="00DE46DC" w:rsidRPr="00FA3A37" w:rsidRDefault="00DE46DC" w:rsidP="00101E04">
            <w:pPr>
              <w:pStyle w:val="Odstavecseseznamem"/>
              <w:ind w:left="180" w:hanging="180"/>
              <w:rPr>
                <w:b/>
                <w:sz w:val="22"/>
                <w:szCs w:val="22"/>
              </w:rPr>
            </w:pPr>
            <w:r w:rsidRPr="00FA3A37">
              <w:rPr>
                <w:b/>
                <w:sz w:val="22"/>
                <w:szCs w:val="22"/>
              </w:rPr>
              <w:t>Zpracování vedlejších produktů výroby</w:t>
            </w:r>
          </w:p>
          <w:p w14:paraId="21C40D13" w14:textId="77777777" w:rsidR="00DE46DC" w:rsidRPr="00FA3A37" w:rsidRDefault="00DE46DC" w:rsidP="00101E04">
            <w:pPr>
              <w:pStyle w:val="Odstavecseseznamem"/>
              <w:ind w:left="180" w:hanging="180"/>
              <w:rPr>
                <w:b/>
                <w:sz w:val="22"/>
                <w:szCs w:val="22"/>
              </w:rPr>
            </w:pPr>
            <w:r w:rsidRPr="00FA3A37">
              <w:rPr>
                <w:b/>
                <w:sz w:val="22"/>
                <w:szCs w:val="22"/>
              </w:rPr>
              <w:t>Zelené a cirkulární veřejné zadávání</w:t>
            </w:r>
          </w:p>
          <w:p w14:paraId="7936697E" w14:textId="77777777" w:rsidR="00DE46DC" w:rsidRPr="00FA3A37" w:rsidRDefault="00DE46DC" w:rsidP="00101E04">
            <w:pPr>
              <w:pStyle w:val="Odstavecseseznamem"/>
              <w:ind w:left="180" w:hanging="180"/>
              <w:rPr>
                <w:b/>
                <w:sz w:val="22"/>
                <w:szCs w:val="22"/>
                <w:u w:val="single"/>
              </w:rPr>
            </w:pPr>
            <w:r w:rsidRPr="00FA3A37">
              <w:rPr>
                <w:sz w:val="22"/>
                <w:szCs w:val="22"/>
              </w:rPr>
              <w:t xml:space="preserve">Zákaz skládkování využitelných odpadů </w:t>
            </w:r>
          </w:p>
        </w:tc>
        <w:tc>
          <w:tcPr>
            <w:tcW w:w="4394" w:type="dxa"/>
            <w:tcBorders>
              <w:top w:val="single" w:sz="4" w:space="0" w:color="auto"/>
              <w:left w:val="single" w:sz="4" w:space="0" w:color="auto"/>
              <w:bottom w:val="single" w:sz="4" w:space="0" w:color="auto"/>
              <w:right w:val="single" w:sz="4" w:space="0" w:color="auto"/>
            </w:tcBorders>
            <w:hideMark/>
          </w:tcPr>
          <w:p w14:paraId="3779ED93" w14:textId="77777777" w:rsidR="00DE46DC" w:rsidRPr="00FA3A37" w:rsidRDefault="00DE46DC" w:rsidP="00101E04">
            <w:pPr>
              <w:pStyle w:val="Odstavecseseznamem"/>
              <w:ind w:left="180" w:hanging="142"/>
              <w:rPr>
                <w:sz w:val="22"/>
                <w:szCs w:val="22"/>
              </w:rPr>
            </w:pPr>
          </w:p>
          <w:p w14:paraId="5B9C0255" w14:textId="77777777" w:rsidR="00DE46DC" w:rsidRPr="00FA3A37" w:rsidRDefault="00DE46DC" w:rsidP="00101E04">
            <w:pPr>
              <w:pStyle w:val="Odstavecseseznamem"/>
              <w:ind w:left="180" w:hanging="142"/>
              <w:rPr>
                <w:sz w:val="22"/>
                <w:szCs w:val="22"/>
              </w:rPr>
            </w:pPr>
            <w:r w:rsidRPr="00FA3A37">
              <w:rPr>
                <w:sz w:val="22"/>
                <w:szCs w:val="22"/>
              </w:rPr>
              <w:t>Nové druhy odpadů v důsledku technolo</w:t>
            </w:r>
            <w:r w:rsidRPr="00FA3A37">
              <w:rPr>
                <w:sz w:val="22"/>
                <w:szCs w:val="22"/>
              </w:rPr>
              <w:softHyphen/>
              <w:t>gických změn i spotřebního chování</w:t>
            </w:r>
          </w:p>
          <w:p w14:paraId="0B12603B" w14:textId="77777777" w:rsidR="00DE46DC" w:rsidRPr="00FA3A37" w:rsidRDefault="00DE46DC" w:rsidP="00101E04">
            <w:pPr>
              <w:pStyle w:val="Odstavecseseznamem"/>
              <w:ind w:left="180" w:hanging="142"/>
              <w:rPr>
                <w:sz w:val="22"/>
                <w:szCs w:val="22"/>
              </w:rPr>
            </w:pPr>
            <w:r w:rsidRPr="00FA3A37">
              <w:rPr>
                <w:sz w:val="22"/>
                <w:szCs w:val="22"/>
              </w:rPr>
              <w:t>Nelegální přeprava odpadů</w:t>
            </w:r>
          </w:p>
          <w:p w14:paraId="5B0279BE" w14:textId="77777777" w:rsidR="00DE46DC" w:rsidRPr="00FA3A37" w:rsidRDefault="00DE46DC" w:rsidP="00101E04">
            <w:pPr>
              <w:pStyle w:val="Odstavecseseznamem"/>
              <w:ind w:left="180" w:hanging="142"/>
              <w:rPr>
                <w:sz w:val="22"/>
                <w:szCs w:val="22"/>
              </w:rPr>
            </w:pPr>
            <w:r w:rsidRPr="00FA3A37">
              <w:rPr>
                <w:sz w:val="22"/>
                <w:szCs w:val="22"/>
              </w:rPr>
              <w:t>Nerespektování odpadové hierarchie EU</w:t>
            </w:r>
          </w:p>
          <w:p w14:paraId="090564B7" w14:textId="77777777" w:rsidR="00DE46DC" w:rsidRPr="00FA3A37" w:rsidRDefault="00DE46DC" w:rsidP="00101E04">
            <w:pPr>
              <w:pStyle w:val="Odstavecseseznamem"/>
              <w:ind w:left="180" w:hanging="142"/>
              <w:rPr>
                <w:sz w:val="22"/>
                <w:szCs w:val="22"/>
              </w:rPr>
            </w:pPr>
            <w:r w:rsidRPr="00FA3A37">
              <w:rPr>
                <w:sz w:val="22"/>
                <w:szCs w:val="22"/>
              </w:rPr>
              <w:t>Nedostatek finančních prostředků států na provádění preventivních programů a podpory NNO (např. potravinové banky)</w:t>
            </w:r>
          </w:p>
        </w:tc>
      </w:tr>
    </w:tbl>
    <w:p w14:paraId="17D0624D" w14:textId="77777777" w:rsidR="00DE46DC" w:rsidRPr="0005469C" w:rsidRDefault="00DE46DC" w:rsidP="00DE46DC">
      <w:pPr>
        <w:rPr>
          <w:rFonts w:ascii="Arial" w:hAnsi="Arial" w:cs="Arial"/>
          <w:color w:val="FF0000"/>
          <w:lang w:val="cs-CZ"/>
        </w:rPr>
      </w:pPr>
    </w:p>
    <w:p w14:paraId="3057E8FC" w14:textId="77777777" w:rsidR="00DE46DC" w:rsidRPr="00D97486" w:rsidRDefault="00DE46DC" w:rsidP="00D97486">
      <w:pPr>
        <w:pStyle w:val="UZEINormaln"/>
      </w:pPr>
      <w:r w:rsidRPr="00D97486">
        <w:t>Pokyny EK uvádí, že tento bod ve velké míře zahrnuje prvovýrobu (potravinové ztráty) - …“potraviny, které jsou připraveny ke sklizni, ale nejsou sklizeny z ekonomických nebo jiných důvodů, jsou oblastí, kterou je třeba dále posuzovat, kvantifikovat a řešit, aby bylo možné identifikovat příležitosti opatření, včetně zhodnocení potravinových zdrojů z prvovýroby. Členské státy by měly ve své SWOT analýze poskytnout stručný přehled rozsahu problému (ztráta potravin a plýtvání potravinami) ve své zemi, pokud jde o prvovýrobu, nejvíce postižená odvětví/produkty (např. ovoce a zelenina) a souvislosti s dalšími fázemi v zásobování potravinami“. K vyjádření k tomuto bodu je kompetentní Odbor komoditní.</w:t>
      </w:r>
    </w:p>
    <w:p w14:paraId="435745C5" w14:textId="77777777" w:rsidR="00DE46DC" w:rsidRPr="0005469C" w:rsidRDefault="00DE46DC" w:rsidP="00DE46DC">
      <w:pPr>
        <w:spacing w:line="360" w:lineRule="atLeast"/>
        <w:rPr>
          <w:lang w:val="cs-CZ"/>
        </w:rPr>
      </w:pPr>
    </w:p>
    <w:p w14:paraId="509AF848" w14:textId="77777777" w:rsidR="00CB2594" w:rsidRPr="007434DA" w:rsidRDefault="00CB2594" w:rsidP="00CB2594">
      <w:pPr>
        <w:spacing w:line="360" w:lineRule="atLeast"/>
        <w:rPr>
          <w:lang w:val="cs-CZ"/>
        </w:rPr>
      </w:pPr>
    </w:p>
    <w:p w14:paraId="6433B566" w14:textId="77777777" w:rsidR="00CB2594" w:rsidRPr="007434DA" w:rsidRDefault="00CB2594" w:rsidP="00CB2594">
      <w:pPr>
        <w:rPr>
          <w:lang w:val="cs-CZ"/>
        </w:rPr>
      </w:pPr>
      <w:r w:rsidRPr="007434DA">
        <w:rPr>
          <w:lang w:val="cs-CZ"/>
        </w:rPr>
        <w:br w:type="page"/>
      </w:r>
    </w:p>
    <w:p w14:paraId="06C7EEDB" w14:textId="7964C2BD" w:rsidR="00CB2594" w:rsidRPr="007434DA" w:rsidRDefault="00CB2594" w:rsidP="008A4111">
      <w:pPr>
        <w:pStyle w:val="UZEINadpis1stbezsla"/>
      </w:pPr>
      <w:bookmarkStart w:id="373" w:name="_Toc12613470"/>
      <w:bookmarkStart w:id="374" w:name="_Toc80877921"/>
      <w:bookmarkStart w:id="375" w:name="_Toc81755642"/>
      <w:r w:rsidRPr="007434DA">
        <w:t>Přílohy</w:t>
      </w:r>
      <w:bookmarkEnd w:id="373"/>
      <w:bookmarkEnd w:id="374"/>
      <w:bookmarkEnd w:id="375"/>
    </w:p>
    <w:p w14:paraId="3F22F3B1" w14:textId="77777777" w:rsidR="00CB2594" w:rsidRPr="007434DA" w:rsidRDefault="00CB2594" w:rsidP="00B17CE2">
      <w:pPr>
        <w:pStyle w:val="UZEINadpis4st"/>
      </w:pPr>
      <w:bookmarkStart w:id="376" w:name="_Toc12613471"/>
      <w:bookmarkStart w:id="377" w:name="_Toc80877922"/>
      <w:bookmarkStart w:id="378" w:name="_Toc81755643"/>
      <w:r w:rsidRPr="007434DA">
        <w:t>Příloha A - PESTICIDY</w:t>
      </w:r>
      <w:bookmarkEnd w:id="376"/>
      <w:bookmarkEnd w:id="377"/>
      <w:bookmarkEnd w:id="378"/>
    </w:p>
    <w:p w14:paraId="3AEBA69E" w14:textId="77777777" w:rsidR="00CB2594" w:rsidRPr="007434DA" w:rsidRDefault="00CB2594" w:rsidP="00F35482">
      <w:pPr>
        <w:pStyle w:val="UZEINadpis4st"/>
      </w:pPr>
      <w:bookmarkStart w:id="379" w:name="_Toc81755644"/>
      <w:r w:rsidRPr="007434DA">
        <w:t>Příloha A1 Monitoring výskytu reziduí pesticidů v pitné a podzemní vodě</w:t>
      </w:r>
      <w:bookmarkEnd w:id="379"/>
      <w:r w:rsidRPr="007434DA">
        <w:t xml:space="preserve"> </w:t>
      </w:r>
    </w:p>
    <w:p w14:paraId="7D63C2A7" w14:textId="77777777" w:rsidR="00CB2594" w:rsidRPr="007434DA" w:rsidRDefault="00CB2594" w:rsidP="003257EA">
      <w:pPr>
        <w:pStyle w:val="UZEINormaln"/>
      </w:pPr>
      <w:r w:rsidRPr="007434DA">
        <w:t xml:space="preserve">Podklady pro analýzu zpracovali: ČHMÚ – Mgr. Vít Kodeš a SZÚ - MUDr. F. Kožíšek </w:t>
      </w:r>
    </w:p>
    <w:p w14:paraId="772F76E7" w14:textId="77777777" w:rsidR="00CB2594" w:rsidRPr="007434DA" w:rsidRDefault="00CB2594" w:rsidP="003257EA">
      <w:pPr>
        <w:pStyle w:val="UZEINormaln"/>
        <w:rPr>
          <w:b/>
          <w:bCs/>
          <w:sz w:val="20"/>
          <w:szCs w:val="20"/>
        </w:rPr>
      </w:pPr>
      <w:r w:rsidRPr="007434DA">
        <w:rPr>
          <w:b/>
          <w:bCs/>
          <w:sz w:val="20"/>
          <w:szCs w:val="20"/>
        </w:rPr>
        <w:t>Tabulka A1 Výskyt nejčastěji se vyskytujících účinných látek a jejich metabolitů (problematické jsou pouze herbicidy) v podzemních vodách ČR v jednotlivých letech v letech 2014-2017 (zdroj ČHMÚ)</w:t>
      </w:r>
    </w:p>
    <w:tbl>
      <w:tblPr>
        <w:tblStyle w:val="Mkatabulky"/>
        <w:tblW w:w="0" w:type="auto"/>
        <w:tblLook w:val="04A0" w:firstRow="1" w:lastRow="0" w:firstColumn="1" w:lastColumn="0" w:noHBand="0" w:noVBand="1"/>
      </w:tblPr>
      <w:tblGrid>
        <w:gridCol w:w="1753"/>
        <w:gridCol w:w="2879"/>
        <w:gridCol w:w="1254"/>
        <w:gridCol w:w="1106"/>
        <w:gridCol w:w="110"/>
        <w:gridCol w:w="842"/>
        <w:gridCol w:w="1117"/>
      </w:tblGrid>
      <w:tr w:rsidR="00CB2594" w:rsidRPr="007434DA" w14:paraId="01A843DA" w14:textId="77777777" w:rsidTr="004A57B3">
        <w:trPr>
          <w:trHeight w:val="255"/>
        </w:trPr>
        <w:tc>
          <w:tcPr>
            <w:tcW w:w="1809" w:type="dxa"/>
            <w:vMerge w:val="restart"/>
            <w:tcBorders>
              <w:top w:val="single" w:sz="4" w:space="0" w:color="auto"/>
              <w:left w:val="single" w:sz="4" w:space="0" w:color="auto"/>
              <w:bottom w:val="single" w:sz="4" w:space="0" w:color="auto"/>
              <w:right w:val="single" w:sz="4" w:space="0" w:color="auto"/>
            </w:tcBorders>
            <w:noWrap/>
            <w:hideMark/>
          </w:tcPr>
          <w:p w14:paraId="72F16E08" w14:textId="77777777" w:rsidR="00CB2594" w:rsidRPr="007434DA" w:rsidRDefault="00CB2594" w:rsidP="004A57B3">
            <w:pPr>
              <w:rPr>
                <w:b/>
                <w:bCs/>
                <w:sz w:val="20"/>
              </w:rPr>
            </w:pPr>
            <w:r w:rsidRPr="007434DA">
              <w:rPr>
                <w:b/>
                <w:bCs/>
                <w:sz w:val="20"/>
              </w:rPr>
              <w:t>Pořadí/plodina</w:t>
            </w:r>
          </w:p>
        </w:tc>
        <w:tc>
          <w:tcPr>
            <w:tcW w:w="2977" w:type="dxa"/>
            <w:vMerge w:val="restart"/>
            <w:tcBorders>
              <w:top w:val="single" w:sz="4" w:space="0" w:color="auto"/>
              <w:left w:val="single" w:sz="4" w:space="0" w:color="auto"/>
              <w:bottom w:val="single" w:sz="4" w:space="0" w:color="auto"/>
              <w:right w:val="single" w:sz="4" w:space="0" w:color="auto"/>
            </w:tcBorders>
            <w:noWrap/>
            <w:hideMark/>
          </w:tcPr>
          <w:p w14:paraId="33171B53" w14:textId="77777777" w:rsidR="00CB2594" w:rsidRPr="007434DA" w:rsidRDefault="00CB2594" w:rsidP="004A57B3">
            <w:pPr>
              <w:rPr>
                <w:b/>
                <w:bCs/>
                <w:sz w:val="20"/>
              </w:rPr>
            </w:pPr>
            <w:r w:rsidRPr="007434DA">
              <w:rPr>
                <w:b/>
                <w:bCs/>
                <w:sz w:val="20"/>
              </w:rPr>
              <w:t>Pesticidy</w:t>
            </w:r>
          </w:p>
        </w:tc>
        <w:tc>
          <w:tcPr>
            <w:tcW w:w="4502" w:type="dxa"/>
            <w:gridSpan w:val="5"/>
            <w:tcBorders>
              <w:top w:val="single" w:sz="4" w:space="0" w:color="auto"/>
              <w:left w:val="single" w:sz="4" w:space="0" w:color="auto"/>
              <w:bottom w:val="single" w:sz="4" w:space="0" w:color="auto"/>
              <w:right w:val="single" w:sz="4" w:space="0" w:color="auto"/>
            </w:tcBorders>
            <w:shd w:val="clear" w:color="auto" w:fill="E2EFD9" w:themeFill="accent6" w:themeFillTint="33"/>
            <w:noWrap/>
            <w:hideMark/>
          </w:tcPr>
          <w:p w14:paraId="188000B8" w14:textId="77777777" w:rsidR="00CB2594" w:rsidRPr="007434DA" w:rsidRDefault="00CB2594" w:rsidP="004A57B3">
            <w:pPr>
              <w:jc w:val="center"/>
              <w:rPr>
                <w:b/>
                <w:bCs/>
                <w:sz w:val="20"/>
              </w:rPr>
            </w:pPr>
            <w:r w:rsidRPr="007434DA">
              <w:rPr>
                <w:b/>
                <w:bCs/>
                <w:sz w:val="20"/>
              </w:rPr>
              <w:t>2014</w:t>
            </w:r>
          </w:p>
        </w:tc>
      </w:tr>
      <w:tr w:rsidR="00CB2594" w:rsidRPr="0005469C" w14:paraId="438620C8" w14:textId="77777777" w:rsidTr="004A57B3">
        <w:trPr>
          <w:trHeight w:val="10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3FADBB" w14:textId="77777777" w:rsidR="00CB2594" w:rsidRPr="007434DA" w:rsidRDefault="00CB2594" w:rsidP="004A57B3">
            <w:pPr>
              <w:rPr>
                <w:b/>
                <w:bCs/>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F8A6DE" w14:textId="77777777" w:rsidR="00CB2594" w:rsidRPr="007434DA" w:rsidRDefault="00CB2594" w:rsidP="004A57B3">
            <w:pPr>
              <w:rPr>
                <w:b/>
                <w:bCs/>
                <w:sz w:val="20"/>
              </w:rPr>
            </w:pPr>
          </w:p>
        </w:tc>
        <w:tc>
          <w:tcPr>
            <w:tcW w:w="1292" w:type="dxa"/>
            <w:tcBorders>
              <w:top w:val="single" w:sz="4" w:space="0" w:color="auto"/>
              <w:left w:val="single" w:sz="4" w:space="0" w:color="auto"/>
              <w:bottom w:val="single" w:sz="4" w:space="0" w:color="auto"/>
              <w:right w:val="single" w:sz="4" w:space="0" w:color="auto"/>
            </w:tcBorders>
            <w:hideMark/>
          </w:tcPr>
          <w:p w14:paraId="36266003" w14:textId="77777777" w:rsidR="00CB2594" w:rsidRPr="007434DA" w:rsidRDefault="00CB2594" w:rsidP="004A57B3">
            <w:pPr>
              <w:rPr>
                <w:b/>
                <w:bCs/>
                <w:sz w:val="20"/>
              </w:rPr>
            </w:pPr>
            <w:r w:rsidRPr="007434DA">
              <w:rPr>
                <w:b/>
                <w:bCs/>
                <w:sz w:val="20"/>
              </w:rPr>
              <w:t>Počet odebraných vzorků</w:t>
            </w:r>
          </w:p>
        </w:tc>
        <w:tc>
          <w:tcPr>
            <w:tcW w:w="1118" w:type="dxa"/>
            <w:tcBorders>
              <w:top w:val="single" w:sz="4" w:space="0" w:color="auto"/>
              <w:left w:val="single" w:sz="4" w:space="0" w:color="auto"/>
              <w:bottom w:val="single" w:sz="4" w:space="0" w:color="auto"/>
              <w:right w:val="single" w:sz="4" w:space="0" w:color="auto"/>
            </w:tcBorders>
            <w:hideMark/>
          </w:tcPr>
          <w:p w14:paraId="793E2EA6" w14:textId="77777777" w:rsidR="00CB2594" w:rsidRPr="007434DA" w:rsidRDefault="00CB2594" w:rsidP="004A57B3">
            <w:pPr>
              <w:rPr>
                <w:b/>
                <w:bCs/>
                <w:sz w:val="20"/>
              </w:rPr>
            </w:pPr>
            <w:r w:rsidRPr="007434DA">
              <w:rPr>
                <w:b/>
                <w:bCs/>
                <w:sz w:val="20"/>
              </w:rPr>
              <w:t>Nadlimitní výskyt - nad 0,1 µg/l (%)</w:t>
            </w:r>
          </w:p>
        </w:tc>
        <w:tc>
          <w:tcPr>
            <w:tcW w:w="971" w:type="dxa"/>
            <w:gridSpan w:val="2"/>
            <w:tcBorders>
              <w:top w:val="single" w:sz="4" w:space="0" w:color="auto"/>
              <w:left w:val="single" w:sz="4" w:space="0" w:color="auto"/>
              <w:bottom w:val="single" w:sz="4" w:space="0" w:color="auto"/>
              <w:right w:val="single" w:sz="4" w:space="0" w:color="auto"/>
            </w:tcBorders>
            <w:hideMark/>
          </w:tcPr>
          <w:p w14:paraId="61909528" w14:textId="77777777" w:rsidR="00CB2594" w:rsidRPr="007434DA" w:rsidRDefault="00CB2594" w:rsidP="004A57B3">
            <w:pPr>
              <w:rPr>
                <w:b/>
                <w:bCs/>
                <w:sz w:val="20"/>
              </w:rPr>
            </w:pPr>
            <w:r w:rsidRPr="007434DA">
              <w:rPr>
                <w:b/>
                <w:bCs/>
                <w:sz w:val="20"/>
              </w:rPr>
              <w:t>Výskyt - nad 1 µg/l (%)</w:t>
            </w:r>
          </w:p>
        </w:tc>
        <w:tc>
          <w:tcPr>
            <w:tcW w:w="1121" w:type="dxa"/>
            <w:tcBorders>
              <w:top w:val="single" w:sz="4" w:space="0" w:color="auto"/>
              <w:left w:val="single" w:sz="4" w:space="0" w:color="auto"/>
              <w:bottom w:val="single" w:sz="4" w:space="0" w:color="auto"/>
              <w:right w:val="single" w:sz="4" w:space="0" w:color="auto"/>
            </w:tcBorders>
            <w:hideMark/>
          </w:tcPr>
          <w:p w14:paraId="02B70D4E" w14:textId="77777777" w:rsidR="00CB2594" w:rsidRPr="007434DA" w:rsidRDefault="00CB2594" w:rsidP="004A57B3">
            <w:pPr>
              <w:rPr>
                <w:b/>
                <w:bCs/>
                <w:sz w:val="20"/>
              </w:rPr>
            </w:pPr>
            <w:r w:rsidRPr="007434DA">
              <w:rPr>
                <w:b/>
                <w:bCs/>
                <w:sz w:val="20"/>
              </w:rPr>
              <w:t>Maximální zjištěná hodnota (µg/l)</w:t>
            </w:r>
          </w:p>
        </w:tc>
      </w:tr>
      <w:tr w:rsidR="00CB2594" w:rsidRPr="007434DA" w14:paraId="5BB5C3AB" w14:textId="77777777" w:rsidTr="004A57B3">
        <w:trPr>
          <w:trHeight w:val="255"/>
        </w:trPr>
        <w:tc>
          <w:tcPr>
            <w:tcW w:w="1809" w:type="dxa"/>
            <w:tcBorders>
              <w:top w:val="single" w:sz="4" w:space="0" w:color="auto"/>
              <w:left w:val="single" w:sz="4" w:space="0" w:color="auto"/>
              <w:bottom w:val="single" w:sz="4" w:space="0" w:color="auto"/>
              <w:right w:val="single" w:sz="4" w:space="0" w:color="auto"/>
            </w:tcBorders>
            <w:noWrap/>
            <w:hideMark/>
          </w:tcPr>
          <w:p w14:paraId="0BA48263" w14:textId="77777777" w:rsidR="00CB2594" w:rsidRPr="007434DA" w:rsidRDefault="00CB2594" w:rsidP="004A57B3">
            <w:pPr>
              <w:rPr>
                <w:b/>
                <w:bCs/>
                <w:sz w:val="20"/>
              </w:rPr>
            </w:pPr>
            <w:r w:rsidRPr="007434DA">
              <w:rPr>
                <w:b/>
                <w:bCs/>
                <w:sz w:val="20"/>
              </w:rPr>
              <w:t>1/cukrovka</w:t>
            </w:r>
          </w:p>
        </w:tc>
        <w:tc>
          <w:tcPr>
            <w:tcW w:w="2977" w:type="dxa"/>
            <w:tcBorders>
              <w:top w:val="single" w:sz="4" w:space="0" w:color="auto"/>
              <w:left w:val="single" w:sz="4" w:space="0" w:color="auto"/>
              <w:bottom w:val="single" w:sz="4" w:space="0" w:color="auto"/>
              <w:right w:val="single" w:sz="4" w:space="0" w:color="auto"/>
            </w:tcBorders>
            <w:hideMark/>
          </w:tcPr>
          <w:p w14:paraId="412ABF65" w14:textId="77777777" w:rsidR="00CB2594" w:rsidRPr="007434DA" w:rsidRDefault="00CB2594" w:rsidP="004A57B3">
            <w:pPr>
              <w:rPr>
                <w:b/>
                <w:bCs/>
                <w:sz w:val="20"/>
              </w:rPr>
            </w:pPr>
            <w:r w:rsidRPr="007434DA">
              <w:rPr>
                <w:b/>
                <w:bCs/>
                <w:sz w:val="20"/>
              </w:rPr>
              <w:t>chloridazon a jeho metabolity</w:t>
            </w:r>
          </w:p>
        </w:tc>
        <w:tc>
          <w:tcPr>
            <w:tcW w:w="1292" w:type="dxa"/>
            <w:tcBorders>
              <w:top w:val="single" w:sz="4" w:space="0" w:color="auto"/>
              <w:left w:val="single" w:sz="4" w:space="0" w:color="auto"/>
              <w:bottom w:val="single" w:sz="4" w:space="0" w:color="auto"/>
              <w:right w:val="single" w:sz="4" w:space="0" w:color="auto"/>
            </w:tcBorders>
            <w:noWrap/>
            <w:hideMark/>
          </w:tcPr>
          <w:p w14:paraId="1FFD5EB5" w14:textId="77777777" w:rsidR="00CB2594" w:rsidRPr="007434DA" w:rsidRDefault="00CB2594" w:rsidP="004A57B3">
            <w:pPr>
              <w:ind w:right="231"/>
              <w:jc w:val="right"/>
              <w:rPr>
                <w:sz w:val="20"/>
              </w:rPr>
            </w:pPr>
            <w:r w:rsidRPr="007434DA">
              <w:rPr>
                <w:sz w:val="20"/>
              </w:rPr>
              <w:t>1323</w:t>
            </w:r>
          </w:p>
        </w:tc>
        <w:tc>
          <w:tcPr>
            <w:tcW w:w="1118" w:type="dxa"/>
            <w:tcBorders>
              <w:top w:val="single" w:sz="4" w:space="0" w:color="auto"/>
              <w:left w:val="single" w:sz="4" w:space="0" w:color="auto"/>
              <w:bottom w:val="single" w:sz="4" w:space="0" w:color="auto"/>
              <w:right w:val="single" w:sz="4" w:space="0" w:color="auto"/>
            </w:tcBorders>
            <w:noWrap/>
            <w:hideMark/>
          </w:tcPr>
          <w:p w14:paraId="56271780" w14:textId="77777777" w:rsidR="00CB2594" w:rsidRPr="007434DA" w:rsidRDefault="00CB2594" w:rsidP="004A57B3">
            <w:pPr>
              <w:ind w:right="231"/>
              <w:jc w:val="right"/>
              <w:rPr>
                <w:sz w:val="20"/>
              </w:rPr>
            </w:pPr>
            <w:r w:rsidRPr="007434DA">
              <w:rPr>
                <w:sz w:val="20"/>
              </w:rPr>
              <w:t>26.46</w:t>
            </w:r>
          </w:p>
        </w:tc>
        <w:tc>
          <w:tcPr>
            <w:tcW w:w="971" w:type="dxa"/>
            <w:gridSpan w:val="2"/>
            <w:tcBorders>
              <w:top w:val="single" w:sz="4" w:space="0" w:color="auto"/>
              <w:left w:val="single" w:sz="4" w:space="0" w:color="auto"/>
              <w:bottom w:val="single" w:sz="4" w:space="0" w:color="auto"/>
              <w:right w:val="single" w:sz="4" w:space="0" w:color="auto"/>
            </w:tcBorders>
            <w:noWrap/>
            <w:hideMark/>
          </w:tcPr>
          <w:p w14:paraId="34BD69DC" w14:textId="77777777" w:rsidR="00CB2594" w:rsidRPr="007434DA" w:rsidRDefault="00CB2594" w:rsidP="004A57B3">
            <w:pPr>
              <w:ind w:right="231"/>
              <w:jc w:val="right"/>
              <w:rPr>
                <w:sz w:val="20"/>
              </w:rPr>
            </w:pPr>
            <w:r w:rsidRPr="007434DA">
              <w:rPr>
                <w:sz w:val="20"/>
              </w:rPr>
              <w:t>9.75</w:t>
            </w:r>
          </w:p>
        </w:tc>
        <w:tc>
          <w:tcPr>
            <w:tcW w:w="1121" w:type="dxa"/>
            <w:tcBorders>
              <w:top w:val="single" w:sz="4" w:space="0" w:color="auto"/>
              <w:left w:val="single" w:sz="4" w:space="0" w:color="auto"/>
              <w:bottom w:val="single" w:sz="4" w:space="0" w:color="auto"/>
              <w:right w:val="single" w:sz="4" w:space="0" w:color="auto"/>
            </w:tcBorders>
            <w:noWrap/>
            <w:hideMark/>
          </w:tcPr>
          <w:p w14:paraId="6192E706" w14:textId="77777777" w:rsidR="00CB2594" w:rsidRPr="007434DA" w:rsidRDefault="00CB2594" w:rsidP="004A57B3">
            <w:pPr>
              <w:ind w:right="231"/>
              <w:jc w:val="right"/>
              <w:rPr>
                <w:sz w:val="20"/>
              </w:rPr>
            </w:pPr>
            <w:r w:rsidRPr="007434DA">
              <w:rPr>
                <w:sz w:val="20"/>
              </w:rPr>
              <w:t>25.6</w:t>
            </w:r>
          </w:p>
        </w:tc>
      </w:tr>
      <w:tr w:rsidR="00CB2594" w:rsidRPr="007434DA" w14:paraId="3645DB63" w14:textId="77777777" w:rsidTr="004A57B3">
        <w:trPr>
          <w:trHeight w:val="255"/>
        </w:trPr>
        <w:tc>
          <w:tcPr>
            <w:tcW w:w="1809" w:type="dxa"/>
            <w:tcBorders>
              <w:top w:val="single" w:sz="4" w:space="0" w:color="auto"/>
              <w:left w:val="single" w:sz="4" w:space="0" w:color="auto"/>
              <w:bottom w:val="single" w:sz="4" w:space="0" w:color="auto"/>
              <w:right w:val="single" w:sz="4" w:space="0" w:color="auto"/>
            </w:tcBorders>
            <w:noWrap/>
            <w:hideMark/>
          </w:tcPr>
          <w:p w14:paraId="672065F0" w14:textId="77777777" w:rsidR="00CB2594" w:rsidRPr="007434DA" w:rsidRDefault="00CB2594" w:rsidP="004A57B3">
            <w:pPr>
              <w:rPr>
                <w:b/>
                <w:bCs/>
                <w:sz w:val="20"/>
              </w:rPr>
            </w:pPr>
            <w:r w:rsidRPr="007434DA">
              <w:rPr>
                <w:b/>
                <w:bCs/>
                <w:sz w:val="20"/>
              </w:rPr>
              <w:t>2/řepka</w:t>
            </w:r>
          </w:p>
        </w:tc>
        <w:tc>
          <w:tcPr>
            <w:tcW w:w="2977" w:type="dxa"/>
            <w:tcBorders>
              <w:top w:val="single" w:sz="4" w:space="0" w:color="auto"/>
              <w:left w:val="single" w:sz="4" w:space="0" w:color="auto"/>
              <w:bottom w:val="single" w:sz="4" w:space="0" w:color="auto"/>
              <w:right w:val="single" w:sz="4" w:space="0" w:color="auto"/>
            </w:tcBorders>
            <w:hideMark/>
          </w:tcPr>
          <w:p w14:paraId="60F39AD3" w14:textId="77777777" w:rsidR="00CB2594" w:rsidRPr="007434DA" w:rsidRDefault="00CB2594" w:rsidP="004A57B3">
            <w:pPr>
              <w:rPr>
                <w:b/>
                <w:bCs/>
                <w:sz w:val="20"/>
              </w:rPr>
            </w:pPr>
            <w:r w:rsidRPr="007434DA">
              <w:rPr>
                <w:b/>
                <w:bCs/>
                <w:sz w:val="20"/>
              </w:rPr>
              <w:t xml:space="preserve">metazachlor a jeho metabolity </w:t>
            </w:r>
          </w:p>
        </w:tc>
        <w:tc>
          <w:tcPr>
            <w:tcW w:w="1292" w:type="dxa"/>
            <w:tcBorders>
              <w:top w:val="single" w:sz="4" w:space="0" w:color="auto"/>
              <w:left w:val="single" w:sz="4" w:space="0" w:color="auto"/>
              <w:bottom w:val="single" w:sz="4" w:space="0" w:color="auto"/>
              <w:right w:val="single" w:sz="4" w:space="0" w:color="auto"/>
            </w:tcBorders>
            <w:noWrap/>
            <w:hideMark/>
          </w:tcPr>
          <w:p w14:paraId="7C878D68" w14:textId="77777777" w:rsidR="00CB2594" w:rsidRPr="007434DA" w:rsidRDefault="00CB2594" w:rsidP="004A57B3">
            <w:pPr>
              <w:ind w:right="231"/>
              <w:jc w:val="right"/>
              <w:rPr>
                <w:sz w:val="20"/>
              </w:rPr>
            </w:pPr>
            <w:r w:rsidRPr="007434DA">
              <w:rPr>
                <w:sz w:val="20"/>
              </w:rPr>
              <w:t>1323</w:t>
            </w:r>
          </w:p>
        </w:tc>
        <w:tc>
          <w:tcPr>
            <w:tcW w:w="1118" w:type="dxa"/>
            <w:tcBorders>
              <w:top w:val="single" w:sz="4" w:space="0" w:color="auto"/>
              <w:left w:val="single" w:sz="4" w:space="0" w:color="auto"/>
              <w:bottom w:val="single" w:sz="4" w:space="0" w:color="auto"/>
              <w:right w:val="single" w:sz="4" w:space="0" w:color="auto"/>
            </w:tcBorders>
            <w:noWrap/>
            <w:hideMark/>
          </w:tcPr>
          <w:p w14:paraId="7748B92D" w14:textId="77777777" w:rsidR="00CB2594" w:rsidRPr="007434DA" w:rsidRDefault="00CB2594" w:rsidP="004A57B3">
            <w:pPr>
              <w:ind w:right="231"/>
              <w:jc w:val="right"/>
              <w:rPr>
                <w:sz w:val="20"/>
              </w:rPr>
            </w:pPr>
            <w:r w:rsidRPr="007434DA">
              <w:rPr>
                <w:sz w:val="20"/>
              </w:rPr>
              <w:t>11.64</w:t>
            </w:r>
          </w:p>
        </w:tc>
        <w:tc>
          <w:tcPr>
            <w:tcW w:w="971" w:type="dxa"/>
            <w:gridSpan w:val="2"/>
            <w:tcBorders>
              <w:top w:val="single" w:sz="4" w:space="0" w:color="auto"/>
              <w:left w:val="single" w:sz="4" w:space="0" w:color="auto"/>
              <w:bottom w:val="single" w:sz="4" w:space="0" w:color="auto"/>
              <w:right w:val="single" w:sz="4" w:space="0" w:color="auto"/>
            </w:tcBorders>
            <w:noWrap/>
            <w:hideMark/>
          </w:tcPr>
          <w:p w14:paraId="3BF4F0DA" w14:textId="77777777" w:rsidR="00CB2594" w:rsidRPr="007434DA" w:rsidRDefault="00CB2594" w:rsidP="004A57B3">
            <w:pPr>
              <w:ind w:right="231"/>
              <w:jc w:val="right"/>
              <w:rPr>
                <w:sz w:val="20"/>
              </w:rPr>
            </w:pPr>
            <w:r w:rsidRPr="007434DA">
              <w:rPr>
                <w:sz w:val="20"/>
              </w:rPr>
              <w:t>1.44</w:t>
            </w:r>
          </w:p>
        </w:tc>
        <w:tc>
          <w:tcPr>
            <w:tcW w:w="1121" w:type="dxa"/>
            <w:tcBorders>
              <w:top w:val="single" w:sz="4" w:space="0" w:color="auto"/>
              <w:left w:val="single" w:sz="4" w:space="0" w:color="auto"/>
              <w:bottom w:val="single" w:sz="4" w:space="0" w:color="auto"/>
              <w:right w:val="single" w:sz="4" w:space="0" w:color="auto"/>
            </w:tcBorders>
            <w:noWrap/>
            <w:hideMark/>
          </w:tcPr>
          <w:p w14:paraId="3EC8BEA0" w14:textId="77777777" w:rsidR="00CB2594" w:rsidRPr="007434DA" w:rsidRDefault="00CB2594" w:rsidP="004A57B3">
            <w:pPr>
              <w:ind w:right="231"/>
              <w:jc w:val="right"/>
              <w:rPr>
                <w:sz w:val="20"/>
              </w:rPr>
            </w:pPr>
            <w:r w:rsidRPr="007434DA">
              <w:rPr>
                <w:sz w:val="20"/>
              </w:rPr>
              <w:t>5.73</w:t>
            </w:r>
          </w:p>
        </w:tc>
      </w:tr>
      <w:tr w:rsidR="00CB2594" w:rsidRPr="007434DA" w14:paraId="5524F0FD" w14:textId="77777777" w:rsidTr="004A57B3">
        <w:trPr>
          <w:trHeight w:val="255"/>
        </w:trPr>
        <w:tc>
          <w:tcPr>
            <w:tcW w:w="1809" w:type="dxa"/>
            <w:tcBorders>
              <w:top w:val="single" w:sz="4" w:space="0" w:color="auto"/>
              <w:left w:val="single" w:sz="4" w:space="0" w:color="auto"/>
              <w:bottom w:val="single" w:sz="4" w:space="0" w:color="auto"/>
              <w:right w:val="single" w:sz="4" w:space="0" w:color="auto"/>
            </w:tcBorders>
            <w:noWrap/>
            <w:hideMark/>
          </w:tcPr>
          <w:p w14:paraId="30FE47F2" w14:textId="77777777" w:rsidR="00CB2594" w:rsidRPr="007434DA" w:rsidRDefault="00CB2594" w:rsidP="004A57B3">
            <w:pPr>
              <w:rPr>
                <w:b/>
                <w:bCs/>
                <w:sz w:val="20"/>
              </w:rPr>
            </w:pPr>
            <w:r w:rsidRPr="007434DA">
              <w:rPr>
                <w:b/>
                <w:bCs/>
                <w:sz w:val="20"/>
              </w:rPr>
              <w:t>3/kukuřice</w:t>
            </w:r>
          </w:p>
        </w:tc>
        <w:tc>
          <w:tcPr>
            <w:tcW w:w="2977" w:type="dxa"/>
            <w:tcBorders>
              <w:top w:val="single" w:sz="4" w:space="0" w:color="auto"/>
              <w:left w:val="single" w:sz="4" w:space="0" w:color="auto"/>
              <w:bottom w:val="single" w:sz="4" w:space="0" w:color="auto"/>
              <w:right w:val="single" w:sz="4" w:space="0" w:color="auto"/>
            </w:tcBorders>
            <w:hideMark/>
          </w:tcPr>
          <w:p w14:paraId="261AE6BB" w14:textId="77777777" w:rsidR="00CB2594" w:rsidRPr="007434DA" w:rsidRDefault="00CB2594" w:rsidP="004A57B3">
            <w:pPr>
              <w:rPr>
                <w:b/>
                <w:bCs/>
                <w:sz w:val="20"/>
              </w:rPr>
            </w:pPr>
            <w:r w:rsidRPr="007434DA">
              <w:rPr>
                <w:b/>
                <w:bCs/>
                <w:sz w:val="20"/>
              </w:rPr>
              <w:t>metolachlor a jeho metabolity</w:t>
            </w:r>
          </w:p>
        </w:tc>
        <w:tc>
          <w:tcPr>
            <w:tcW w:w="1292" w:type="dxa"/>
            <w:tcBorders>
              <w:top w:val="single" w:sz="4" w:space="0" w:color="auto"/>
              <w:left w:val="single" w:sz="4" w:space="0" w:color="auto"/>
              <w:bottom w:val="single" w:sz="4" w:space="0" w:color="auto"/>
              <w:right w:val="single" w:sz="4" w:space="0" w:color="auto"/>
            </w:tcBorders>
            <w:noWrap/>
            <w:hideMark/>
          </w:tcPr>
          <w:p w14:paraId="71126946" w14:textId="77777777" w:rsidR="00CB2594" w:rsidRPr="007434DA" w:rsidRDefault="00CB2594" w:rsidP="004A57B3">
            <w:pPr>
              <w:ind w:right="231"/>
              <w:jc w:val="right"/>
              <w:rPr>
                <w:sz w:val="20"/>
              </w:rPr>
            </w:pPr>
            <w:r w:rsidRPr="007434DA">
              <w:rPr>
                <w:sz w:val="20"/>
              </w:rPr>
              <w:t>1323</w:t>
            </w:r>
          </w:p>
        </w:tc>
        <w:tc>
          <w:tcPr>
            <w:tcW w:w="1118" w:type="dxa"/>
            <w:tcBorders>
              <w:top w:val="single" w:sz="4" w:space="0" w:color="auto"/>
              <w:left w:val="single" w:sz="4" w:space="0" w:color="auto"/>
              <w:bottom w:val="single" w:sz="4" w:space="0" w:color="auto"/>
              <w:right w:val="single" w:sz="4" w:space="0" w:color="auto"/>
            </w:tcBorders>
            <w:noWrap/>
            <w:hideMark/>
          </w:tcPr>
          <w:p w14:paraId="6A5D9E5C" w14:textId="77777777" w:rsidR="00CB2594" w:rsidRPr="007434DA" w:rsidRDefault="00CB2594" w:rsidP="004A57B3">
            <w:pPr>
              <w:ind w:right="231"/>
              <w:jc w:val="right"/>
              <w:rPr>
                <w:sz w:val="20"/>
              </w:rPr>
            </w:pPr>
            <w:r w:rsidRPr="007434DA">
              <w:rPr>
                <w:sz w:val="20"/>
              </w:rPr>
              <w:t>11.49</w:t>
            </w:r>
          </w:p>
        </w:tc>
        <w:tc>
          <w:tcPr>
            <w:tcW w:w="971" w:type="dxa"/>
            <w:gridSpan w:val="2"/>
            <w:tcBorders>
              <w:top w:val="single" w:sz="4" w:space="0" w:color="auto"/>
              <w:left w:val="single" w:sz="4" w:space="0" w:color="auto"/>
              <w:bottom w:val="single" w:sz="4" w:space="0" w:color="auto"/>
              <w:right w:val="single" w:sz="4" w:space="0" w:color="auto"/>
            </w:tcBorders>
            <w:noWrap/>
            <w:hideMark/>
          </w:tcPr>
          <w:p w14:paraId="24911A0C" w14:textId="77777777" w:rsidR="00CB2594" w:rsidRPr="007434DA" w:rsidRDefault="00CB2594" w:rsidP="004A57B3">
            <w:pPr>
              <w:ind w:right="231"/>
              <w:jc w:val="right"/>
              <w:rPr>
                <w:sz w:val="20"/>
              </w:rPr>
            </w:pPr>
            <w:r w:rsidRPr="007434DA">
              <w:rPr>
                <w:sz w:val="20"/>
              </w:rPr>
              <w:t>1.36</w:t>
            </w:r>
          </w:p>
        </w:tc>
        <w:tc>
          <w:tcPr>
            <w:tcW w:w="1121" w:type="dxa"/>
            <w:tcBorders>
              <w:top w:val="single" w:sz="4" w:space="0" w:color="auto"/>
              <w:left w:val="single" w:sz="4" w:space="0" w:color="auto"/>
              <w:bottom w:val="single" w:sz="4" w:space="0" w:color="auto"/>
              <w:right w:val="single" w:sz="4" w:space="0" w:color="auto"/>
            </w:tcBorders>
            <w:noWrap/>
            <w:hideMark/>
          </w:tcPr>
          <w:p w14:paraId="6DA1040A" w14:textId="77777777" w:rsidR="00CB2594" w:rsidRPr="007434DA" w:rsidRDefault="00CB2594" w:rsidP="004A57B3">
            <w:pPr>
              <w:ind w:right="231"/>
              <w:jc w:val="right"/>
              <w:rPr>
                <w:sz w:val="20"/>
              </w:rPr>
            </w:pPr>
            <w:r w:rsidRPr="007434DA">
              <w:rPr>
                <w:sz w:val="20"/>
              </w:rPr>
              <w:t>8.27</w:t>
            </w:r>
          </w:p>
        </w:tc>
      </w:tr>
      <w:tr w:rsidR="00CB2594" w:rsidRPr="007434DA" w14:paraId="44FB2CE8" w14:textId="77777777" w:rsidTr="004A57B3">
        <w:trPr>
          <w:trHeight w:val="255"/>
        </w:trPr>
        <w:tc>
          <w:tcPr>
            <w:tcW w:w="1809" w:type="dxa"/>
            <w:tcBorders>
              <w:top w:val="single" w:sz="4" w:space="0" w:color="auto"/>
              <w:left w:val="single" w:sz="4" w:space="0" w:color="auto"/>
              <w:bottom w:val="single" w:sz="4" w:space="0" w:color="auto"/>
              <w:right w:val="single" w:sz="4" w:space="0" w:color="auto"/>
            </w:tcBorders>
            <w:noWrap/>
            <w:hideMark/>
          </w:tcPr>
          <w:p w14:paraId="053DEF68" w14:textId="77777777" w:rsidR="00CB2594" w:rsidRPr="007434DA" w:rsidRDefault="00CB2594" w:rsidP="004A57B3">
            <w:pPr>
              <w:rPr>
                <w:b/>
                <w:bCs/>
                <w:sz w:val="20"/>
              </w:rPr>
            </w:pPr>
            <w:r w:rsidRPr="007434DA">
              <w:rPr>
                <w:b/>
                <w:bCs/>
                <w:sz w:val="20"/>
              </w:rPr>
              <w:t>4/řepka</w:t>
            </w:r>
          </w:p>
        </w:tc>
        <w:tc>
          <w:tcPr>
            <w:tcW w:w="2977" w:type="dxa"/>
            <w:tcBorders>
              <w:top w:val="single" w:sz="4" w:space="0" w:color="auto"/>
              <w:left w:val="single" w:sz="4" w:space="0" w:color="auto"/>
              <w:bottom w:val="single" w:sz="4" w:space="0" w:color="auto"/>
              <w:right w:val="single" w:sz="4" w:space="0" w:color="auto"/>
            </w:tcBorders>
            <w:hideMark/>
          </w:tcPr>
          <w:p w14:paraId="341625EC" w14:textId="77777777" w:rsidR="00CB2594" w:rsidRPr="007434DA" w:rsidRDefault="00CB2594" w:rsidP="004A57B3">
            <w:pPr>
              <w:rPr>
                <w:b/>
                <w:bCs/>
                <w:sz w:val="20"/>
              </w:rPr>
            </w:pPr>
            <w:r w:rsidRPr="007434DA">
              <w:rPr>
                <w:b/>
                <w:bCs/>
                <w:sz w:val="20"/>
              </w:rPr>
              <w:t>dimethachlor a jeho metabolity</w:t>
            </w:r>
          </w:p>
        </w:tc>
        <w:tc>
          <w:tcPr>
            <w:tcW w:w="1292" w:type="dxa"/>
            <w:tcBorders>
              <w:top w:val="single" w:sz="4" w:space="0" w:color="auto"/>
              <w:left w:val="single" w:sz="4" w:space="0" w:color="auto"/>
              <w:bottom w:val="single" w:sz="4" w:space="0" w:color="auto"/>
              <w:right w:val="single" w:sz="4" w:space="0" w:color="auto"/>
            </w:tcBorders>
            <w:noWrap/>
            <w:hideMark/>
          </w:tcPr>
          <w:p w14:paraId="50B9B0F7" w14:textId="77777777" w:rsidR="00CB2594" w:rsidRPr="007434DA" w:rsidRDefault="00CB2594" w:rsidP="004A57B3">
            <w:pPr>
              <w:ind w:right="231"/>
              <w:jc w:val="right"/>
              <w:rPr>
                <w:sz w:val="20"/>
              </w:rPr>
            </w:pPr>
            <w:r w:rsidRPr="007434DA">
              <w:rPr>
                <w:sz w:val="20"/>
              </w:rPr>
              <w:t>1323</w:t>
            </w:r>
          </w:p>
        </w:tc>
        <w:tc>
          <w:tcPr>
            <w:tcW w:w="1118" w:type="dxa"/>
            <w:tcBorders>
              <w:top w:val="single" w:sz="4" w:space="0" w:color="auto"/>
              <w:left w:val="single" w:sz="4" w:space="0" w:color="auto"/>
              <w:bottom w:val="single" w:sz="4" w:space="0" w:color="auto"/>
              <w:right w:val="single" w:sz="4" w:space="0" w:color="auto"/>
            </w:tcBorders>
            <w:noWrap/>
            <w:hideMark/>
          </w:tcPr>
          <w:p w14:paraId="7EC6D296" w14:textId="77777777" w:rsidR="00CB2594" w:rsidRPr="007434DA" w:rsidRDefault="00CB2594" w:rsidP="004A57B3">
            <w:pPr>
              <w:ind w:right="231"/>
              <w:jc w:val="right"/>
              <w:rPr>
                <w:sz w:val="20"/>
              </w:rPr>
            </w:pPr>
            <w:r w:rsidRPr="007434DA">
              <w:rPr>
                <w:sz w:val="20"/>
              </w:rPr>
              <w:t>0.08</w:t>
            </w:r>
          </w:p>
        </w:tc>
        <w:tc>
          <w:tcPr>
            <w:tcW w:w="971" w:type="dxa"/>
            <w:gridSpan w:val="2"/>
            <w:tcBorders>
              <w:top w:val="single" w:sz="4" w:space="0" w:color="auto"/>
              <w:left w:val="single" w:sz="4" w:space="0" w:color="auto"/>
              <w:bottom w:val="single" w:sz="4" w:space="0" w:color="auto"/>
              <w:right w:val="single" w:sz="4" w:space="0" w:color="auto"/>
            </w:tcBorders>
            <w:noWrap/>
            <w:hideMark/>
          </w:tcPr>
          <w:p w14:paraId="2C89C30C" w14:textId="77777777" w:rsidR="00CB2594" w:rsidRPr="007434DA" w:rsidRDefault="00CB2594" w:rsidP="004A57B3">
            <w:pPr>
              <w:ind w:right="231"/>
              <w:jc w:val="right"/>
              <w:rPr>
                <w:sz w:val="20"/>
              </w:rPr>
            </w:pPr>
            <w:r w:rsidRPr="007434DA">
              <w:rPr>
                <w:sz w:val="20"/>
              </w:rPr>
              <w:t>0</w:t>
            </w:r>
          </w:p>
        </w:tc>
        <w:tc>
          <w:tcPr>
            <w:tcW w:w="1121" w:type="dxa"/>
            <w:tcBorders>
              <w:top w:val="single" w:sz="4" w:space="0" w:color="auto"/>
              <w:left w:val="single" w:sz="4" w:space="0" w:color="auto"/>
              <w:bottom w:val="single" w:sz="4" w:space="0" w:color="auto"/>
              <w:right w:val="single" w:sz="4" w:space="0" w:color="auto"/>
            </w:tcBorders>
            <w:noWrap/>
            <w:hideMark/>
          </w:tcPr>
          <w:p w14:paraId="3C0C7542" w14:textId="77777777" w:rsidR="00CB2594" w:rsidRPr="007434DA" w:rsidRDefault="00CB2594" w:rsidP="004A57B3">
            <w:pPr>
              <w:ind w:right="231"/>
              <w:jc w:val="right"/>
              <w:rPr>
                <w:sz w:val="20"/>
              </w:rPr>
            </w:pPr>
            <w:r w:rsidRPr="007434DA">
              <w:rPr>
                <w:sz w:val="20"/>
              </w:rPr>
              <w:t>0.196</w:t>
            </w:r>
          </w:p>
        </w:tc>
      </w:tr>
      <w:tr w:rsidR="00CB2594" w:rsidRPr="007434DA" w14:paraId="57A0CBC2" w14:textId="77777777" w:rsidTr="004A57B3">
        <w:trPr>
          <w:trHeight w:val="255"/>
        </w:trPr>
        <w:tc>
          <w:tcPr>
            <w:tcW w:w="1809" w:type="dxa"/>
            <w:tcBorders>
              <w:top w:val="single" w:sz="4" w:space="0" w:color="auto"/>
              <w:left w:val="single" w:sz="4" w:space="0" w:color="auto"/>
              <w:bottom w:val="single" w:sz="4" w:space="0" w:color="auto"/>
              <w:right w:val="single" w:sz="4" w:space="0" w:color="auto"/>
            </w:tcBorders>
            <w:noWrap/>
            <w:hideMark/>
          </w:tcPr>
          <w:p w14:paraId="72F6A881" w14:textId="77777777" w:rsidR="00CB2594" w:rsidRPr="007434DA" w:rsidRDefault="00CB2594" w:rsidP="004A57B3">
            <w:pPr>
              <w:rPr>
                <w:b/>
                <w:bCs/>
                <w:sz w:val="20"/>
              </w:rPr>
            </w:pPr>
            <w:r w:rsidRPr="007434DA">
              <w:rPr>
                <w:b/>
                <w:bCs/>
                <w:sz w:val="20"/>
              </w:rPr>
              <w:t>5/řepka/cukrovka</w:t>
            </w:r>
          </w:p>
        </w:tc>
        <w:tc>
          <w:tcPr>
            <w:tcW w:w="2977" w:type="dxa"/>
            <w:tcBorders>
              <w:top w:val="single" w:sz="4" w:space="0" w:color="auto"/>
              <w:left w:val="single" w:sz="4" w:space="0" w:color="auto"/>
              <w:bottom w:val="single" w:sz="4" w:space="0" w:color="auto"/>
              <w:right w:val="single" w:sz="4" w:space="0" w:color="auto"/>
            </w:tcBorders>
            <w:hideMark/>
          </w:tcPr>
          <w:p w14:paraId="7BAB501A" w14:textId="77777777" w:rsidR="00CB2594" w:rsidRPr="007434DA" w:rsidRDefault="00CB2594" w:rsidP="004A57B3">
            <w:pPr>
              <w:rPr>
                <w:b/>
                <w:bCs/>
                <w:sz w:val="20"/>
              </w:rPr>
            </w:pPr>
            <w:r w:rsidRPr="007434DA">
              <w:rPr>
                <w:b/>
                <w:bCs/>
                <w:sz w:val="20"/>
              </w:rPr>
              <w:t>clopyralid</w:t>
            </w:r>
          </w:p>
        </w:tc>
        <w:tc>
          <w:tcPr>
            <w:tcW w:w="1292" w:type="dxa"/>
            <w:tcBorders>
              <w:top w:val="single" w:sz="4" w:space="0" w:color="auto"/>
              <w:left w:val="single" w:sz="4" w:space="0" w:color="auto"/>
              <w:bottom w:val="single" w:sz="4" w:space="0" w:color="auto"/>
              <w:right w:val="single" w:sz="4" w:space="0" w:color="auto"/>
            </w:tcBorders>
            <w:noWrap/>
            <w:hideMark/>
          </w:tcPr>
          <w:p w14:paraId="762CDD5E" w14:textId="77777777" w:rsidR="00CB2594" w:rsidRPr="007434DA" w:rsidRDefault="00CB2594" w:rsidP="004A57B3">
            <w:pPr>
              <w:ind w:right="231"/>
              <w:jc w:val="right"/>
              <w:rPr>
                <w:sz w:val="20"/>
              </w:rPr>
            </w:pPr>
            <w:r w:rsidRPr="007434DA">
              <w:rPr>
                <w:sz w:val="20"/>
              </w:rPr>
              <w:t>1323</w:t>
            </w:r>
          </w:p>
        </w:tc>
        <w:tc>
          <w:tcPr>
            <w:tcW w:w="1118" w:type="dxa"/>
            <w:tcBorders>
              <w:top w:val="single" w:sz="4" w:space="0" w:color="auto"/>
              <w:left w:val="single" w:sz="4" w:space="0" w:color="auto"/>
              <w:bottom w:val="single" w:sz="4" w:space="0" w:color="auto"/>
              <w:right w:val="single" w:sz="4" w:space="0" w:color="auto"/>
            </w:tcBorders>
            <w:noWrap/>
            <w:hideMark/>
          </w:tcPr>
          <w:p w14:paraId="32355CF4" w14:textId="77777777" w:rsidR="00CB2594" w:rsidRPr="007434DA" w:rsidRDefault="00CB2594" w:rsidP="004A57B3">
            <w:pPr>
              <w:ind w:right="231"/>
              <w:jc w:val="right"/>
              <w:rPr>
                <w:sz w:val="20"/>
              </w:rPr>
            </w:pPr>
            <w:r w:rsidRPr="007434DA">
              <w:rPr>
                <w:sz w:val="20"/>
              </w:rPr>
              <w:t>0.30</w:t>
            </w:r>
          </w:p>
        </w:tc>
        <w:tc>
          <w:tcPr>
            <w:tcW w:w="971" w:type="dxa"/>
            <w:gridSpan w:val="2"/>
            <w:tcBorders>
              <w:top w:val="single" w:sz="4" w:space="0" w:color="auto"/>
              <w:left w:val="single" w:sz="4" w:space="0" w:color="auto"/>
              <w:bottom w:val="single" w:sz="4" w:space="0" w:color="auto"/>
              <w:right w:val="single" w:sz="4" w:space="0" w:color="auto"/>
            </w:tcBorders>
            <w:noWrap/>
            <w:hideMark/>
          </w:tcPr>
          <w:p w14:paraId="443BD595" w14:textId="77777777" w:rsidR="00CB2594" w:rsidRPr="007434DA" w:rsidRDefault="00CB2594" w:rsidP="004A57B3">
            <w:pPr>
              <w:ind w:right="231"/>
              <w:jc w:val="right"/>
              <w:rPr>
                <w:sz w:val="20"/>
              </w:rPr>
            </w:pPr>
            <w:r w:rsidRPr="007434DA">
              <w:rPr>
                <w:sz w:val="20"/>
              </w:rPr>
              <w:t>0.08</w:t>
            </w:r>
          </w:p>
        </w:tc>
        <w:tc>
          <w:tcPr>
            <w:tcW w:w="1121" w:type="dxa"/>
            <w:tcBorders>
              <w:top w:val="single" w:sz="4" w:space="0" w:color="auto"/>
              <w:left w:val="single" w:sz="4" w:space="0" w:color="auto"/>
              <w:bottom w:val="single" w:sz="4" w:space="0" w:color="auto"/>
              <w:right w:val="single" w:sz="4" w:space="0" w:color="auto"/>
            </w:tcBorders>
            <w:noWrap/>
            <w:hideMark/>
          </w:tcPr>
          <w:p w14:paraId="467D7FE8" w14:textId="77777777" w:rsidR="00CB2594" w:rsidRPr="007434DA" w:rsidRDefault="00CB2594" w:rsidP="004A57B3">
            <w:pPr>
              <w:ind w:right="231"/>
              <w:jc w:val="right"/>
              <w:rPr>
                <w:sz w:val="20"/>
              </w:rPr>
            </w:pPr>
            <w:r w:rsidRPr="007434DA">
              <w:rPr>
                <w:sz w:val="20"/>
              </w:rPr>
              <w:t>1.9</w:t>
            </w:r>
          </w:p>
        </w:tc>
      </w:tr>
      <w:tr w:rsidR="00CB2594" w:rsidRPr="007434DA" w14:paraId="4EEA8107" w14:textId="77777777" w:rsidTr="004A57B3">
        <w:trPr>
          <w:trHeight w:val="255"/>
        </w:trPr>
        <w:tc>
          <w:tcPr>
            <w:tcW w:w="1809" w:type="dxa"/>
            <w:tcBorders>
              <w:top w:val="single" w:sz="4" w:space="0" w:color="auto"/>
              <w:left w:val="single" w:sz="4" w:space="0" w:color="auto"/>
              <w:bottom w:val="single" w:sz="4" w:space="0" w:color="auto"/>
              <w:right w:val="single" w:sz="4" w:space="0" w:color="auto"/>
            </w:tcBorders>
            <w:noWrap/>
            <w:hideMark/>
          </w:tcPr>
          <w:p w14:paraId="4EB5C192" w14:textId="77777777" w:rsidR="00CB2594" w:rsidRPr="007434DA" w:rsidRDefault="00CB2594" w:rsidP="004A57B3">
            <w:pPr>
              <w:rPr>
                <w:b/>
                <w:bCs/>
                <w:sz w:val="20"/>
              </w:rPr>
            </w:pPr>
            <w:r w:rsidRPr="007434DA">
              <w:rPr>
                <w:b/>
                <w:bCs/>
                <w:sz w:val="20"/>
              </w:rPr>
              <w:t>6/kukuřice</w:t>
            </w:r>
          </w:p>
        </w:tc>
        <w:tc>
          <w:tcPr>
            <w:tcW w:w="2977" w:type="dxa"/>
            <w:tcBorders>
              <w:top w:val="single" w:sz="4" w:space="0" w:color="auto"/>
              <w:left w:val="single" w:sz="4" w:space="0" w:color="auto"/>
              <w:bottom w:val="single" w:sz="4" w:space="0" w:color="auto"/>
              <w:right w:val="single" w:sz="4" w:space="0" w:color="auto"/>
            </w:tcBorders>
            <w:hideMark/>
          </w:tcPr>
          <w:p w14:paraId="2DCFCDB0" w14:textId="77777777" w:rsidR="00CB2594" w:rsidRPr="007434DA" w:rsidRDefault="00CB2594" w:rsidP="004A57B3">
            <w:pPr>
              <w:rPr>
                <w:b/>
                <w:bCs/>
                <w:sz w:val="20"/>
              </w:rPr>
            </w:pPr>
            <w:r w:rsidRPr="007434DA">
              <w:rPr>
                <w:b/>
                <w:bCs/>
                <w:sz w:val="20"/>
              </w:rPr>
              <w:t>terbuthylazin a jeho metabolity</w:t>
            </w:r>
          </w:p>
        </w:tc>
        <w:tc>
          <w:tcPr>
            <w:tcW w:w="1292" w:type="dxa"/>
            <w:tcBorders>
              <w:top w:val="single" w:sz="4" w:space="0" w:color="auto"/>
              <w:left w:val="single" w:sz="4" w:space="0" w:color="auto"/>
              <w:bottom w:val="single" w:sz="4" w:space="0" w:color="auto"/>
              <w:right w:val="single" w:sz="4" w:space="0" w:color="auto"/>
            </w:tcBorders>
            <w:noWrap/>
            <w:hideMark/>
          </w:tcPr>
          <w:p w14:paraId="1812B600" w14:textId="77777777" w:rsidR="00CB2594" w:rsidRPr="007434DA" w:rsidRDefault="00CB2594" w:rsidP="004A57B3">
            <w:pPr>
              <w:ind w:right="231"/>
              <w:jc w:val="right"/>
              <w:rPr>
                <w:sz w:val="20"/>
              </w:rPr>
            </w:pPr>
            <w:r w:rsidRPr="007434DA">
              <w:rPr>
                <w:sz w:val="20"/>
              </w:rPr>
              <w:t>1323</w:t>
            </w:r>
          </w:p>
        </w:tc>
        <w:tc>
          <w:tcPr>
            <w:tcW w:w="1118" w:type="dxa"/>
            <w:tcBorders>
              <w:top w:val="single" w:sz="4" w:space="0" w:color="auto"/>
              <w:left w:val="single" w:sz="4" w:space="0" w:color="auto"/>
              <w:bottom w:val="single" w:sz="4" w:space="0" w:color="auto"/>
              <w:right w:val="single" w:sz="4" w:space="0" w:color="auto"/>
            </w:tcBorders>
            <w:noWrap/>
            <w:hideMark/>
          </w:tcPr>
          <w:p w14:paraId="20DCE868" w14:textId="77777777" w:rsidR="00CB2594" w:rsidRPr="007434DA" w:rsidRDefault="00CB2594" w:rsidP="004A57B3">
            <w:pPr>
              <w:ind w:right="231"/>
              <w:jc w:val="right"/>
              <w:rPr>
                <w:sz w:val="20"/>
              </w:rPr>
            </w:pPr>
            <w:r w:rsidRPr="007434DA">
              <w:rPr>
                <w:sz w:val="20"/>
              </w:rPr>
              <w:t>0.53</w:t>
            </w:r>
          </w:p>
        </w:tc>
        <w:tc>
          <w:tcPr>
            <w:tcW w:w="971" w:type="dxa"/>
            <w:gridSpan w:val="2"/>
            <w:tcBorders>
              <w:top w:val="single" w:sz="4" w:space="0" w:color="auto"/>
              <w:left w:val="single" w:sz="4" w:space="0" w:color="auto"/>
              <w:bottom w:val="single" w:sz="4" w:space="0" w:color="auto"/>
              <w:right w:val="single" w:sz="4" w:space="0" w:color="auto"/>
            </w:tcBorders>
            <w:noWrap/>
            <w:hideMark/>
          </w:tcPr>
          <w:p w14:paraId="55CC9F6B" w14:textId="77777777" w:rsidR="00CB2594" w:rsidRPr="007434DA" w:rsidRDefault="00CB2594" w:rsidP="004A57B3">
            <w:pPr>
              <w:ind w:right="231"/>
              <w:jc w:val="right"/>
              <w:rPr>
                <w:sz w:val="20"/>
              </w:rPr>
            </w:pPr>
            <w:r w:rsidRPr="007434DA">
              <w:rPr>
                <w:sz w:val="20"/>
              </w:rPr>
              <w:t>0</w:t>
            </w:r>
          </w:p>
        </w:tc>
        <w:tc>
          <w:tcPr>
            <w:tcW w:w="1121" w:type="dxa"/>
            <w:tcBorders>
              <w:top w:val="single" w:sz="4" w:space="0" w:color="auto"/>
              <w:left w:val="single" w:sz="4" w:space="0" w:color="auto"/>
              <w:bottom w:val="single" w:sz="4" w:space="0" w:color="auto"/>
              <w:right w:val="single" w:sz="4" w:space="0" w:color="auto"/>
            </w:tcBorders>
            <w:noWrap/>
            <w:hideMark/>
          </w:tcPr>
          <w:p w14:paraId="260CAA35" w14:textId="77777777" w:rsidR="00CB2594" w:rsidRPr="007434DA" w:rsidRDefault="00CB2594" w:rsidP="004A57B3">
            <w:pPr>
              <w:ind w:right="231"/>
              <w:jc w:val="right"/>
              <w:rPr>
                <w:sz w:val="20"/>
              </w:rPr>
            </w:pPr>
            <w:r w:rsidRPr="007434DA">
              <w:rPr>
                <w:sz w:val="20"/>
              </w:rPr>
              <w:t>0.565</w:t>
            </w:r>
          </w:p>
        </w:tc>
      </w:tr>
      <w:tr w:rsidR="00CB2594" w:rsidRPr="007434DA" w14:paraId="306EB4E2" w14:textId="77777777" w:rsidTr="004A57B3">
        <w:trPr>
          <w:trHeight w:val="255"/>
        </w:trPr>
        <w:tc>
          <w:tcPr>
            <w:tcW w:w="1809" w:type="dxa"/>
            <w:vMerge w:val="restart"/>
            <w:tcBorders>
              <w:top w:val="single" w:sz="4" w:space="0" w:color="auto"/>
              <w:left w:val="single" w:sz="4" w:space="0" w:color="auto"/>
              <w:bottom w:val="single" w:sz="4" w:space="0" w:color="auto"/>
              <w:right w:val="single" w:sz="4" w:space="0" w:color="auto"/>
            </w:tcBorders>
            <w:noWrap/>
            <w:hideMark/>
          </w:tcPr>
          <w:p w14:paraId="1564D837" w14:textId="77777777" w:rsidR="00CB2594" w:rsidRPr="007434DA" w:rsidRDefault="00CB2594" w:rsidP="004A57B3"/>
        </w:tc>
        <w:tc>
          <w:tcPr>
            <w:tcW w:w="2977" w:type="dxa"/>
            <w:vMerge w:val="restart"/>
            <w:tcBorders>
              <w:top w:val="single" w:sz="4" w:space="0" w:color="auto"/>
              <w:left w:val="single" w:sz="4" w:space="0" w:color="auto"/>
              <w:bottom w:val="single" w:sz="4" w:space="0" w:color="auto"/>
              <w:right w:val="single" w:sz="4" w:space="0" w:color="auto"/>
            </w:tcBorders>
            <w:noWrap/>
            <w:hideMark/>
          </w:tcPr>
          <w:p w14:paraId="58C77452" w14:textId="77777777" w:rsidR="00CB2594" w:rsidRPr="007434DA" w:rsidRDefault="00CB2594" w:rsidP="004A57B3"/>
        </w:tc>
        <w:tc>
          <w:tcPr>
            <w:tcW w:w="4502" w:type="dxa"/>
            <w:gridSpan w:val="5"/>
            <w:tcBorders>
              <w:top w:val="single" w:sz="4" w:space="0" w:color="auto"/>
              <w:left w:val="single" w:sz="4" w:space="0" w:color="auto"/>
              <w:bottom w:val="single" w:sz="4" w:space="0" w:color="auto"/>
              <w:right w:val="single" w:sz="4" w:space="0" w:color="auto"/>
            </w:tcBorders>
            <w:shd w:val="clear" w:color="auto" w:fill="E2EFD9" w:themeFill="accent6" w:themeFillTint="33"/>
            <w:noWrap/>
            <w:hideMark/>
          </w:tcPr>
          <w:p w14:paraId="76C64C6C" w14:textId="77777777" w:rsidR="00CB2594" w:rsidRPr="007434DA" w:rsidRDefault="00CB2594" w:rsidP="004A57B3">
            <w:pPr>
              <w:jc w:val="center"/>
              <w:rPr>
                <w:b/>
                <w:bCs/>
                <w:sz w:val="20"/>
              </w:rPr>
            </w:pPr>
            <w:r w:rsidRPr="007434DA">
              <w:rPr>
                <w:b/>
                <w:bCs/>
                <w:sz w:val="20"/>
              </w:rPr>
              <w:t>2015</w:t>
            </w:r>
          </w:p>
        </w:tc>
      </w:tr>
      <w:tr w:rsidR="00CB2594" w:rsidRPr="0005469C" w14:paraId="63D5EC40" w14:textId="77777777" w:rsidTr="004A57B3">
        <w:trPr>
          <w:trHeight w:val="10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1E2070" w14:textId="77777777" w:rsidR="00CB2594" w:rsidRPr="007434DA" w:rsidRDefault="00CB2594" w:rsidP="004A57B3"/>
        </w:tc>
        <w:tc>
          <w:tcPr>
            <w:tcW w:w="0" w:type="auto"/>
            <w:vMerge/>
            <w:tcBorders>
              <w:top w:val="single" w:sz="4" w:space="0" w:color="auto"/>
              <w:left w:val="single" w:sz="4" w:space="0" w:color="auto"/>
              <w:bottom w:val="single" w:sz="4" w:space="0" w:color="auto"/>
              <w:right w:val="single" w:sz="4" w:space="0" w:color="auto"/>
            </w:tcBorders>
            <w:vAlign w:val="center"/>
            <w:hideMark/>
          </w:tcPr>
          <w:p w14:paraId="78CF3676" w14:textId="77777777" w:rsidR="00CB2594" w:rsidRPr="007434DA" w:rsidRDefault="00CB2594" w:rsidP="004A57B3"/>
        </w:tc>
        <w:tc>
          <w:tcPr>
            <w:tcW w:w="1292" w:type="dxa"/>
            <w:tcBorders>
              <w:top w:val="single" w:sz="4" w:space="0" w:color="auto"/>
              <w:left w:val="single" w:sz="4" w:space="0" w:color="auto"/>
              <w:bottom w:val="single" w:sz="4" w:space="0" w:color="auto"/>
              <w:right w:val="single" w:sz="4" w:space="0" w:color="auto"/>
            </w:tcBorders>
            <w:hideMark/>
          </w:tcPr>
          <w:p w14:paraId="40693B89" w14:textId="77777777" w:rsidR="00CB2594" w:rsidRPr="007434DA" w:rsidRDefault="00CB2594" w:rsidP="004A57B3">
            <w:pPr>
              <w:rPr>
                <w:b/>
                <w:bCs/>
                <w:sz w:val="20"/>
              </w:rPr>
            </w:pPr>
            <w:r w:rsidRPr="007434DA">
              <w:rPr>
                <w:b/>
                <w:bCs/>
                <w:sz w:val="20"/>
              </w:rPr>
              <w:t>Počet odebraných vzorků</w:t>
            </w:r>
          </w:p>
        </w:tc>
        <w:tc>
          <w:tcPr>
            <w:tcW w:w="1224" w:type="dxa"/>
            <w:gridSpan w:val="2"/>
            <w:tcBorders>
              <w:top w:val="single" w:sz="4" w:space="0" w:color="auto"/>
              <w:left w:val="single" w:sz="4" w:space="0" w:color="auto"/>
              <w:bottom w:val="single" w:sz="4" w:space="0" w:color="auto"/>
              <w:right w:val="single" w:sz="4" w:space="0" w:color="auto"/>
            </w:tcBorders>
            <w:hideMark/>
          </w:tcPr>
          <w:p w14:paraId="201DDB8D" w14:textId="77777777" w:rsidR="00CB2594" w:rsidRPr="007434DA" w:rsidRDefault="00CB2594" w:rsidP="004A57B3">
            <w:pPr>
              <w:rPr>
                <w:b/>
                <w:bCs/>
                <w:sz w:val="20"/>
              </w:rPr>
            </w:pPr>
            <w:r w:rsidRPr="007434DA">
              <w:rPr>
                <w:b/>
                <w:bCs/>
                <w:sz w:val="20"/>
              </w:rPr>
              <w:t>Nadlimitní výskyt - nad 0,1 µg/l (%)</w:t>
            </w:r>
          </w:p>
        </w:tc>
        <w:tc>
          <w:tcPr>
            <w:tcW w:w="865" w:type="dxa"/>
            <w:tcBorders>
              <w:top w:val="single" w:sz="4" w:space="0" w:color="auto"/>
              <w:left w:val="single" w:sz="4" w:space="0" w:color="auto"/>
              <w:bottom w:val="single" w:sz="4" w:space="0" w:color="auto"/>
              <w:right w:val="single" w:sz="4" w:space="0" w:color="auto"/>
            </w:tcBorders>
            <w:hideMark/>
          </w:tcPr>
          <w:p w14:paraId="347C6F77" w14:textId="77777777" w:rsidR="00CB2594" w:rsidRPr="007434DA" w:rsidRDefault="00CB2594" w:rsidP="004A57B3">
            <w:pPr>
              <w:rPr>
                <w:b/>
                <w:bCs/>
                <w:sz w:val="20"/>
              </w:rPr>
            </w:pPr>
            <w:r w:rsidRPr="007434DA">
              <w:rPr>
                <w:b/>
                <w:bCs/>
                <w:sz w:val="20"/>
              </w:rPr>
              <w:t>Výskyt - nad 1 µg/l (%)</w:t>
            </w:r>
          </w:p>
        </w:tc>
        <w:tc>
          <w:tcPr>
            <w:tcW w:w="1121" w:type="dxa"/>
            <w:tcBorders>
              <w:top w:val="single" w:sz="4" w:space="0" w:color="auto"/>
              <w:left w:val="single" w:sz="4" w:space="0" w:color="auto"/>
              <w:bottom w:val="single" w:sz="4" w:space="0" w:color="auto"/>
              <w:right w:val="single" w:sz="4" w:space="0" w:color="auto"/>
            </w:tcBorders>
            <w:hideMark/>
          </w:tcPr>
          <w:p w14:paraId="24CCE766" w14:textId="77777777" w:rsidR="00CB2594" w:rsidRPr="007434DA" w:rsidRDefault="00CB2594" w:rsidP="004A57B3">
            <w:pPr>
              <w:rPr>
                <w:b/>
                <w:bCs/>
                <w:sz w:val="20"/>
              </w:rPr>
            </w:pPr>
            <w:r w:rsidRPr="007434DA">
              <w:rPr>
                <w:b/>
                <w:bCs/>
                <w:sz w:val="20"/>
              </w:rPr>
              <w:t>Maximální zjištěná hodnota (µg/l)</w:t>
            </w:r>
          </w:p>
        </w:tc>
      </w:tr>
      <w:tr w:rsidR="00CB2594" w:rsidRPr="007434DA" w14:paraId="6E57857F" w14:textId="77777777" w:rsidTr="004A57B3">
        <w:trPr>
          <w:trHeight w:val="365"/>
        </w:trPr>
        <w:tc>
          <w:tcPr>
            <w:tcW w:w="1809" w:type="dxa"/>
            <w:tcBorders>
              <w:top w:val="single" w:sz="4" w:space="0" w:color="auto"/>
              <w:left w:val="single" w:sz="4" w:space="0" w:color="auto"/>
              <w:bottom w:val="single" w:sz="4" w:space="0" w:color="auto"/>
              <w:right w:val="single" w:sz="4" w:space="0" w:color="auto"/>
            </w:tcBorders>
            <w:noWrap/>
            <w:hideMark/>
          </w:tcPr>
          <w:p w14:paraId="20D535EF" w14:textId="77777777" w:rsidR="00CB2594" w:rsidRPr="007434DA" w:rsidRDefault="00CB2594" w:rsidP="004A57B3">
            <w:pPr>
              <w:rPr>
                <w:b/>
                <w:bCs/>
                <w:sz w:val="20"/>
              </w:rPr>
            </w:pPr>
            <w:r w:rsidRPr="007434DA">
              <w:rPr>
                <w:b/>
                <w:bCs/>
                <w:sz w:val="20"/>
              </w:rPr>
              <w:t>1/cukrovka</w:t>
            </w:r>
          </w:p>
        </w:tc>
        <w:tc>
          <w:tcPr>
            <w:tcW w:w="2977" w:type="dxa"/>
            <w:tcBorders>
              <w:top w:val="single" w:sz="4" w:space="0" w:color="auto"/>
              <w:left w:val="single" w:sz="4" w:space="0" w:color="auto"/>
              <w:bottom w:val="single" w:sz="4" w:space="0" w:color="auto"/>
              <w:right w:val="single" w:sz="4" w:space="0" w:color="auto"/>
            </w:tcBorders>
            <w:hideMark/>
          </w:tcPr>
          <w:p w14:paraId="2E82CDC5" w14:textId="77777777" w:rsidR="00CB2594" w:rsidRPr="007434DA" w:rsidRDefault="00CB2594" w:rsidP="004A57B3">
            <w:pPr>
              <w:rPr>
                <w:b/>
                <w:bCs/>
                <w:sz w:val="20"/>
              </w:rPr>
            </w:pPr>
            <w:r w:rsidRPr="007434DA">
              <w:rPr>
                <w:b/>
                <w:bCs/>
                <w:sz w:val="20"/>
              </w:rPr>
              <w:t>chloridazon a jeho metabolity</w:t>
            </w:r>
          </w:p>
        </w:tc>
        <w:tc>
          <w:tcPr>
            <w:tcW w:w="1292" w:type="dxa"/>
            <w:tcBorders>
              <w:top w:val="single" w:sz="4" w:space="0" w:color="auto"/>
              <w:left w:val="single" w:sz="4" w:space="0" w:color="auto"/>
              <w:bottom w:val="single" w:sz="4" w:space="0" w:color="auto"/>
              <w:right w:val="single" w:sz="4" w:space="0" w:color="auto"/>
            </w:tcBorders>
            <w:noWrap/>
            <w:hideMark/>
          </w:tcPr>
          <w:p w14:paraId="6B1CBE07" w14:textId="77777777" w:rsidR="00CB2594" w:rsidRPr="007434DA" w:rsidRDefault="00CB2594" w:rsidP="004A57B3">
            <w:pPr>
              <w:ind w:right="105"/>
              <w:jc w:val="right"/>
              <w:rPr>
                <w:sz w:val="20"/>
              </w:rPr>
            </w:pPr>
            <w:r w:rsidRPr="007434DA">
              <w:rPr>
                <w:sz w:val="20"/>
              </w:rPr>
              <w:t>1317</w:t>
            </w:r>
          </w:p>
        </w:tc>
        <w:tc>
          <w:tcPr>
            <w:tcW w:w="1224" w:type="dxa"/>
            <w:gridSpan w:val="2"/>
            <w:tcBorders>
              <w:top w:val="single" w:sz="4" w:space="0" w:color="auto"/>
              <w:left w:val="single" w:sz="4" w:space="0" w:color="auto"/>
              <w:bottom w:val="single" w:sz="4" w:space="0" w:color="auto"/>
              <w:right w:val="single" w:sz="4" w:space="0" w:color="auto"/>
            </w:tcBorders>
            <w:noWrap/>
            <w:hideMark/>
          </w:tcPr>
          <w:p w14:paraId="48B30CFA" w14:textId="77777777" w:rsidR="00CB2594" w:rsidRPr="007434DA" w:rsidRDefault="00CB2594" w:rsidP="004A57B3">
            <w:pPr>
              <w:ind w:right="105"/>
              <w:jc w:val="right"/>
              <w:rPr>
                <w:sz w:val="20"/>
              </w:rPr>
            </w:pPr>
            <w:r w:rsidRPr="007434DA">
              <w:rPr>
                <w:sz w:val="20"/>
              </w:rPr>
              <w:t>27.64</w:t>
            </w:r>
          </w:p>
        </w:tc>
        <w:tc>
          <w:tcPr>
            <w:tcW w:w="865" w:type="dxa"/>
            <w:tcBorders>
              <w:top w:val="single" w:sz="4" w:space="0" w:color="auto"/>
              <w:left w:val="single" w:sz="4" w:space="0" w:color="auto"/>
              <w:bottom w:val="single" w:sz="4" w:space="0" w:color="auto"/>
              <w:right w:val="single" w:sz="4" w:space="0" w:color="auto"/>
            </w:tcBorders>
            <w:noWrap/>
            <w:hideMark/>
          </w:tcPr>
          <w:p w14:paraId="1805A52B" w14:textId="77777777" w:rsidR="00CB2594" w:rsidRPr="007434DA" w:rsidRDefault="00CB2594" w:rsidP="004A57B3">
            <w:pPr>
              <w:ind w:right="105"/>
              <w:jc w:val="right"/>
              <w:rPr>
                <w:sz w:val="20"/>
              </w:rPr>
            </w:pPr>
            <w:r w:rsidRPr="007434DA">
              <w:rPr>
                <w:sz w:val="20"/>
              </w:rPr>
              <w:t>10.63</w:t>
            </w:r>
          </w:p>
        </w:tc>
        <w:tc>
          <w:tcPr>
            <w:tcW w:w="1121" w:type="dxa"/>
            <w:tcBorders>
              <w:top w:val="single" w:sz="4" w:space="0" w:color="auto"/>
              <w:left w:val="single" w:sz="4" w:space="0" w:color="auto"/>
              <w:bottom w:val="single" w:sz="4" w:space="0" w:color="auto"/>
              <w:right w:val="single" w:sz="4" w:space="0" w:color="auto"/>
            </w:tcBorders>
            <w:noWrap/>
            <w:hideMark/>
          </w:tcPr>
          <w:p w14:paraId="2B9E2E00" w14:textId="77777777" w:rsidR="00CB2594" w:rsidRPr="007434DA" w:rsidRDefault="00CB2594" w:rsidP="004A57B3">
            <w:pPr>
              <w:ind w:right="105"/>
              <w:jc w:val="right"/>
              <w:rPr>
                <w:sz w:val="20"/>
              </w:rPr>
            </w:pPr>
            <w:r w:rsidRPr="007434DA">
              <w:rPr>
                <w:sz w:val="20"/>
              </w:rPr>
              <w:t>30.38</w:t>
            </w:r>
          </w:p>
        </w:tc>
      </w:tr>
      <w:tr w:rsidR="00CB2594" w:rsidRPr="007434DA" w14:paraId="508F1BA7" w14:textId="77777777" w:rsidTr="004A57B3">
        <w:trPr>
          <w:trHeight w:val="255"/>
        </w:trPr>
        <w:tc>
          <w:tcPr>
            <w:tcW w:w="1809" w:type="dxa"/>
            <w:tcBorders>
              <w:top w:val="single" w:sz="4" w:space="0" w:color="auto"/>
              <w:left w:val="single" w:sz="4" w:space="0" w:color="auto"/>
              <w:bottom w:val="single" w:sz="4" w:space="0" w:color="auto"/>
              <w:right w:val="single" w:sz="4" w:space="0" w:color="auto"/>
            </w:tcBorders>
            <w:noWrap/>
            <w:hideMark/>
          </w:tcPr>
          <w:p w14:paraId="2EA94EA0" w14:textId="77777777" w:rsidR="00CB2594" w:rsidRPr="007434DA" w:rsidRDefault="00CB2594" w:rsidP="004A57B3">
            <w:pPr>
              <w:rPr>
                <w:b/>
                <w:bCs/>
                <w:sz w:val="20"/>
              </w:rPr>
            </w:pPr>
            <w:r w:rsidRPr="007434DA">
              <w:rPr>
                <w:b/>
                <w:bCs/>
                <w:sz w:val="20"/>
              </w:rPr>
              <w:t>2/řepka</w:t>
            </w:r>
          </w:p>
        </w:tc>
        <w:tc>
          <w:tcPr>
            <w:tcW w:w="2977" w:type="dxa"/>
            <w:tcBorders>
              <w:top w:val="single" w:sz="4" w:space="0" w:color="auto"/>
              <w:left w:val="single" w:sz="4" w:space="0" w:color="auto"/>
              <w:bottom w:val="single" w:sz="4" w:space="0" w:color="auto"/>
              <w:right w:val="single" w:sz="4" w:space="0" w:color="auto"/>
            </w:tcBorders>
            <w:hideMark/>
          </w:tcPr>
          <w:p w14:paraId="303A22C6" w14:textId="77777777" w:rsidR="00CB2594" w:rsidRPr="007434DA" w:rsidRDefault="00CB2594" w:rsidP="004A57B3">
            <w:pPr>
              <w:rPr>
                <w:b/>
                <w:bCs/>
                <w:sz w:val="20"/>
              </w:rPr>
            </w:pPr>
            <w:r w:rsidRPr="007434DA">
              <w:rPr>
                <w:b/>
                <w:bCs/>
                <w:sz w:val="20"/>
              </w:rPr>
              <w:t xml:space="preserve">metazachlor a jeho metabolity </w:t>
            </w:r>
          </w:p>
        </w:tc>
        <w:tc>
          <w:tcPr>
            <w:tcW w:w="1292" w:type="dxa"/>
            <w:tcBorders>
              <w:top w:val="single" w:sz="4" w:space="0" w:color="auto"/>
              <w:left w:val="single" w:sz="4" w:space="0" w:color="auto"/>
              <w:bottom w:val="single" w:sz="4" w:space="0" w:color="auto"/>
              <w:right w:val="single" w:sz="4" w:space="0" w:color="auto"/>
            </w:tcBorders>
            <w:noWrap/>
            <w:hideMark/>
          </w:tcPr>
          <w:p w14:paraId="4154C6D1" w14:textId="77777777" w:rsidR="00CB2594" w:rsidRPr="007434DA" w:rsidRDefault="00CB2594" w:rsidP="004A57B3">
            <w:pPr>
              <w:ind w:right="105"/>
              <w:jc w:val="right"/>
              <w:rPr>
                <w:sz w:val="20"/>
              </w:rPr>
            </w:pPr>
            <w:r w:rsidRPr="007434DA">
              <w:rPr>
                <w:sz w:val="20"/>
              </w:rPr>
              <w:t>1317</w:t>
            </w:r>
          </w:p>
        </w:tc>
        <w:tc>
          <w:tcPr>
            <w:tcW w:w="1224" w:type="dxa"/>
            <w:gridSpan w:val="2"/>
            <w:tcBorders>
              <w:top w:val="single" w:sz="4" w:space="0" w:color="auto"/>
              <w:left w:val="single" w:sz="4" w:space="0" w:color="auto"/>
              <w:bottom w:val="single" w:sz="4" w:space="0" w:color="auto"/>
              <w:right w:val="single" w:sz="4" w:space="0" w:color="auto"/>
            </w:tcBorders>
            <w:noWrap/>
            <w:hideMark/>
          </w:tcPr>
          <w:p w14:paraId="6C5C254D" w14:textId="77777777" w:rsidR="00CB2594" w:rsidRPr="007434DA" w:rsidRDefault="00CB2594" w:rsidP="004A57B3">
            <w:pPr>
              <w:ind w:right="105"/>
              <w:jc w:val="right"/>
              <w:rPr>
                <w:sz w:val="20"/>
              </w:rPr>
            </w:pPr>
            <w:r w:rsidRPr="007434DA">
              <w:rPr>
                <w:sz w:val="20"/>
              </w:rPr>
              <w:t>11.39</w:t>
            </w:r>
          </w:p>
        </w:tc>
        <w:tc>
          <w:tcPr>
            <w:tcW w:w="865" w:type="dxa"/>
            <w:tcBorders>
              <w:top w:val="single" w:sz="4" w:space="0" w:color="auto"/>
              <w:left w:val="single" w:sz="4" w:space="0" w:color="auto"/>
              <w:bottom w:val="single" w:sz="4" w:space="0" w:color="auto"/>
              <w:right w:val="single" w:sz="4" w:space="0" w:color="auto"/>
            </w:tcBorders>
            <w:noWrap/>
            <w:hideMark/>
          </w:tcPr>
          <w:p w14:paraId="260FF1F6" w14:textId="77777777" w:rsidR="00CB2594" w:rsidRPr="007434DA" w:rsidRDefault="00CB2594" w:rsidP="004A57B3">
            <w:pPr>
              <w:ind w:right="105"/>
              <w:jc w:val="right"/>
              <w:rPr>
                <w:sz w:val="20"/>
              </w:rPr>
            </w:pPr>
            <w:r w:rsidRPr="007434DA">
              <w:rPr>
                <w:sz w:val="20"/>
              </w:rPr>
              <w:t>1.52</w:t>
            </w:r>
          </w:p>
        </w:tc>
        <w:tc>
          <w:tcPr>
            <w:tcW w:w="1121" w:type="dxa"/>
            <w:tcBorders>
              <w:top w:val="single" w:sz="4" w:space="0" w:color="auto"/>
              <w:left w:val="single" w:sz="4" w:space="0" w:color="auto"/>
              <w:bottom w:val="single" w:sz="4" w:space="0" w:color="auto"/>
              <w:right w:val="single" w:sz="4" w:space="0" w:color="auto"/>
            </w:tcBorders>
            <w:noWrap/>
            <w:hideMark/>
          </w:tcPr>
          <w:p w14:paraId="4CC22EED" w14:textId="77777777" w:rsidR="00CB2594" w:rsidRPr="007434DA" w:rsidRDefault="00CB2594" w:rsidP="004A57B3">
            <w:pPr>
              <w:ind w:right="105"/>
              <w:jc w:val="right"/>
              <w:rPr>
                <w:sz w:val="20"/>
              </w:rPr>
            </w:pPr>
            <w:r w:rsidRPr="007434DA">
              <w:rPr>
                <w:sz w:val="20"/>
              </w:rPr>
              <w:t>6.015</w:t>
            </w:r>
          </w:p>
        </w:tc>
      </w:tr>
      <w:tr w:rsidR="00CB2594" w:rsidRPr="007434DA" w14:paraId="3822732C" w14:textId="77777777" w:rsidTr="004A57B3">
        <w:trPr>
          <w:trHeight w:val="255"/>
        </w:trPr>
        <w:tc>
          <w:tcPr>
            <w:tcW w:w="1809" w:type="dxa"/>
            <w:tcBorders>
              <w:top w:val="single" w:sz="4" w:space="0" w:color="auto"/>
              <w:left w:val="single" w:sz="4" w:space="0" w:color="auto"/>
              <w:bottom w:val="single" w:sz="4" w:space="0" w:color="auto"/>
              <w:right w:val="single" w:sz="4" w:space="0" w:color="auto"/>
            </w:tcBorders>
            <w:noWrap/>
            <w:hideMark/>
          </w:tcPr>
          <w:p w14:paraId="1D24C28B" w14:textId="77777777" w:rsidR="00CB2594" w:rsidRPr="007434DA" w:rsidRDefault="00CB2594" w:rsidP="004A57B3">
            <w:pPr>
              <w:rPr>
                <w:b/>
                <w:bCs/>
                <w:sz w:val="20"/>
              </w:rPr>
            </w:pPr>
            <w:r w:rsidRPr="007434DA">
              <w:rPr>
                <w:b/>
                <w:bCs/>
                <w:sz w:val="20"/>
              </w:rPr>
              <w:t>3/kukuřice</w:t>
            </w:r>
          </w:p>
        </w:tc>
        <w:tc>
          <w:tcPr>
            <w:tcW w:w="2977" w:type="dxa"/>
            <w:tcBorders>
              <w:top w:val="single" w:sz="4" w:space="0" w:color="auto"/>
              <w:left w:val="single" w:sz="4" w:space="0" w:color="auto"/>
              <w:bottom w:val="single" w:sz="4" w:space="0" w:color="auto"/>
              <w:right w:val="single" w:sz="4" w:space="0" w:color="auto"/>
            </w:tcBorders>
            <w:hideMark/>
          </w:tcPr>
          <w:p w14:paraId="2647FF0D" w14:textId="77777777" w:rsidR="00CB2594" w:rsidRPr="007434DA" w:rsidRDefault="00CB2594" w:rsidP="004A57B3">
            <w:pPr>
              <w:rPr>
                <w:b/>
                <w:bCs/>
                <w:sz w:val="20"/>
              </w:rPr>
            </w:pPr>
            <w:r w:rsidRPr="007434DA">
              <w:rPr>
                <w:b/>
                <w:bCs/>
                <w:sz w:val="20"/>
              </w:rPr>
              <w:t>metolachlor a jeho metabolity</w:t>
            </w:r>
          </w:p>
        </w:tc>
        <w:tc>
          <w:tcPr>
            <w:tcW w:w="1292" w:type="dxa"/>
            <w:tcBorders>
              <w:top w:val="single" w:sz="4" w:space="0" w:color="auto"/>
              <w:left w:val="single" w:sz="4" w:space="0" w:color="auto"/>
              <w:bottom w:val="single" w:sz="4" w:space="0" w:color="auto"/>
              <w:right w:val="single" w:sz="4" w:space="0" w:color="auto"/>
            </w:tcBorders>
            <w:noWrap/>
            <w:hideMark/>
          </w:tcPr>
          <w:p w14:paraId="3310642C" w14:textId="77777777" w:rsidR="00CB2594" w:rsidRPr="007434DA" w:rsidRDefault="00CB2594" w:rsidP="004A57B3">
            <w:pPr>
              <w:ind w:right="105"/>
              <w:jc w:val="right"/>
              <w:rPr>
                <w:sz w:val="20"/>
              </w:rPr>
            </w:pPr>
            <w:r w:rsidRPr="007434DA">
              <w:rPr>
                <w:sz w:val="20"/>
              </w:rPr>
              <w:t>1317</w:t>
            </w:r>
          </w:p>
        </w:tc>
        <w:tc>
          <w:tcPr>
            <w:tcW w:w="1224" w:type="dxa"/>
            <w:gridSpan w:val="2"/>
            <w:tcBorders>
              <w:top w:val="single" w:sz="4" w:space="0" w:color="auto"/>
              <w:left w:val="single" w:sz="4" w:space="0" w:color="auto"/>
              <w:bottom w:val="single" w:sz="4" w:space="0" w:color="auto"/>
              <w:right w:val="single" w:sz="4" w:space="0" w:color="auto"/>
            </w:tcBorders>
            <w:noWrap/>
            <w:hideMark/>
          </w:tcPr>
          <w:p w14:paraId="16DFCCA5" w14:textId="77777777" w:rsidR="00CB2594" w:rsidRPr="007434DA" w:rsidRDefault="00CB2594" w:rsidP="004A57B3">
            <w:pPr>
              <w:ind w:right="105"/>
              <w:jc w:val="right"/>
              <w:rPr>
                <w:sz w:val="20"/>
              </w:rPr>
            </w:pPr>
            <w:r w:rsidRPr="007434DA">
              <w:rPr>
                <w:sz w:val="20"/>
              </w:rPr>
              <w:t>11.01</w:t>
            </w:r>
          </w:p>
        </w:tc>
        <w:tc>
          <w:tcPr>
            <w:tcW w:w="865" w:type="dxa"/>
            <w:tcBorders>
              <w:top w:val="single" w:sz="4" w:space="0" w:color="auto"/>
              <w:left w:val="single" w:sz="4" w:space="0" w:color="auto"/>
              <w:bottom w:val="single" w:sz="4" w:space="0" w:color="auto"/>
              <w:right w:val="single" w:sz="4" w:space="0" w:color="auto"/>
            </w:tcBorders>
            <w:noWrap/>
            <w:hideMark/>
          </w:tcPr>
          <w:p w14:paraId="22BA958F" w14:textId="77777777" w:rsidR="00CB2594" w:rsidRPr="007434DA" w:rsidRDefault="00CB2594" w:rsidP="004A57B3">
            <w:pPr>
              <w:ind w:right="105"/>
              <w:jc w:val="right"/>
              <w:rPr>
                <w:sz w:val="20"/>
              </w:rPr>
            </w:pPr>
            <w:r w:rsidRPr="007434DA">
              <w:rPr>
                <w:sz w:val="20"/>
              </w:rPr>
              <w:t>1.21</w:t>
            </w:r>
          </w:p>
        </w:tc>
        <w:tc>
          <w:tcPr>
            <w:tcW w:w="1121" w:type="dxa"/>
            <w:tcBorders>
              <w:top w:val="single" w:sz="4" w:space="0" w:color="auto"/>
              <w:left w:val="single" w:sz="4" w:space="0" w:color="auto"/>
              <w:bottom w:val="single" w:sz="4" w:space="0" w:color="auto"/>
              <w:right w:val="single" w:sz="4" w:space="0" w:color="auto"/>
            </w:tcBorders>
            <w:noWrap/>
            <w:hideMark/>
          </w:tcPr>
          <w:p w14:paraId="6B084A97" w14:textId="77777777" w:rsidR="00CB2594" w:rsidRPr="007434DA" w:rsidRDefault="00CB2594" w:rsidP="004A57B3">
            <w:pPr>
              <w:ind w:right="105"/>
              <w:jc w:val="right"/>
              <w:rPr>
                <w:sz w:val="20"/>
              </w:rPr>
            </w:pPr>
            <w:r w:rsidRPr="007434DA">
              <w:rPr>
                <w:sz w:val="20"/>
              </w:rPr>
              <w:t>8.7</w:t>
            </w:r>
          </w:p>
        </w:tc>
      </w:tr>
      <w:tr w:rsidR="00CB2594" w:rsidRPr="007434DA" w14:paraId="5BD01B17" w14:textId="77777777" w:rsidTr="004A57B3">
        <w:trPr>
          <w:trHeight w:val="255"/>
        </w:trPr>
        <w:tc>
          <w:tcPr>
            <w:tcW w:w="1809" w:type="dxa"/>
            <w:tcBorders>
              <w:top w:val="single" w:sz="4" w:space="0" w:color="auto"/>
              <w:left w:val="single" w:sz="4" w:space="0" w:color="auto"/>
              <w:bottom w:val="single" w:sz="4" w:space="0" w:color="auto"/>
              <w:right w:val="single" w:sz="4" w:space="0" w:color="auto"/>
            </w:tcBorders>
            <w:noWrap/>
            <w:hideMark/>
          </w:tcPr>
          <w:p w14:paraId="1CA9439E" w14:textId="77777777" w:rsidR="00CB2594" w:rsidRPr="007434DA" w:rsidRDefault="00CB2594" w:rsidP="004A57B3">
            <w:pPr>
              <w:rPr>
                <w:b/>
                <w:bCs/>
                <w:sz w:val="20"/>
              </w:rPr>
            </w:pPr>
            <w:r w:rsidRPr="007434DA">
              <w:rPr>
                <w:b/>
                <w:bCs/>
                <w:sz w:val="20"/>
              </w:rPr>
              <w:t>4/řepka</w:t>
            </w:r>
          </w:p>
        </w:tc>
        <w:tc>
          <w:tcPr>
            <w:tcW w:w="2977" w:type="dxa"/>
            <w:tcBorders>
              <w:top w:val="single" w:sz="4" w:space="0" w:color="auto"/>
              <w:left w:val="single" w:sz="4" w:space="0" w:color="auto"/>
              <w:bottom w:val="single" w:sz="4" w:space="0" w:color="auto"/>
              <w:right w:val="single" w:sz="4" w:space="0" w:color="auto"/>
            </w:tcBorders>
            <w:hideMark/>
          </w:tcPr>
          <w:p w14:paraId="2493B5B4" w14:textId="77777777" w:rsidR="00CB2594" w:rsidRPr="007434DA" w:rsidRDefault="00CB2594" w:rsidP="004A57B3">
            <w:pPr>
              <w:rPr>
                <w:b/>
                <w:bCs/>
                <w:sz w:val="20"/>
              </w:rPr>
            </w:pPr>
            <w:r w:rsidRPr="007434DA">
              <w:rPr>
                <w:b/>
                <w:bCs/>
                <w:sz w:val="20"/>
              </w:rPr>
              <w:t>dimethachlor a jeho metabolity</w:t>
            </w:r>
          </w:p>
        </w:tc>
        <w:tc>
          <w:tcPr>
            <w:tcW w:w="1292" w:type="dxa"/>
            <w:tcBorders>
              <w:top w:val="single" w:sz="4" w:space="0" w:color="auto"/>
              <w:left w:val="single" w:sz="4" w:space="0" w:color="auto"/>
              <w:bottom w:val="single" w:sz="4" w:space="0" w:color="auto"/>
              <w:right w:val="single" w:sz="4" w:space="0" w:color="auto"/>
            </w:tcBorders>
            <w:noWrap/>
            <w:hideMark/>
          </w:tcPr>
          <w:p w14:paraId="51AE81CC" w14:textId="77777777" w:rsidR="00CB2594" w:rsidRPr="007434DA" w:rsidRDefault="00CB2594" w:rsidP="004A57B3">
            <w:pPr>
              <w:ind w:right="105"/>
              <w:jc w:val="right"/>
              <w:rPr>
                <w:sz w:val="20"/>
              </w:rPr>
            </w:pPr>
            <w:r w:rsidRPr="007434DA">
              <w:rPr>
                <w:sz w:val="20"/>
              </w:rPr>
              <w:t>1317</w:t>
            </w:r>
          </w:p>
        </w:tc>
        <w:tc>
          <w:tcPr>
            <w:tcW w:w="1224" w:type="dxa"/>
            <w:gridSpan w:val="2"/>
            <w:tcBorders>
              <w:top w:val="single" w:sz="4" w:space="0" w:color="auto"/>
              <w:left w:val="single" w:sz="4" w:space="0" w:color="auto"/>
              <w:bottom w:val="single" w:sz="4" w:space="0" w:color="auto"/>
              <w:right w:val="single" w:sz="4" w:space="0" w:color="auto"/>
            </w:tcBorders>
            <w:noWrap/>
            <w:hideMark/>
          </w:tcPr>
          <w:p w14:paraId="2EB64CEC" w14:textId="77777777" w:rsidR="00CB2594" w:rsidRPr="007434DA" w:rsidRDefault="00CB2594" w:rsidP="004A57B3">
            <w:pPr>
              <w:ind w:right="105"/>
              <w:jc w:val="right"/>
              <w:rPr>
                <w:sz w:val="20"/>
              </w:rPr>
            </w:pPr>
            <w:r w:rsidRPr="007434DA">
              <w:rPr>
                <w:sz w:val="20"/>
              </w:rPr>
              <w:t>0</w:t>
            </w:r>
          </w:p>
        </w:tc>
        <w:tc>
          <w:tcPr>
            <w:tcW w:w="865" w:type="dxa"/>
            <w:tcBorders>
              <w:top w:val="single" w:sz="4" w:space="0" w:color="auto"/>
              <w:left w:val="single" w:sz="4" w:space="0" w:color="auto"/>
              <w:bottom w:val="single" w:sz="4" w:space="0" w:color="auto"/>
              <w:right w:val="single" w:sz="4" w:space="0" w:color="auto"/>
            </w:tcBorders>
            <w:noWrap/>
            <w:hideMark/>
          </w:tcPr>
          <w:p w14:paraId="22B1BD19" w14:textId="77777777" w:rsidR="00CB2594" w:rsidRPr="007434DA" w:rsidRDefault="00CB2594" w:rsidP="004A57B3">
            <w:pPr>
              <w:ind w:right="105"/>
              <w:jc w:val="right"/>
              <w:rPr>
                <w:sz w:val="20"/>
              </w:rPr>
            </w:pPr>
            <w:r w:rsidRPr="007434DA">
              <w:rPr>
                <w:sz w:val="20"/>
              </w:rPr>
              <w:t>0</w:t>
            </w:r>
          </w:p>
        </w:tc>
        <w:tc>
          <w:tcPr>
            <w:tcW w:w="1121" w:type="dxa"/>
            <w:tcBorders>
              <w:top w:val="single" w:sz="4" w:space="0" w:color="auto"/>
              <w:left w:val="single" w:sz="4" w:space="0" w:color="auto"/>
              <w:bottom w:val="single" w:sz="4" w:space="0" w:color="auto"/>
              <w:right w:val="single" w:sz="4" w:space="0" w:color="auto"/>
            </w:tcBorders>
            <w:noWrap/>
            <w:hideMark/>
          </w:tcPr>
          <w:p w14:paraId="17B026E0" w14:textId="77777777" w:rsidR="00CB2594" w:rsidRPr="007434DA" w:rsidRDefault="00CB2594" w:rsidP="004A57B3">
            <w:pPr>
              <w:ind w:right="105"/>
              <w:jc w:val="right"/>
              <w:rPr>
                <w:sz w:val="20"/>
              </w:rPr>
            </w:pPr>
            <w:r w:rsidRPr="007434DA">
              <w:rPr>
                <w:sz w:val="20"/>
              </w:rPr>
              <w:t>0.03</w:t>
            </w:r>
          </w:p>
        </w:tc>
      </w:tr>
      <w:tr w:rsidR="00CB2594" w:rsidRPr="007434DA" w14:paraId="2F8F4CE8" w14:textId="77777777" w:rsidTr="004A57B3">
        <w:trPr>
          <w:trHeight w:val="255"/>
        </w:trPr>
        <w:tc>
          <w:tcPr>
            <w:tcW w:w="1809" w:type="dxa"/>
            <w:tcBorders>
              <w:top w:val="single" w:sz="4" w:space="0" w:color="auto"/>
              <w:left w:val="single" w:sz="4" w:space="0" w:color="auto"/>
              <w:bottom w:val="single" w:sz="4" w:space="0" w:color="auto"/>
              <w:right w:val="single" w:sz="4" w:space="0" w:color="auto"/>
            </w:tcBorders>
            <w:noWrap/>
            <w:hideMark/>
          </w:tcPr>
          <w:p w14:paraId="59AC38A4" w14:textId="77777777" w:rsidR="00CB2594" w:rsidRPr="007434DA" w:rsidRDefault="00CB2594" w:rsidP="004A57B3">
            <w:pPr>
              <w:rPr>
                <w:b/>
                <w:bCs/>
                <w:sz w:val="20"/>
              </w:rPr>
            </w:pPr>
            <w:r w:rsidRPr="007434DA">
              <w:rPr>
                <w:b/>
                <w:bCs/>
                <w:sz w:val="20"/>
              </w:rPr>
              <w:t>5/řepka/cukrovka</w:t>
            </w:r>
          </w:p>
        </w:tc>
        <w:tc>
          <w:tcPr>
            <w:tcW w:w="2977" w:type="dxa"/>
            <w:tcBorders>
              <w:top w:val="single" w:sz="4" w:space="0" w:color="auto"/>
              <w:left w:val="single" w:sz="4" w:space="0" w:color="auto"/>
              <w:bottom w:val="single" w:sz="4" w:space="0" w:color="auto"/>
              <w:right w:val="single" w:sz="4" w:space="0" w:color="auto"/>
            </w:tcBorders>
            <w:hideMark/>
          </w:tcPr>
          <w:p w14:paraId="3F05CC03" w14:textId="77777777" w:rsidR="00CB2594" w:rsidRPr="007434DA" w:rsidRDefault="00CB2594" w:rsidP="004A57B3">
            <w:pPr>
              <w:rPr>
                <w:b/>
                <w:bCs/>
                <w:sz w:val="20"/>
              </w:rPr>
            </w:pPr>
            <w:r w:rsidRPr="007434DA">
              <w:rPr>
                <w:b/>
                <w:bCs/>
                <w:sz w:val="20"/>
              </w:rPr>
              <w:t>clopyralid</w:t>
            </w:r>
          </w:p>
        </w:tc>
        <w:tc>
          <w:tcPr>
            <w:tcW w:w="1292" w:type="dxa"/>
            <w:tcBorders>
              <w:top w:val="single" w:sz="4" w:space="0" w:color="auto"/>
              <w:left w:val="single" w:sz="4" w:space="0" w:color="auto"/>
              <w:bottom w:val="single" w:sz="4" w:space="0" w:color="auto"/>
              <w:right w:val="single" w:sz="4" w:space="0" w:color="auto"/>
            </w:tcBorders>
            <w:noWrap/>
            <w:hideMark/>
          </w:tcPr>
          <w:p w14:paraId="5C706029" w14:textId="77777777" w:rsidR="00CB2594" w:rsidRPr="007434DA" w:rsidRDefault="00CB2594" w:rsidP="004A57B3">
            <w:pPr>
              <w:ind w:right="105"/>
              <w:jc w:val="right"/>
              <w:rPr>
                <w:sz w:val="20"/>
              </w:rPr>
            </w:pPr>
            <w:r w:rsidRPr="007434DA">
              <w:rPr>
                <w:sz w:val="20"/>
              </w:rPr>
              <w:t>1317</w:t>
            </w:r>
          </w:p>
        </w:tc>
        <w:tc>
          <w:tcPr>
            <w:tcW w:w="1224" w:type="dxa"/>
            <w:gridSpan w:val="2"/>
            <w:tcBorders>
              <w:top w:val="single" w:sz="4" w:space="0" w:color="auto"/>
              <w:left w:val="single" w:sz="4" w:space="0" w:color="auto"/>
              <w:bottom w:val="single" w:sz="4" w:space="0" w:color="auto"/>
              <w:right w:val="single" w:sz="4" w:space="0" w:color="auto"/>
            </w:tcBorders>
            <w:noWrap/>
            <w:hideMark/>
          </w:tcPr>
          <w:p w14:paraId="5E25F343" w14:textId="77777777" w:rsidR="00CB2594" w:rsidRPr="007434DA" w:rsidRDefault="00CB2594" w:rsidP="004A57B3">
            <w:pPr>
              <w:ind w:right="105"/>
              <w:jc w:val="right"/>
              <w:rPr>
                <w:sz w:val="20"/>
              </w:rPr>
            </w:pPr>
            <w:r w:rsidRPr="007434DA">
              <w:rPr>
                <w:sz w:val="20"/>
              </w:rPr>
              <w:t>0.30</w:t>
            </w:r>
          </w:p>
        </w:tc>
        <w:tc>
          <w:tcPr>
            <w:tcW w:w="865" w:type="dxa"/>
            <w:tcBorders>
              <w:top w:val="single" w:sz="4" w:space="0" w:color="auto"/>
              <w:left w:val="single" w:sz="4" w:space="0" w:color="auto"/>
              <w:bottom w:val="single" w:sz="4" w:space="0" w:color="auto"/>
              <w:right w:val="single" w:sz="4" w:space="0" w:color="auto"/>
            </w:tcBorders>
            <w:noWrap/>
            <w:hideMark/>
          </w:tcPr>
          <w:p w14:paraId="70F24088" w14:textId="77777777" w:rsidR="00CB2594" w:rsidRPr="007434DA" w:rsidRDefault="00CB2594" w:rsidP="004A57B3">
            <w:pPr>
              <w:ind w:right="105"/>
              <w:jc w:val="right"/>
              <w:rPr>
                <w:sz w:val="20"/>
              </w:rPr>
            </w:pPr>
            <w:r w:rsidRPr="007434DA">
              <w:rPr>
                <w:sz w:val="20"/>
              </w:rPr>
              <w:t>0</w:t>
            </w:r>
          </w:p>
        </w:tc>
        <w:tc>
          <w:tcPr>
            <w:tcW w:w="1121" w:type="dxa"/>
            <w:tcBorders>
              <w:top w:val="single" w:sz="4" w:space="0" w:color="auto"/>
              <w:left w:val="single" w:sz="4" w:space="0" w:color="auto"/>
              <w:bottom w:val="single" w:sz="4" w:space="0" w:color="auto"/>
              <w:right w:val="single" w:sz="4" w:space="0" w:color="auto"/>
            </w:tcBorders>
            <w:noWrap/>
            <w:hideMark/>
          </w:tcPr>
          <w:p w14:paraId="18A29087" w14:textId="77777777" w:rsidR="00CB2594" w:rsidRPr="007434DA" w:rsidRDefault="00CB2594" w:rsidP="004A57B3">
            <w:pPr>
              <w:ind w:right="105"/>
              <w:jc w:val="right"/>
              <w:rPr>
                <w:sz w:val="20"/>
              </w:rPr>
            </w:pPr>
            <w:r w:rsidRPr="007434DA">
              <w:rPr>
                <w:sz w:val="20"/>
              </w:rPr>
              <w:t>0.47</w:t>
            </w:r>
          </w:p>
        </w:tc>
      </w:tr>
      <w:tr w:rsidR="00CB2594" w:rsidRPr="007434DA" w14:paraId="503D0A8D" w14:textId="77777777" w:rsidTr="004A57B3">
        <w:trPr>
          <w:trHeight w:val="255"/>
        </w:trPr>
        <w:tc>
          <w:tcPr>
            <w:tcW w:w="1809" w:type="dxa"/>
            <w:tcBorders>
              <w:top w:val="single" w:sz="4" w:space="0" w:color="auto"/>
              <w:left w:val="single" w:sz="4" w:space="0" w:color="auto"/>
              <w:bottom w:val="single" w:sz="4" w:space="0" w:color="auto"/>
              <w:right w:val="single" w:sz="4" w:space="0" w:color="auto"/>
            </w:tcBorders>
            <w:noWrap/>
            <w:hideMark/>
          </w:tcPr>
          <w:p w14:paraId="27862D29" w14:textId="77777777" w:rsidR="00CB2594" w:rsidRPr="007434DA" w:rsidRDefault="00CB2594" w:rsidP="004A57B3">
            <w:pPr>
              <w:rPr>
                <w:b/>
                <w:bCs/>
                <w:sz w:val="20"/>
              </w:rPr>
            </w:pPr>
            <w:r w:rsidRPr="007434DA">
              <w:rPr>
                <w:b/>
                <w:bCs/>
                <w:sz w:val="20"/>
              </w:rPr>
              <w:t>6/kukuřice</w:t>
            </w:r>
          </w:p>
        </w:tc>
        <w:tc>
          <w:tcPr>
            <w:tcW w:w="2977" w:type="dxa"/>
            <w:tcBorders>
              <w:top w:val="single" w:sz="4" w:space="0" w:color="auto"/>
              <w:left w:val="single" w:sz="4" w:space="0" w:color="auto"/>
              <w:bottom w:val="single" w:sz="4" w:space="0" w:color="auto"/>
              <w:right w:val="single" w:sz="4" w:space="0" w:color="auto"/>
            </w:tcBorders>
            <w:hideMark/>
          </w:tcPr>
          <w:p w14:paraId="617F3F4E" w14:textId="77777777" w:rsidR="00CB2594" w:rsidRPr="007434DA" w:rsidRDefault="00CB2594" w:rsidP="004A57B3">
            <w:pPr>
              <w:rPr>
                <w:b/>
                <w:bCs/>
                <w:sz w:val="20"/>
              </w:rPr>
            </w:pPr>
            <w:r w:rsidRPr="007434DA">
              <w:rPr>
                <w:b/>
                <w:bCs/>
                <w:sz w:val="20"/>
              </w:rPr>
              <w:t>terbuthylazin a jeho metabolity</w:t>
            </w:r>
          </w:p>
        </w:tc>
        <w:tc>
          <w:tcPr>
            <w:tcW w:w="1292" w:type="dxa"/>
            <w:tcBorders>
              <w:top w:val="single" w:sz="4" w:space="0" w:color="auto"/>
              <w:left w:val="single" w:sz="4" w:space="0" w:color="auto"/>
              <w:bottom w:val="single" w:sz="4" w:space="0" w:color="auto"/>
              <w:right w:val="single" w:sz="4" w:space="0" w:color="auto"/>
            </w:tcBorders>
            <w:noWrap/>
            <w:hideMark/>
          </w:tcPr>
          <w:p w14:paraId="69AC8320" w14:textId="77777777" w:rsidR="00CB2594" w:rsidRPr="007434DA" w:rsidRDefault="00CB2594" w:rsidP="004A57B3">
            <w:pPr>
              <w:ind w:right="105"/>
              <w:jc w:val="right"/>
              <w:rPr>
                <w:sz w:val="20"/>
              </w:rPr>
            </w:pPr>
            <w:r w:rsidRPr="007434DA">
              <w:rPr>
                <w:sz w:val="20"/>
              </w:rPr>
              <w:t>1317</w:t>
            </w:r>
          </w:p>
        </w:tc>
        <w:tc>
          <w:tcPr>
            <w:tcW w:w="1224" w:type="dxa"/>
            <w:gridSpan w:val="2"/>
            <w:tcBorders>
              <w:top w:val="single" w:sz="4" w:space="0" w:color="auto"/>
              <w:left w:val="single" w:sz="4" w:space="0" w:color="auto"/>
              <w:bottom w:val="single" w:sz="4" w:space="0" w:color="auto"/>
              <w:right w:val="single" w:sz="4" w:space="0" w:color="auto"/>
            </w:tcBorders>
            <w:noWrap/>
            <w:hideMark/>
          </w:tcPr>
          <w:p w14:paraId="1A2F6321" w14:textId="77777777" w:rsidR="00CB2594" w:rsidRPr="007434DA" w:rsidRDefault="00CB2594" w:rsidP="004A57B3">
            <w:pPr>
              <w:ind w:right="105"/>
              <w:jc w:val="right"/>
              <w:rPr>
                <w:sz w:val="20"/>
              </w:rPr>
            </w:pPr>
            <w:r w:rsidRPr="007434DA">
              <w:rPr>
                <w:sz w:val="20"/>
              </w:rPr>
              <w:t>0.15</w:t>
            </w:r>
          </w:p>
        </w:tc>
        <w:tc>
          <w:tcPr>
            <w:tcW w:w="865" w:type="dxa"/>
            <w:tcBorders>
              <w:top w:val="single" w:sz="4" w:space="0" w:color="auto"/>
              <w:left w:val="single" w:sz="4" w:space="0" w:color="auto"/>
              <w:bottom w:val="single" w:sz="4" w:space="0" w:color="auto"/>
              <w:right w:val="single" w:sz="4" w:space="0" w:color="auto"/>
            </w:tcBorders>
            <w:noWrap/>
            <w:hideMark/>
          </w:tcPr>
          <w:p w14:paraId="26FAB02C" w14:textId="77777777" w:rsidR="00CB2594" w:rsidRPr="007434DA" w:rsidRDefault="00CB2594" w:rsidP="004A57B3">
            <w:pPr>
              <w:ind w:right="105"/>
              <w:jc w:val="right"/>
              <w:rPr>
                <w:sz w:val="20"/>
              </w:rPr>
            </w:pPr>
            <w:r w:rsidRPr="007434DA">
              <w:rPr>
                <w:sz w:val="20"/>
              </w:rPr>
              <w:t>0</w:t>
            </w:r>
          </w:p>
        </w:tc>
        <w:tc>
          <w:tcPr>
            <w:tcW w:w="1121" w:type="dxa"/>
            <w:tcBorders>
              <w:top w:val="single" w:sz="4" w:space="0" w:color="auto"/>
              <w:left w:val="single" w:sz="4" w:space="0" w:color="auto"/>
              <w:bottom w:val="single" w:sz="4" w:space="0" w:color="auto"/>
              <w:right w:val="single" w:sz="4" w:space="0" w:color="auto"/>
            </w:tcBorders>
            <w:noWrap/>
            <w:hideMark/>
          </w:tcPr>
          <w:p w14:paraId="7A4550E3" w14:textId="77777777" w:rsidR="00CB2594" w:rsidRPr="007434DA" w:rsidRDefault="00CB2594" w:rsidP="004A57B3">
            <w:pPr>
              <w:ind w:right="105"/>
              <w:jc w:val="right"/>
              <w:rPr>
                <w:sz w:val="20"/>
              </w:rPr>
            </w:pPr>
            <w:r w:rsidRPr="007434DA">
              <w:rPr>
                <w:sz w:val="20"/>
              </w:rPr>
              <w:t>0.501</w:t>
            </w:r>
          </w:p>
        </w:tc>
      </w:tr>
      <w:tr w:rsidR="00CB2594" w:rsidRPr="007434DA" w14:paraId="2991687E" w14:textId="77777777" w:rsidTr="004A57B3">
        <w:trPr>
          <w:trHeight w:val="255"/>
        </w:trPr>
        <w:tc>
          <w:tcPr>
            <w:tcW w:w="1809" w:type="dxa"/>
            <w:vMerge w:val="restart"/>
            <w:tcBorders>
              <w:top w:val="single" w:sz="4" w:space="0" w:color="auto"/>
              <w:left w:val="single" w:sz="4" w:space="0" w:color="auto"/>
              <w:bottom w:val="single" w:sz="4" w:space="0" w:color="auto"/>
              <w:right w:val="single" w:sz="4" w:space="0" w:color="auto"/>
            </w:tcBorders>
            <w:noWrap/>
            <w:hideMark/>
          </w:tcPr>
          <w:p w14:paraId="50CAA740" w14:textId="77777777" w:rsidR="00CB2594" w:rsidRPr="007434DA" w:rsidRDefault="00CB2594" w:rsidP="004A57B3"/>
        </w:tc>
        <w:tc>
          <w:tcPr>
            <w:tcW w:w="2977" w:type="dxa"/>
            <w:vMerge w:val="restart"/>
            <w:tcBorders>
              <w:top w:val="single" w:sz="4" w:space="0" w:color="auto"/>
              <w:left w:val="single" w:sz="4" w:space="0" w:color="auto"/>
              <w:bottom w:val="single" w:sz="4" w:space="0" w:color="auto"/>
              <w:right w:val="single" w:sz="4" w:space="0" w:color="auto"/>
            </w:tcBorders>
            <w:noWrap/>
            <w:hideMark/>
          </w:tcPr>
          <w:p w14:paraId="097F2EE6" w14:textId="77777777" w:rsidR="00CB2594" w:rsidRPr="007434DA" w:rsidRDefault="00CB2594" w:rsidP="004A57B3"/>
        </w:tc>
        <w:tc>
          <w:tcPr>
            <w:tcW w:w="4502" w:type="dxa"/>
            <w:gridSpan w:val="5"/>
            <w:tcBorders>
              <w:top w:val="single" w:sz="4" w:space="0" w:color="auto"/>
              <w:left w:val="single" w:sz="4" w:space="0" w:color="auto"/>
              <w:bottom w:val="single" w:sz="4" w:space="0" w:color="auto"/>
              <w:right w:val="single" w:sz="4" w:space="0" w:color="auto"/>
            </w:tcBorders>
            <w:shd w:val="clear" w:color="auto" w:fill="E2EFD9" w:themeFill="accent6" w:themeFillTint="33"/>
            <w:noWrap/>
            <w:hideMark/>
          </w:tcPr>
          <w:p w14:paraId="6F36EF90" w14:textId="77777777" w:rsidR="00CB2594" w:rsidRPr="007434DA" w:rsidRDefault="00CB2594" w:rsidP="004A57B3">
            <w:pPr>
              <w:jc w:val="center"/>
              <w:rPr>
                <w:b/>
                <w:bCs/>
                <w:sz w:val="20"/>
              </w:rPr>
            </w:pPr>
            <w:r w:rsidRPr="007434DA">
              <w:rPr>
                <w:b/>
                <w:bCs/>
                <w:sz w:val="20"/>
              </w:rPr>
              <w:t>2016</w:t>
            </w:r>
          </w:p>
        </w:tc>
      </w:tr>
      <w:tr w:rsidR="00CB2594" w:rsidRPr="0005469C" w14:paraId="579E0F1B" w14:textId="77777777" w:rsidTr="004A57B3">
        <w:trPr>
          <w:trHeight w:val="10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6262F2" w14:textId="77777777" w:rsidR="00CB2594" w:rsidRPr="007434DA" w:rsidRDefault="00CB2594" w:rsidP="004A57B3"/>
        </w:tc>
        <w:tc>
          <w:tcPr>
            <w:tcW w:w="0" w:type="auto"/>
            <w:vMerge/>
            <w:tcBorders>
              <w:top w:val="single" w:sz="4" w:space="0" w:color="auto"/>
              <w:left w:val="single" w:sz="4" w:space="0" w:color="auto"/>
              <w:bottom w:val="single" w:sz="4" w:space="0" w:color="auto"/>
              <w:right w:val="single" w:sz="4" w:space="0" w:color="auto"/>
            </w:tcBorders>
            <w:vAlign w:val="center"/>
            <w:hideMark/>
          </w:tcPr>
          <w:p w14:paraId="3B7AA818" w14:textId="77777777" w:rsidR="00CB2594" w:rsidRPr="007434DA" w:rsidRDefault="00CB2594" w:rsidP="004A57B3"/>
        </w:tc>
        <w:tc>
          <w:tcPr>
            <w:tcW w:w="1292" w:type="dxa"/>
            <w:tcBorders>
              <w:top w:val="single" w:sz="4" w:space="0" w:color="auto"/>
              <w:left w:val="single" w:sz="4" w:space="0" w:color="auto"/>
              <w:bottom w:val="single" w:sz="4" w:space="0" w:color="auto"/>
              <w:right w:val="single" w:sz="4" w:space="0" w:color="auto"/>
            </w:tcBorders>
            <w:hideMark/>
          </w:tcPr>
          <w:p w14:paraId="6B8F73D0" w14:textId="77777777" w:rsidR="00CB2594" w:rsidRPr="007434DA" w:rsidRDefault="00CB2594" w:rsidP="004A57B3">
            <w:pPr>
              <w:rPr>
                <w:b/>
                <w:bCs/>
                <w:sz w:val="20"/>
              </w:rPr>
            </w:pPr>
            <w:r w:rsidRPr="007434DA">
              <w:rPr>
                <w:b/>
                <w:bCs/>
                <w:sz w:val="20"/>
              </w:rPr>
              <w:t>Počet odebraných vzorků</w:t>
            </w:r>
          </w:p>
        </w:tc>
        <w:tc>
          <w:tcPr>
            <w:tcW w:w="1224" w:type="dxa"/>
            <w:gridSpan w:val="2"/>
            <w:tcBorders>
              <w:top w:val="single" w:sz="4" w:space="0" w:color="auto"/>
              <w:left w:val="single" w:sz="4" w:space="0" w:color="auto"/>
              <w:bottom w:val="single" w:sz="4" w:space="0" w:color="auto"/>
              <w:right w:val="single" w:sz="4" w:space="0" w:color="auto"/>
            </w:tcBorders>
            <w:hideMark/>
          </w:tcPr>
          <w:p w14:paraId="795ADD42" w14:textId="77777777" w:rsidR="00CB2594" w:rsidRPr="007434DA" w:rsidRDefault="00CB2594" w:rsidP="004A57B3">
            <w:pPr>
              <w:rPr>
                <w:b/>
                <w:bCs/>
                <w:sz w:val="20"/>
              </w:rPr>
            </w:pPr>
            <w:r w:rsidRPr="007434DA">
              <w:rPr>
                <w:b/>
                <w:bCs/>
                <w:sz w:val="20"/>
              </w:rPr>
              <w:t>Nadlimitní výskyt - nad 0,1 µg/l (%)</w:t>
            </w:r>
          </w:p>
        </w:tc>
        <w:tc>
          <w:tcPr>
            <w:tcW w:w="865" w:type="dxa"/>
            <w:tcBorders>
              <w:top w:val="single" w:sz="4" w:space="0" w:color="auto"/>
              <w:left w:val="single" w:sz="4" w:space="0" w:color="auto"/>
              <w:bottom w:val="single" w:sz="4" w:space="0" w:color="auto"/>
              <w:right w:val="single" w:sz="4" w:space="0" w:color="auto"/>
            </w:tcBorders>
            <w:hideMark/>
          </w:tcPr>
          <w:p w14:paraId="2DE71FFE" w14:textId="77777777" w:rsidR="00CB2594" w:rsidRPr="007434DA" w:rsidRDefault="00CB2594" w:rsidP="004A57B3">
            <w:pPr>
              <w:rPr>
                <w:b/>
                <w:bCs/>
                <w:sz w:val="20"/>
              </w:rPr>
            </w:pPr>
            <w:r w:rsidRPr="007434DA">
              <w:rPr>
                <w:b/>
                <w:bCs/>
                <w:sz w:val="20"/>
              </w:rPr>
              <w:t>Výskyt - nad 1 µg/l (%)</w:t>
            </w:r>
          </w:p>
        </w:tc>
        <w:tc>
          <w:tcPr>
            <w:tcW w:w="1121" w:type="dxa"/>
            <w:tcBorders>
              <w:top w:val="single" w:sz="4" w:space="0" w:color="auto"/>
              <w:left w:val="single" w:sz="4" w:space="0" w:color="auto"/>
              <w:bottom w:val="single" w:sz="4" w:space="0" w:color="auto"/>
              <w:right w:val="single" w:sz="4" w:space="0" w:color="auto"/>
            </w:tcBorders>
            <w:hideMark/>
          </w:tcPr>
          <w:p w14:paraId="16C32639" w14:textId="77777777" w:rsidR="00CB2594" w:rsidRPr="007434DA" w:rsidRDefault="00CB2594" w:rsidP="004A57B3">
            <w:pPr>
              <w:rPr>
                <w:b/>
                <w:bCs/>
                <w:sz w:val="20"/>
              </w:rPr>
            </w:pPr>
            <w:r w:rsidRPr="007434DA">
              <w:rPr>
                <w:b/>
                <w:bCs/>
                <w:sz w:val="20"/>
              </w:rPr>
              <w:t>Maximální zjištěná hodnota (µg/l)</w:t>
            </w:r>
          </w:p>
        </w:tc>
      </w:tr>
      <w:tr w:rsidR="00CB2594" w:rsidRPr="007434DA" w14:paraId="5D8D0643" w14:textId="77777777" w:rsidTr="004A57B3">
        <w:trPr>
          <w:trHeight w:val="255"/>
        </w:trPr>
        <w:tc>
          <w:tcPr>
            <w:tcW w:w="1809" w:type="dxa"/>
            <w:tcBorders>
              <w:top w:val="single" w:sz="4" w:space="0" w:color="auto"/>
              <w:left w:val="single" w:sz="4" w:space="0" w:color="auto"/>
              <w:bottom w:val="single" w:sz="4" w:space="0" w:color="auto"/>
              <w:right w:val="single" w:sz="4" w:space="0" w:color="auto"/>
            </w:tcBorders>
            <w:noWrap/>
            <w:hideMark/>
          </w:tcPr>
          <w:p w14:paraId="65B653B3" w14:textId="77777777" w:rsidR="00CB2594" w:rsidRPr="007434DA" w:rsidRDefault="00CB2594" w:rsidP="004A57B3">
            <w:pPr>
              <w:rPr>
                <w:b/>
                <w:bCs/>
                <w:sz w:val="20"/>
              </w:rPr>
            </w:pPr>
            <w:r w:rsidRPr="007434DA">
              <w:rPr>
                <w:b/>
                <w:bCs/>
                <w:sz w:val="20"/>
              </w:rPr>
              <w:t>1/cukrovka</w:t>
            </w:r>
          </w:p>
        </w:tc>
        <w:tc>
          <w:tcPr>
            <w:tcW w:w="2977" w:type="dxa"/>
            <w:tcBorders>
              <w:top w:val="single" w:sz="4" w:space="0" w:color="auto"/>
              <w:left w:val="single" w:sz="4" w:space="0" w:color="auto"/>
              <w:bottom w:val="single" w:sz="4" w:space="0" w:color="auto"/>
              <w:right w:val="single" w:sz="4" w:space="0" w:color="auto"/>
            </w:tcBorders>
            <w:hideMark/>
          </w:tcPr>
          <w:p w14:paraId="1EB5F284" w14:textId="77777777" w:rsidR="00CB2594" w:rsidRPr="007434DA" w:rsidRDefault="00CB2594" w:rsidP="004A57B3">
            <w:pPr>
              <w:rPr>
                <w:b/>
                <w:bCs/>
                <w:sz w:val="20"/>
              </w:rPr>
            </w:pPr>
            <w:r w:rsidRPr="007434DA">
              <w:rPr>
                <w:b/>
                <w:bCs/>
                <w:sz w:val="20"/>
              </w:rPr>
              <w:t>chloridazon a jeho metabolity</w:t>
            </w:r>
          </w:p>
        </w:tc>
        <w:tc>
          <w:tcPr>
            <w:tcW w:w="1292" w:type="dxa"/>
            <w:tcBorders>
              <w:top w:val="single" w:sz="4" w:space="0" w:color="auto"/>
              <w:left w:val="single" w:sz="4" w:space="0" w:color="auto"/>
              <w:bottom w:val="single" w:sz="4" w:space="0" w:color="auto"/>
              <w:right w:val="single" w:sz="4" w:space="0" w:color="auto"/>
            </w:tcBorders>
            <w:noWrap/>
            <w:hideMark/>
          </w:tcPr>
          <w:p w14:paraId="4525686D" w14:textId="77777777" w:rsidR="00CB2594" w:rsidRPr="007434DA" w:rsidRDefault="00CB2594" w:rsidP="004A57B3">
            <w:pPr>
              <w:ind w:right="120"/>
              <w:jc w:val="right"/>
              <w:rPr>
                <w:sz w:val="20"/>
              </w:rPr>
            </w:pPr>
            <w:r w:rsidRPr="007434DA">
              <w:rPr>
                <w:sz w:val="20"/>
              </w:rPr>
              <w:t>1348</w:t>
            </w:r>
          </w:p>
        </w:tc>
        <w:tc>
          <w:tcPr>
            <w:tcW w:w="1224" w:type="dxa"/>
            <w:gridSpan w:val="2"/>
            <w:tcBorders>
              <w:top w:val="single" w:sz="4" w:space="0" w:color="auto"/>
              <w:left w:val="single" w:sz="4" w:space="0" w:color="auto"/>
              <w:bottom w:val="single" w:sz="4" w:space="0" w:color="auto"/>
              <w:right w:val="single" w:sz="4" w:space="0" w:color="auto"/>
            </w:tcBorders>
            <w:noWrap/>
            <w:hideMark/>
          </w:tcPr>
          <w:p w14:paraId="4723F976" w14:textId="77777777" w:rsidR="00CB2594" w:rsidRPr="007434DA" w:rsidRDefault="00CB2594" w:rsidP="004A57B3">
            <w:pPr>
              <w:ind w:right="120"/>
              <w:jc w:val="right"/>
              <w:rPr>
                <w:sz w:val="20"/>
              </w:rPr>
            </w:pPr>
            <w:r w:rsidRPr="007434DA">
              <w:rPr>
                <w:sz w:val="20"/>
              </w:rPr>
              <w:t>29.15</w:t>
            </w:r>
          </w:p>
        </w:tc>
        <w:tc>
          <w:tcPr>
            <w:tcW w:w="865" w:type="dxa"/>
            <w:tcBorders>
              <w:top w:val="single" w:sz="4" w:space="0" w:color="auto"/>
              <w:left w:val="single" w:sz="4" w:space="0" w:color="auto"/>
              <w:bottom w:val="single" w:sz="4" w:space="0" w:color="auto"/>
              <w:right w:val="single" w:sz="4" w:space="0" w:color="auto"/>
            </w:tcBorders>
            <w:noWrap/>
            <w:hideMark/>
          </w:tcPr>
          <w:p w14:paraId="4A25F1DE" w14:textId="77777777" w:rsidR="00CB2594" w:rsidRPr="007434DA" w:rsidRDefault="00CB2594" w:rsidP="004A57B3">
            <w:pPr>
              <w:ind w:right="120"/>
              <w:jc w:val="right"/>
              <w:rPr>
                <w:sz w:val="20"/>
              </w:rPr>
            </w:pPr>
            <w:r w:rsidRPr="007434DA">
              <w:rPr>
                <w:sz w:val="20"/>
              </w:rPr>
              <w:t>11.05</w:t>
            </w:r>
          </w:p>
        </w:tc>
        <w:tc>
          <w:tcPr>
            <w:tcW w:w="1121" w:type="dxa"/>
            <w:tcBorders>
              <w:top w:val="single" w:sz="4" w:space="0" w:color="auto"/>
              <w:left w:val="single" w:sz="4" w:space="0" w:color="auto"/>
              <w:bottom w:val="single" w:sz="4" w:space="0" w:color="auto"/>
              <w:right w:val="single" w:sz="4" w:space="0" w:color="auto"/>
            </w:tcBorders>
            <w:noWrap/>
            <w:hideMark/>
          </w:tcPr>
          <w:p w14:paraId="2CBCAEDC" w14:textId="77777777" w:rsidR="00CB2594" w:rsidRPr="007434DA" w:rsidRDefault="00CB2594" w:rsidP="004A57B3">
            <w:pPr>
              <w:ind w:right="120"/>
              <w:jc w:val="right"/>
              <w:rPr>
                <w:sz w:val="20"/>
              </w:rPr>
            </w:pPr>
            <w:r w:rsidRPr="007434DA">
              <w:rPr>
                <w:sz w:val="20"/>
              </w:rPr>
              <w:t>27.792</w:t>
            </w:r>
          </w:p>
        </w:tc>
      </w:tr>
      <w:tr w:rsidR="00CB2594" w:rsidRPr="007434DA" w14:paraId="4B2D7AF1" w14:textId="77777777" w:rsidTr="004A57B3">
        <w:trPr>
          <w:trHeight w:val="255"/>
        </w:trPr>
        <w:tc>
          <w:tcPr>
            <w:tcW w:w="1809" w:type="dxa"/>
            <w:tcBorders>
              <w:top w:val="single" w:sz="4" w:space="0" w:color="auto"/>
              <w:left w:val="single" w:sz="4" w:space="0" w:color="auto"/>
              <w:bottom w:val="single" w:sz="4" w:space="0" w:color="auto"/>
              <w:right w:val="single" w:sz="4" w:space="0" w:color="auto"/>
            </w:tcBorders>
            <w:noWrap/>
            <w:hideMark/>
          </w:tcPr>
          <w:p w14:paraId="0636181A" w14:textId="77777777" w:rsidR="00CB2594" w:rsidRPr="007434DA" w:rsidRDefault="00CB2594" w:rsidP="004A57B3">
            <w:pPr>
              <w:rPr>
                <w:b/>
                <w:bCs/>
                <w:sz w:val="20"/>
              </w:rPr>
            </w:pPr>
            <w:r w:rsidRPr="007434DA">
              <w:rPr>
                <w:b/>
                <w:bCs/>
                <w:sz w:val="20"/>
              </w:rPr>
              <w:t>2/řepka</w:t>
            </w:r>
          </w:p>
        </w:tc>
        <w:tc>
          <w:tcPr>
            <w:tcW w:w="2977" w:type="dxa"/>
            <w:tcBorders>
              <w:top w:val="single" w:sz="4" w:space="0" w:color="auto"/>
              <w:left w:val="single" w:sz="4" w:space="0" w:color="auto"/>
              <w:bottom w:val="single" w:sz="4" w:space="0" w:color="auto"/>
              <w:right w:val="single" w:sz="4" w:space="0" w:color="auto"/>
            </w:tcBorders>
            <w:hideMark/>
          </w:tcPr>
          <w:p w14:paraId="6447562A" w14:textId="77777777" w:rsidR="00CB2594" w:rsidRPr="007434DA" w:rsidRDefault="00CB2594" w:rsidP="004A57B3">
            <w:pPr>
              <w:rPr>
                <w:b/>
                <w:bCs/>
                <w:sz w:val="20"/>
              </w:rPr>
            </w:pPr>
            <w:r w:rsidRPr="007434DA">
              <w:rPr>
                <w:b/>
                <w:bCs/>
                <w:sz w:val="20"/>
              </w:rPr>
              <w:t xml:space="preserve">metazachlor a jeho metabolity </w:t>
            </w:r>
          </w:p>
        </w:tc>
        <w:tc>
          <w:tcPr>
            <w:tcW w:w="1292" w:type="dxa"/>
            <w:tcBorders>
              <w:top w:val="single" w:sz="4" w:space="0" w:color="auto"/>
              <w:left w:val="single" w:sz="4" w:space="0" w:color="auto"/>
              <w:bottom w:val="single" w:sz="4" w:space="0" w:color="auto"/>
              <w:right w:val="single" w:sz="4" w:space="0" w:color="auto"/>
            </w:tcBorders>
            <w:noWrap/>
            <w:hideMark/>
          </w:tcPr>
          <w:p w14:paraId="1FC1765B" w14:textId="77777777" w:rsidR="00CB2594" w:rsidRPr="007434DA" w:rsidRDefault="00CB2594" w:rsidP="004A57B3">
            <w:pPr>
              <w:ind w:right="120"/>
              <w:jc w:val="right"/>
              <w:rPr>
                <w:sz w:val="20"/>
              </w:rPr>
            </w:pPr>
            <w:r w:rsidRPr="007434DA">
              <w:rPr>
                <w:sz w:val="20"/>
              </w:rPr>
              <w:t>1348</w:t>
            </w:r>
          </w:p>
        </w:tc>
        <w:tc>
          <w:tcPr>
            <w:tcW w:w="1224" w:type="dxa"/>
            <w:gridSpan w:val="2"/>
            <w:tcBorders>
              <w:top w:val="single" w:sz="4" w:space="0" w:color="auto"/>
              <w:left w:val="single" w:sz="4" w:space="0" w:color="auto"/>
              <w:bottom w:val="single" w:sz="4" w:space="0" w:color="auto"/>
              <w:right w:val="single" w:sz="4" w:space="0" w:color="auto"/>
            </w:tcBorders>
            <w:noWrap/>
            <w:hideMark/>
          </w:tcPr>
          <w:p w14:paraId="5BE64684" w14:textId="77777777" w:rsidR="00CB2594" w:rsidRPr="007434DA" w:rsidRDefault="00CB2594" w:rsidP="004A57B3">
            <w:pPr>
              <w:ind w:right="120"/>
              <w:jc w:val="right"/>
              <w:rPr>
                <w:sz w:val="20"/>
              </w:rPr>
            </w:pPr>
            <w:r w:rsidRPr="007434DA">
              <w:rPr>
                <w:sz w:val="20"/>
              </w:rPr>
              <w:t>12.46</w:t>
            </w:r>
          </w:p>
        </w:tc>
        <w:tc>
          <w:tcPr>
            <w:tcW w:w="865" w:type="dxa"/>
            <w:tcBorders>
              <w:top w:val="single" w:sz="4" w:space="0" w:color="auto"/>
              <w:left w:val="single" w:sz="4" w:space="0" w:color="auto"/>
              <w:bottom w:val="single" w:sz="4" w:space="0" w:color="auto"/>
              <w:right w:val="single" w:sz="4" w:space="0" w:color="auto"/>
            </w:tcBorders>
            <w:noWrap/>
            <w:hideMark/>
          </w:tcPr>
          <w:p w14:paraId="2C2C1E68" w14:textId="77777777" w:rsidR="00CB2594" w:rsidRPr="007434DA" w:rsidRDefault="00CB2594" w:rsidP="004A57B3">
            <w:pPr>
              <w:ind w:right="120"/>
              <w:jc w:val="right"/>
              <w:rPr>
                <w:sz w:val="20"/>
              </w:rPr>
            </w:pPr>
            <w:r w:rsidRPr="007434DA">
              <w:rPr>
                <w:sz w:val="20"/>
              </w:rPr>
              <w:t>2.23</w:t>
            </w:r>
          </w:p>
        </w:tc>
        <w:tc>
          <w:tcPr>
            <w:tcW w:w="1121" w:type="dxa"/>
            <w:tcBorders>
              <w:top w:val="single" w:sz="4" w:space="0" w:color="auto"/>
              <w:left w:val="single" w:sz="4" w:space="0" w:color="auto"/>
              <w:bottom w:val="single" w:sz="4" w:space="0" w:color="auto"/>
              <w:right w:val="single" w:sz="4" w:space="0" w:color="auto"/>
            </w:tcBorders>
            <w:noWrap/>
            <w:hideMark/>
          </w:tcPr>
          <w:p w14:paraId="33973733" w14:textId="77777777" w:rsidR="00CB2594" w:rsidRPr="007434DA" w:rsidRDefault="00CB2594" w:rsidP="004A57B3">
            <w:pPr>
              <w:ind w:right="120"/>
              <w:jc w:val="right"/>
              <w:rPr>
                <w:sz w:val="20"/>
              </w:rPr>
            </w:pPr>
            <w:r w:rsidRPr="007434DA">
              <w:rPr>
                <w:sz w:val="20"/>
              </w:rPr>
              <w:t>6.88</w:t>
            </w:r>
          </w:p>
        </w:tc>
      </w:tr>
      <w:tr w:rsidR="00CB2594" w:rsidRPr="007434DA" w14:paraId="72686A81" w14:textId="77777777" w:rsidTr="004A57B3">
        <w:trPr>
          <w:trHeight w:val="255"/>
        </w:trPr>
        <w:tc>
          <w:tcPr>
            <w:tcW w:w="1809" w:type="dxa"/>
            <w:tcBorders>
              <w:top w:val="single" w:sz="4" w:space="0" w:color="auto"/>
              <w:left w:val="single" w:sz="4" w:space="0" w:color="auto"/>
              <w:bottom w:val="single" w:sz="4" w:space="0" w:color="auto"/>
              <w:right w:val="single" w:sz="4" w:space="0" w:color="auto"/>
            </w:tcBorders>
            <w:noWrap/>
            <w:hideMark/>
          </w:tcPr>
          <w:p w14:paraId="2AD23A1B" w14:textId="77777777" w:rsidR="00CB2594" w:rsidRPr="007434DA" w:rsidRDefault="00CB2594" w:rsidP="004A57B3">
            <w:pPr>
              <w:rPr>
                <w:b/>
                <w:bCs/>
                <w:sz w:val="20"/>
              </w:rPr>
            </w:pPr>
            <w:r w:rsidRPr="007434DA">
              <w:rPr>
                <w:b/>
                <w:bCs/>
                <w:sz w:val="20"/>
              </w:rPr>
              <w:t>3/kukuřice</w:t>
            </w:r>
          </w:p>
        </w:tc>
        <w:tc>
          <w:tcPr>
            <w:tcW w:w="2977" w:type="dxa"/>
            <w:tcBorders>
              <w:top w:val="single" w:sz="4" w:space="0" w:color="auto"/>
              <w:left w:val="single" w:sz="4" w:space="0" w:color="auto"/>
              <w:bottom w:val="single" w:sz="4" w:space="0" w:color="auto"/>
              <w:right w:val="single" w:sz="4" w:space="0" w:color="auto"/>
            </w:tcBorders>
            <w:hideMark/>
          </w:tcPr>
          <w:p w14:paraId="5E0BED62" w14:textId="77777777" w:rsidR="00CB2594" w:rsidRPr="007434DA" w:rsidRDefault="00CB2594" w:rsidP="004A57B3">
            <w:pPr>
              <w:rPr>
                <w:b/>
                <w:bCs/>
                <w:sz w:val="20"/>
              </w:rPr>
            </w:pPr>
            <w:r w:rsidRPr="007434DA">
              <w:rPr>
                <w:b/>
                <w:bCs/>
                <w:sz w:val="20"/>
              </w:rPr>
              <w:t>metolachlor a jeho metabolity</w:t>
            </w:r>
          </w:p>
        </w:tc>
        <w:tc>
          <w:tcPr>
            <w:tcW w:w="1292" w:type="dxa"/>
            <w:tcBorders>
              <w:top w:val="single" w:sz="4" w:space="0" w:color="auto"/>
              <w:left w:val="single" w:sz="4" w:space="0" w:color="auto"/>
              <w:bottom w:val="single" w:sz="4" w:space="0" w:color="auto"/>
              <w:right w:val="single" w:sz="4" w:space="0" w:color="auto"/>
            </w:tcBorders>
            <w:noWrap/>
            <w:hideMark/>
          </w:tcPr>
          <w:p w14:paraId="0A9E9EB3" w14:textId="77777777" w:rsidR="00CB2594" w:rsidRPr="007434DA" w:rsidRDefault="00CB2594" w:rsidP="004A57B3">
            <w:pPr>
              <w:ind w:right="120"/>
              <w:jc w:val="right"/>
              <w:rPr>
                <w:sz w:val="20"/>
              </w:rPr>
            </w:pPr>
            <w:r w:rsidRPr="007434DA">
              <w:rPr>
                <w:sz w:val="20"/>
              </w:rPr>
              <w:t>1348</w:t>
            </w:r>
          </w:p>
        </w:tc>
        <w:tc>
          <w:tcPr>
            <w:tcW w:w="1224" w:type="dxa"/>
            <w:gridSpan w:val="2"/>
            <w:tcBorders>
              <w:top w:val="single" w:sz="4" w:space="0" w:color="auto"/>
              <w:left w:val="single" w:sz="4" w:space="0" w:color="auto"/>
              <w:bottom w:val="single" w:sz="4" w:space="0" w:color="auto"/>
              <w:right w:val="single" w:sz="4" w:space="0" w:color="auto"/>
            </w:tcBorders>
            <w:noWrap/>
            <w:hideMark/>
          </w:tcPr>
          <w:p w14:paraId="023AE131" w14:textId="77777777" w:rsidR="00CB2594" w:rsidRPr="007434DA" w:rsidRDefault="00CB2594" w:rsidP="004A57B3">
            <w:pPr>
              <w:ind w:right="120"/>
              <w:jc w:val="right"/>
              <w:rPr>
                <w:sz w:val="20"/>
              </w:rPr>
            </w:pPr>
            <w:r w:rsidRPr="007434DA">
              <w:rPr>
                <w:sz w:val="20"/>
              </w:rPr>
              <w:t>10.76</w:t>
            </w:r>
          </w:p>
        </w:tc>
        <w:tc>
          <w:tcPr>
            <w:tcW w:w="865" w:type="dxa"/>
            <w:tcBorders>
              <w:top w:val="single" w:sz="4" w:space="0" w:color="auto"/>
              <w:left w:val="single" w:sz="4" w:space="0" w:color="auto"/>
              <w:bottom w:val="single" w:sz="4" w:space="0" w:color="auto"/>
              <w:right w:val="single" w:sz="4" w:space="0" w:color="auto"/>
            </w:tcBorders>
            <w:noWrap/>
            <w:hideMark/>
          </w:tcPr>
          <w:p w14:paraId="27DDD611" w14:textId="77777777" w:rsidR="00CB2594" w:rsidRPr="007434DA" w:rsidRDefault="00CB2594" w:rsidP="004A57B3">
            <w:pPr>
              <w:ind w:right="120"/>
              <w:jc w:val="right"/>
              <w:rPr>
                <w:sz w:val="20"/>
              </w:rPr>
            </w:pPr>
            <w:r w:rsidRPr="007434DA">
              <w:rPr>
                <w:sz w:val="20"/>
              </w:rPr>
              <w:t>1.04</w:t>
            </w:r>
          </w:p>
        </w:tc>
        <w:tc>
          <w:tcPr>
            <w:tcW w:w="1121" w:type="dxa"/>
            <w:tcBorders>
              <w:top w:val="single" w:sz="4" w:space="0" w:color="auto"/>
              <w:left w:val="single" w:sz="4" w:space="0" w:color="auto"/>
              <w:bottom w:val="single" w:sz="4" w:space="0" w:color="auto"/>
              <w:right w:val="single" w:sz="4" w:space="0" w:color="auto"/>
            </w:tcBorders>
            <w:noWrap/>
            <w:hideMark/>
          </w:tcPr>
          <w:p w14:paraId="046A05AD" w14:textId="77777777" w:rsidR="00CB2594" w:rsidRPr="007434DA" w:rsidRDefault="00CB2594" w:rsidP="004A57B3">
            <w:pPr>
              <w:ind w:right="120"/>
              <w:jc w:val="right"/>
              <w:rPr>
                <w:sz w:val="20"/>
              </w:rPr>
            </w:pPr>
            <w:r w:rsidRPr="007434DA">
              <w:rPr>
                <w:sz w:val="20"/>
              </w:rPr>
              <w:t>7.817</w:t>
            </w:r>
          </w:p>
        </w:tc>
      </w:tr>
      <w:tr w:rsidR="00CB2594" w:rsidRPr="007434DA" w14:paraId="05CDE11F" w14:textId="77777777" w:rsidTr="004A57B3">
        <w:trPr>
          <w:trHeight w:val="255"/>
        </w:trPr>
        <w:tc>
          <w:tcPr>
            <w:tcW w:w="1809" w:type="dxa"/>
            <w:tcBorders>
              <w:top w:val="single" w:sz="4" w:space="0" w:color="auto"/>
              <w:left w:val="single" w:sz="4" w:space="0" w:color="auto"/>
              <w:bottom w:val="single" w:sz="4" w:space="0" w:color="auto"/>
              <w:right w:val="single" w:sz="4" w:space="0" w:color="auto"/>
            </w:tcBorders>
            <w:noWrap/>
            <w:hideMark/>
          </w:tcPr>
          <w:p w14:paraId="2ACABA98" w14:textId="77777777" w:rsidR="00CB2594" w:rsidRPr="007434DA" w:rsidRDefault="00CB2594" w:rsidP="004A57B3">
            <w:pPr>
              <w:rPr>
                <w:b/>
                <w:bCs/>
                <w:sz w:val="20"/>
              </w:rPr>
            </w:pPr>
            <w:r w:rsidRPr="007434DA">
              <w:rPr>
                <w:b/>
                <w:bCs/>
                <w:sz w:val="20"/>
              </w:rPr>
              <w:t>4/řepka</w:t>
            </w:r>
          </w:p>
        </w:tc>
        <w:tc>
          <w:tcPr>
            <w:tcW w:w="2977" w:type="dxa"/>
            <w:tcBorders>
              <w:top w:val="single" w:sz="4" w:space="0" w:color="auto"/>
              <w:left w:val="single" w:sz="4" w:space="0" w:color="auto"/>
              <w:bottom w:val="single" w:sz="4" w:space="0" w:color="auto"/>
              <w:right w:val="single" w:sz="4" w:space="0" w:color="auto"/>
            </w:tcBorders>
            <w:hideMark/>
          </w:tcPr>
          <w:p w14:paraId="3E652A11" w14:textId="77777777" w:rsidR="00CB2594" w:rsidRPr="007434DA" w:rsidRDefault="00CB2594" w:rsidP="004A57B3">
            <w:pPr>
              <w:rPr>
                <w:b/>
                <w:bCs/>
                <w:sz w:val="20"/>
              </w:rPr>
            </w:pPr>
            <w:r w:rsidRPr="007434DA">
              <w:rPr>
                <w:b/>
                <w:bCs/>
                <w:sz w:val="20"/>
              </w:rPr>
              <w:t>dimethachlor a jeho metabolity</w:t>
            </w:r>
          </w:p>
        </w:tc>
        <w:tc>
          <w:tcPr>
            <w:tcW w:w="1292" w:type="dxa"/>
            <w:tcBorders>
              <w:top w:val="single" w:sz="4" w:space="0" w:color="auto"/>
              <w:left w:val="single" w:sz="4" w:space="0" w:color="auto"/>
              <w:bottom w:val="single" w:sz="4" w:space="0" w:color="auto"/>
              <w:right w:val="single" w:sz="4" w:space="0" w:color="auto"/>
            </w:tcBorders>
            <w:noWrap/>
            <w:hideMark/>
          </w:tcPr>
          <w:p w14:paraId="4A0BA7A4" w14:textId="77777777" w:rsidR="00CB2594" w:rsidRPr="007434DA" w:rsidRDefault="00CB2594" w:rsidP="004A57B3">
            <w:pPr>
              <w:ind w:right="120"/>
              <w:jc w:val="right"/>
              <w:rPr>
                <w:sz w:val="20"/>
              </w:rPr>
            </w:pPr>
            <w:r w:rsidRPr="007434DA">
              <w:rPr>
                <w:sz w:val="20"/>
              </w:rPr>
              <w:t>1348</w:t>
            </w:r>
          </w:p>
        </w:tc>
        <w:tc>
          <w:tcPr>
            <w:tcW w:w="1224" w:type="dxa"/>
            <w:gridSpan w:val="2"/>
            <w:tcBorders>
              <w:top w:val="single" w:sz="4" w:space="0" w:color="auto"/>
              <w:left w:val="single" w:sz="4" w:space="0" w:color="auto"/>
              <w:bottom w:val="single" w:sz="4" w:space="0" w:color="auto"/>
              <w:right w:val="single" w:sz="4" w:space="0" w:color="auto"/>
            </w:tcBorders>
            <w:noWrap/>
            <w:hideMark/>
          </w:tcPr>
          <w:p w14:paraId="3C2B13C6" w14:textId="77777777" w:rsidR="00CB2594" w:rsidRPr="007434DA" w:rsidRDefault="00CB2594" w:rsidP="004A57B3">
            <w:pPr>
              <w:ind w:right="120"/>
              <w:jc w:val="right"/>
              <w:rPr>
                <w:sz w:val="20"/>
              </w:rPr>
            </w:pPr>
            <w:r w:rsidRPr="007434DA">
              <w:rPr>
                <w:sz w:val="20"/>
              </w:rPr>
              <w:t>0</w:t>
            </w:r>
          </w:p>
        </w:tc>
        <w:tc>
          <w:tcPr>
            <w:tcW w:w="865" w:type="dxa"/>
            <w:tcBorders>
              <w:top w:val="single" w:sz="4" w:space="0" w:color="auto"/>
              <w:left w:val="single" w:sz="4" w:space="0" w:color="auto"/>
              <w:bottom w:val="single" w:sz="4" w:space="0" w:color="auto"/>
              <w:right w:val="single" w:sz="4" w:space="0" w:color="auto"/>
            </w:tcBorders>
            <w:noWrap/>
            <w:hideMark/>
          </w:tcPr>
          <w:p w14:paraId="5BA25A8F" w14:textId="77777777" w:rsidR="00CB2594" w:rsidRPr="007434DA" w:rsidRDefault="00CB2594" w:rsidP="004A57B3">
            <w:pPr>
              <w:ind w:right="120"/>
              <w:jc w:val="right"/>
              <w:rPr>
                <w:sz w:val="20"/>
              </w:rPr>
            </w:pPr>
            <w:r w:rsidRPr="007434DA">
              <w:rPr>
                <w:sz w:val="20"/>
              </w:rPr>
              <w:t>0</w:t>
            </w:r>
          </w:p>
        </w:tc>
        <w:tc>
          <w:tcPr>
            <w:tcW w:w="1121" w:type="dxa"/>
            <w:tcBorders>
              <w:top w:val="single" w:sz="4" w:space="0" w:color="auto"/>
              <w:left w:val="single" w:sz="4" w:space="0" w:color="auto"/>
              <w:bottom w:val="single" w:sz="4" w:space="0" w:color="auto"/>
              <w:right w:val="single" w:sz="4" w:space="0" w:color="auto"/>
            </w:tcBorders>
            <w:noWrap/>
            <w:hideMark/>
          </w:tcPr>
          <w:p w14:paraId="7E7912A9" w14:textId="77777777" w:rsidR="00CB2594" w:rsidRPr="007434DA" w:rsidRDefault="00CB2594" w:rsidP="004A57B3">
            <w:pPr>
              <w:ind w:right="120"/>
              <w:jc w:val="right"/>
              <w:rPr>
                <w:sz w:val="20"/>
              </w:rPr>
            </w:pPr>
            <w:r w:rsidRPr="007434DA">
              <w:rPr>
                <w:sz w:val="20"/>
              </w:rPr>
              <w:t>0</w:t>
            </w:r>
          </w:p>
        </w:tc>
      </w:tr>
      <w:tr w:rsidR="00CB2594" w:rsidRPr="007434DA" w14:paraId="6A0C21DA" w14:textId="77777777" w:rsidTr="004A57B3">
        <w:trPr>
          <w:trHeight w:val="255"/>
        </w:trPr>
        <w:tc>
          <w:tcPr>
            <w:tcW w:w="1809" w:type="dxa"/>
            <w:tcBorders>
              <w:top w:val="single" w:sz="4" w:space="0" w:color="auto"/>
              <w:left w:val="single" w:sz="4" w:space="0" w:color="auto"/>
              <w:bottom w:val="single" w:sz="4" w:space="0" w:color="auto"/>
              <w:right w:val="single" w:sz="4" w:space="0" w:color="auto"/>
            </w:tcBorders>
            <w:noWrap/>
            <w:hideMark/>
          </w:tcPr>
          <w:p w14:paraId="46422253" w14:textId="77777777" w:rsidR="00CB2594" w:rsidRPr="007434DA" w:rsidRDefault="00CB2594" w:rsidP="004A57B3">
            <w:pPr>
              <w:rPr>
                <w:b/>
                <w:bCs/>
                <w:sz w:val="20"/>
              </w:rPr>
            </w:pPr>
            <w:r w:rsidRPr="007434DA">
              <w:rPr>
                <w:b/>
                <w:bCs/>
                <w:sz w:val="20"/>
              </w:rPr>
              <w:t>5/řepka/cukrovka</w:t>
            </w:r>
          </w:p>
        </w:tc>
        <w:tc>
          <w:tcPr>
            <w:tcW w:w="2977" w:type="dxa"/>
            <w:tcBorders>
              <w:top w:val="single" w:sz="4" w:space="0" w:color="auto"/>
              <w:left w:val="single" w:sz="4" w:space="0" w:color="auto"/>
              <w:bottom w:val="single" w:sz="4" w:space="0" w:color="auto"/>
              <w:right w:val="single" w:sz="4" w:space="0" w:color="auto"/>
            </w:tcBorders>
            <w:hideMark/>
          </w:tcPr>
          <w:p w14:paraId="722BAF9A" w14:textId="77777777" w:rsidR="00CB2594" w:rsidRPr="007434DA" w:rsidRDefault="00CB2594" w:rsidP="004A57B3">
            <w:pPr>
              <w:rPr>
                <w:b/>
                <w:bCs/>
                <w:sz w:val="20"/>
              </w:rPr>
            </w:pPr>
            <w:r w:rsidRPr="007434DA">
              <w:rPr>
                <w:b/>
                <w:bCs/>
                <w:sz w:val="20"/>
              </w:rPr>
              <w:t>clopyralid</w:t>
            </w:r>
          </w:p>
        </w:tc>
        <w:tc>
          <w:tcPr>
            <w:tcW w:w="1292" w:type="dxa"/>
            <w:tcBorders>
              <w:top w:val="single" w:sz="4" w:space="0" w:color="auto"/>
              <w:left w:val="single" w:sz="4" w:space="0" w:color="auto"/>
              <w:bottom w:val="single" w:sz="4" w:space="0" w:color="auto"/>
              <w:right w:val="single" w:sz="4" w:space="0" w:color="auto"/>
            </w:tcBorders>
            <w:noWrap/>
            <w:hideMark/>
          </w:tcPr>
          <w:p w14:paraId="10FCA4E7" w14:textId="77777777" w:rsidR="00CB2594" w:rsidRPr="007434DA" w:rsidRDefault="00CB2594" w:rsidP="004A57B3">
            <w:pPr>
              <w:ind w:right="120"/>
              <w:jc w:val="right"/>
              <w:rPr>
                <w:sz w:val="20"/>
              </w:rPr>
            </w:pPr>
            <w:r w:rsidRPr="007434DA">
              <w:rPr>
                <w:sz w:val="20"/>
              </w:rPr>
              <w:t>1348</w:t>
            </w:r>
          </w:p>
        </w:tc>
        <w:tc>
          <w:tcPr>
            <w:tcW w:w="1224" w:type="dxa"/>
            <w:gridSpan w:val="2"/>
            <w:tcBorders>
              <w:top w:val="single" w:sz="4" w:space="0" w:color="auto"/>
              <w:left w:val="single" w:sz="4" w:space="0" w:color="auto"/>
              <w:bottom w:val="single" w:sz="4" w:space="0" w:color="auto"/>
              <w:right w:val="single" w:sz="4" w:space="0" w:color="auto"/>
            </w:tcBorders>
            <w:noWrap/>
            <w:hideMark/>
          </w:tcPr>
          <w:p w14:paraId="474EF26E" w14:textId="77777777" w:rsidR="00CB2594" w:rsidRPr="007434DA" w:rsidRDefault="00CB2594" w:rsidP="004A57B3">
            <w:pPr>
              <w:ind w:right="120"/>
              <w:jc w:val="right"/>
              <w:rPr>
                <w:sz w:val="20"/>
              </w:rPr>
            </w:pPr>
            <w:r w:rsidRPr="007434DA">
              <w:rPr>
                <w:sz w:val="20"/>
              </w:rPr>
              <w:t>0.52</w:t>
            </w:r>
          </w:p>
        </w:tc>
        <w:tc>
          <w:tcPr>
            <w:tcW w:w="865" w:type="dxa"/>
            <w:tcBorders>
              <w:top w:val="single" w:sz="4" w:space="0" w:color="auto"/>
              <w:left w:val="single" w:sz="4" w:space="0" w:color="auto"/>
              <w:bottom w:val="single" w:sz="4" w:space="0" w:color="auto"/>
              <w:right w:val="single" w:sz="4" w:space="0" w:color="auto"/>
            </w:tcBorders>
            <w:noWrap/>
            <w:hideMark/>
          </w:tcPr>
          <w:p w14:paraId="3AB74EDC" w14:textId="77777777" w:rsidR="00CB2594" w:rsidRPr="007434DA" w:rsidRDefault="00CB2594" w:rsidP="004A57B3">
            <w:pPr>
              <w:ind w:right="120"/>
              <w:jc w:val="right"/>
              <w:rPr>
                <w:sz w:val="20"/>
              </w:rPr>
            </w:pPr>
            <w:r w:rsidRPr="007434DA">
              <w:rPr>
                <w:sz w:val="20"/>
              </w:rPr>
              <w:t>0.07</w:t>
            </w:r>
          </w:p>
        </w:tc>
        <w:tc>
          <w:tcPr>
            <w:tcW w:w="1121" w:type="dxa"/>
            <w:tcBorders>
              <w:top w:val="single" w:sz="4" w:space="0" w:color="auto"/>
              <w:left w:val="single" w:sz="4" w:space="0" w:color="auto"/>
              <w:bottom w:val="single" w:sz="4" w:space="0" w:color="auto"/>
              <w:right w:val="single" w:sz="4" w:space="0" w:color="auto"/>
            </w:tcBorders>
            <w:noWrap/>
            <w:hideMark/>
          </w:tcPr>
          <w:p w14:paraId="25593327" w14:textId="77777777" w:rsidR="00CB2594" w:rsidRPr="007434DA" w:rsidRDefault="00CB2594" w:rsidP="004A57B3">
            <w:pPr>
              <w:ind w:right="120"/>
              <w:jc w:val="right"/>
              <w:rPr>
                <w:sz w:val="20"/>
              </w:rPr>
            </w:pPr>
            <w:r w:rsidRPr="007434DA">
              <w:rPr>
                <w:sz w:val="20"/>
              </w:rPr>
              <w:t>8.18</w:t>
            </w:r>
          </w:p>
        </w:tc>
      </w:tr>
      <w:tr w:rsidR="00CB2594" w:rsidRPr="007434DA" w14:paraId="0B9F9F35" w14:textId="77777777" w:rsidTr="004A57B3">
        <w:trPr>
          <w:trHeight w:val="255"/>
        </w:trPr>
        <w:tc>
          <w:tcPr>
            <w:tcW w:w="1809" w:type="dxa"/>
            <w:tcBorders>
              <w:top w:val="single" w:sz="4" w:space="0" w:color="auto"/>
              <w:left w:val="single" w:sz="4" w:space="0" w:color="auto"/>
              <w:bottom w:val="single" w:sz="4" w:space="0" w:color="auto"/>
              <w:right w:val="single" w:sz="4" w:space="0" w:color="auto"/>
            </w:tcBorders>
            <w:noWrap/>
            <w:hideMark/>
          </w:tcPr>
          <w:p w14:paraId="6E7B9B5C" w14:textId="77777777" w:rsidR="00CB2594" w:rsidRPr="007434DA" w:rsidRDefault="00CB2594" w:rsidP="004A57B3">
            <w:pPr>
              <w:rPr>
                <w:b/>
                <w:bCs/>
                <w:sz w:val="20"/>
              </w:rPr>
            </w:pPr>
            <w:r w:rsidRPr="007434DA">
              <w:rPr>
                <w:b/>
                <w:bCs/>
                <w:sz w:val="20"/>
              </w:rPr>
              <w:t>6/kukuřice</w:t>
            </w:r>
          </w:p>
        </w:tc>
        <w:tc>
          <w:tcPr>
            <w:tcW w:w="2977" w:type="dxa"/>
            <w:tcBorders>
              <w:top w:val="single" w:sz="4" w:space="0" w:color="auto"/>
              <w:left w:val="single" w:sz="4" w:space="0" w:color="auto"/>
              <w:bottom w:val="single" w:sz="4" w:space="0" w:color="auto"/>
              <w:right w:val="single" w:sz="4" w:space="0" w:color="auto"/>
            </w:tcBorders>
            <w:hideMark/>
          </w:tcPr>
          <w:p w14:paraId="1703F93B" w14:textId="77777777" w:rsidR="00CB2594" w:rsidRPr="007434DA" w:rsidRDefault="00CB2594" w:rsidP="004A57B3">
            <w:pPr>
              <w:rPr>
                <w:b/>
                <w:bCs/>
                <w:sz w:val="20"/>
              </w:rPr>
            </w:pPr>
            <w:r w:rsidRPr="007434DA">
              <w:rPr>
                <w:b/>
                <w:bCs/>
                <w:sz w:val="20"/>
              </w:rPr>
              <w:t>terbuthylazin a jeho metabolity</w:t>
            </w:r>
          </w:p>
        </w:tc>
        <w:tc>
          <w:tcPr>
            <w:tcW w:w="1292" w:type="dxa"/>
            <w:tcBorders>
              <w:top w:val="single" w:sz="4" w:space="0" w:color="auto"/>
              <w:left w:val="single" w:sz="4" w:space="0" w:color="auto"/>
              <w:bottom w:val="single" w:sz="4" w:space="0" w:color="auto"/>
              <w:right w:val="single" w:sz="4" w:space="0" w:color="auto"/>
            </w:tcBorders>
            <w:noWrap/>
            <w:hideMark/>
          </w:tcPr>
          <w:p w14:paraId="0E7D19FD" w14:textId="77777777" w:rsidR="00CB2594" w:rsidRPr="007434DA" w:rsidRDefault="00CB2594" w:rsidP="004A57B3">
            <w:pPr>
              <w:ind w:right="120"/>
              <w:jc w:val="right"/>
              <w:rPr>
                <w:sz w:val="20"/>
              </w:rPr>
            </w:pPr>
            <w:r w:rsidRPr="007434DA">
              <w:rPr>
                <w:sz w:val="20"/>
              </w:rPr>
              <w:t>1348</w:t>
            </w:r>
          </w:p>
        </w:tc>
        <w:tc>
          <w:tcPr>
            <w:tcW w:w="1224" w:type="dxa"/>
            <w:gridSpan w:val="2"/>
            <w:tcBorders>
              <w:top w:val="single" w:sz="4" w:space="0" w:color="auto"/>
              <w:left w:val="single" w:sz="4" w:space="0" w:color="auto"/>
              <w:bottom w:val="single" w:sz="4" w:space="0" w:color="auto"/>
              <w:right w:val="single" w:sz="4" w:space="0" w:color="auto"/>
            </w:tcBorders>
            <w:noWrap/>
            <w:hideMark/>
          </w:tcPr>
          <w:p w14:paraId="705AB24F" w14:textId="77777777" w:rsidR="00CB2594" w:rsidRPr="007434DA" w:rsidRDefault="00CB2594" w:rsidP="004A57B3">
            <w:pPr>
              <w:ind w:right="120"/>
              <w:jc w:val="right"/>
              <w:rPr>
                <w:sz w:val="20"/>
              </w:rPr>
            </w:pPr>
            <w:r w:rsidRPr="007434DA">
              <w:rPr>
                <w:sz w:val="20"/>
              </w:rPr>
              <w:t>0.15</w:t>
            </w:r>
          </w:p>
        </w:tc>
        <w:tc>
          <w:tcPr>
            <w:tcW w:w="865" w:type="dxa"/>
            <w:tcBorders>
              <w:top w:val="single" w:sz="4" w:space="0" w:color="auto"/>
              <w:left w:val="single" w:sz="4" w:space="0" w:color="auto"/>
              <w:bottom w:val="single" w:sz="4" w:space="0" w:color="auto"/>
              <w:right w:val="single" w:sz="4" w:space="0" w:color="auto"/>
            </w:tcBorders>
            <w:noWrap/>
            <w:hideMark/>
          </w:tcPr>
          <w:p w14:paraId="627771C4" w14:textId="77777777" w:rsidR="00CB2594" w:rsidRPr="007434DA" w:rsidRDefault="00CB2594" w:rsidP="004A57B3">
            <w:pPr>
              <w:ind w:right="120"/>
              <w:jc w:val="right"/>
              <w:rPr>
                <w:sz w:val="20"/>
              </w:rPr>
            </w:pPr>
            <w:r w:rsidRPr="007434DA">
              <w:rPr>
                <w:sz w:val="20"/>
              </w:rPr>
              <w:t>0</w:t>
            </w:r>
          </w:p>
        </w:tc>
        <w:tc>
          <w:tcPr>
            <w:tcW w:w="1121" w:type="dxa"/>
            <w:tcBorders>
              <w:top w:val="single" w:sz="4" w:space="0" w:color="auto"/>
              <w:left w:val="single" w:sz="4" w:space="0" w:color="auto"/>
              <w:bottom w:val="single" w:sz="4" w:space="0" w:color="auto"/>
              <w:right w:val="single" w:sz="4" w:space="0" w:color="auto"/>
            </w:tcBorders>
            <w:noWrap/>
            <w:hideMark/>
          </w:tcPr>
          <w:p w14:paraId="1B5449CB" w14:textId="77777777" w:rsidR="00CB2594" w:rsidRPr="007434DA" w:rsidRDefault="00CB2594" w:rsidP="004A57B3">
            <w:pPr>
              <w:ind w:right="120"/>
              <w:jc w:val="right"/>
              <w:rPr>
                <w:sz w:val="20"/>
              </w:rPr>
            </w:pPr>
            <w:r w:rsidRPr="007434DA">
              <w:rPr>
                <w:sz w:val="20"/>
              </w:rPr>
              <w:t>0.388</w:t>
            </w:r>
          </w:p>
        </w:tc>
      </w:tr>
      <w:tr w:rsidR="00CB2594" w:rsidRPr="007434DA" w14:paraId="1843F283" w14:textId="77777777" w:rsidTr="004A57B3">
        <w:trPr>
          <w:trHeight w:val="255"/>
        </w:trPr>
        <w:tc>
          <w:tcPr>
            <w:tcW w:w="1809" w:type="dxa"/>
            <w:vMerge w:val="restart"/>
            <w:tcBorders>
              <w:top w:val="single" w:sz="4" w:space="0" w:color="auto"/>
              <w:left w:val="single" w:sz="4" w:space="0" w:color="auto"/>
              <w:bottom w:val="single" w:sz="4" w:space="0" w:color="auto"/>
              <w:right w:val="single" w:sz="4" w:space="0" w:color="auto"/>
            </w:tcBorders>
            <w:noWrap/>
            <w:hideMark/>
          </w:tcPr>
          <w:p w14:paraId="05AB590C" w14:textId="77777777" w:rsidR="00CB2594" w:rsidRPr="007434DA" w:rsidRDefault="00CB2594" w:rsidP="004A57B3"/>
        </w:tc>
        <w:tc>
          <w:tcPr>
            <w:tcW w:w="2977" w:type="dxa"/>
            <w:vMerge w:val="restart"/>
            <w:tcBorders>
              <w:top w:val="single" w:sz="4" w:space="0" w:color="auto"/>
              <w:left w:val="single" w:sz="4" w:space="0" w:color="auto"/>
              <w:bottom w:val="single" w:sz="4" w:space="0" w:color="auto"/>
              <w:right w:val="single" w:sz="4" w:space="0" w:color="auto"/>
            </w:tcBorders>
            <w:noWrap/>
            <w:hideMark/>
          </w:tcPr>
          <w:p w14:paraId="1983DBF5" w14:textId="77777777" w:rsidR="00CB2594" w:rsidRPr="007434DA" w:rsidRDefault="00CB2594" w:rsidP="004A57B3"/>
        </w:tc>
        <w:tc>
          <w:tcPr>
            <w:tcW w:w="4502" w:type="dxa"/>
            <w:gridSpan w:val="5"/>
            <w:tcBorders>
              <w:top w:val="single" w:sz="4" w:space="0" w:color="auto"/>
              <w:left w:val="single" w:sz="4" w:space="0" w:color="auto"/>
              <w:bottom w:val="single" w:sz="4" w:space="0" w:color="auto"/>
              <w:right w:val="single" w:sz="4" w:space="0" w:color="auto"/>
            </w:tcBorders>
            <w:shd w:val="clear" w:color="auto" w:fill="E2EFD9" w:themeFill="accent6" w:themeFillTint="33"/>
            <w:noWrap/>
            <w:hideMark/>
          </w:tcPr>
          <w:p w14:paraId="7299FB20" w14:textId="77777777" w:rsidR="00CB2594" w:rsidRPr="007434DA" w:rsidRDefault="00CB2594" w:rsidP="004A57B3">
            <w:pPr>
              <w:jc w:val="center"/>
              <w:rPr>
                <w:b/>
                <w:bCs/>
                <w:sz w:val="20"/>
              </w:rPr>
            </w:pPr>
            <w:r w:rsidRPr="007434DA">
              <w:rPr>
                <w:b/>
                <w:bCs/>
                <w:sz w:val="20"/>
              </w:rPr>
              <w:t>2017</w:t>
            </w:r>
          </w:p>
        </w:tc>
      </w:tr>
      <w:tr w:rsidR="00CB2594" w:rsidRPr="0005469C" w14:paraId="5602A3CB" w14:textId="77777777" w:rsidTr="004A57B3">
        <w:trPr>
          <w:trHeight w:val="10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BB570C" w14:textId="77777777" w:rsidR="00CB2594" w:rsidRPr="007434DA" w:rsidRDefault="00CB2594" w:rsidP="004A57B3"/>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71778" w14:textId="77777777" w:rsidR="00CB2594" w:rsidRPr="007434DA" w:rsidRDefault="00CB2594" w:rsidP="004A57B3"/>
        </w:tc>
        <w:tc>
          <w:tcPr>
            <w:tcW w:w="1292" w:type="dxa"/>
            <w:tcBorders>
              <w:top w:val="single" w:sz="4" w:space="0" w:color="auto"/>
              <w:left w:val="single" w:sz="4" w:space="0" w:color="auto"/>
              <w:bottom w:val="single" w:sz="4" w:space="0" w:color="auto"/>
              <w:right w:val="single" w:sz="4" w:space="0" w:color="auto"/>
            </w:tcBorders>
            <w:hideMark/>
          </w:tcPr>
          <w:p w14:paraId="2A1BFB3D" w14:textId="77777777" w:rsidR="00CB2594" w:rsidRPr="007434DA" w:rsidRDefault="00CB2594" w:rsidP="004A57B3">
            <w:pPr>
              <w:rPr>
                <w:b/>
                <w:bCs/>
                <w:sz w:val="20"/>
              </w:rPr>
            </w:pPr>
            <w:r w:rsidRPr="007434DA">
              <w:rPr>
                <w:b/>
                <w:bCs/>
                <w:sz w:val="20"/>
              </w:rPr>
              <w:t>Počet odebraných vzorků</w:t>
            </w:r>
          </w:p>
        </w:tc>
        <w:tc>
          <w:tcPr>
            <w:tcW w:w="1224" w:type="dxa"/>
            <w:gridSpan w:val="2"/>
            <w:tcBorders>
              <w:top w:val="single" w:sz="4" w:space="0" w:color="auto"/>
              <w:left w:val="single" w:sz="4" w:space="0" w:color="auto"/>
              <w:bottom w:val="single" w:sz="4" w:space="0" w:color="auto"/>
              <w:right w:val="single" w:sz="4" w:space="0" w:color="auto"/>
            </w:tcBorders>
            <w:hideMark/>
          </w:tcPr>
          <w:p w14:paraId="0E8216D0" w14:textId="77777777" w:rsidR="00CB2594" w:rsidRPr="007434DA" w:rsidRDefault="00CB2594" w:rsidP="004A57B3">
            <w:pPr>
              <w:rPr>
                <w:b/>
                <w:bCs/>
                <w:sz w:val="20"/>
              </w:rPr>
            </w:pPr>
            <w:r w:rsidRPr="007434DA">
              <w:rPr>
                <w:b/>
                <w:bCs/>
                <w:sz w:val="20"/>
              </w:rPr>
              <w:t>Nadlimitní výskyt - nad 0,1 µg/l (%)</w:t>
            </w:r>
          </w:p>
        </w:tc>
        <w:tc>
          <w:tcPr>
            <w:tcW w:w="865" w:type="dxa"/>
            <w:tcBorders>
              <w:top w:val="single" w:sz="4" w:space="0" w:color="auto"/>
              <w:left w:val="single" w:sz="4" w:space="0" w:color="auto"/>
              <w:bottom w:val="single" w:sz="4" w:space="0" w:color="auto"/>
              <w:right w:val="single" w:sz="4" w:space="0" w:color="auto"/>
            </w:tcBorders>
            <w:hideMark/>
          </w:tcPr>
          <w:p w14:paraId="2FB1F4FB" w14:textId="77777777" w:rsidR="00CB2594" w:rsidRPr="007434DA" w:rsidRDefault="00CB2594" w:rsidP="004A57B3">
            <w:pPr>
              <w:rPr>
                <w:b/>
                <w:bCs/>
                <w:sz w:val="20"/>
              </w:rPr>
            </w:pPr>
            <w:r w:rsidRPr="007434DA">
              <w:rPr>
                <w:b/>
                <w:bCs/>
                <w:sz w:val="20"/>
              </w:rPr>
              <w:t>Výskyt - nad 1 µg/l (%)</w:t>
            </w:r>
          </w:p>
        </w:tc>
        <w:tc>
          <w:tcPr>
            <w:tcW w:w="1121" w:type="dxa"/>
            <w:tcBorders>
              <w:top w:val="single" w:sz="4" w:space="0" w:color="auto"/>
              <w:left w:val="single" w:sz="4" w:space="0" w:color="auto"/>
              <w:bottom w:val="single" w:sz="4" w:space="0" w:color="auto"/>
              <w:right w:val="single" w:sz="4" w:space="0" w:color="auto"/>
            </w:tcBorders>
            <w:hideMark/>
          </w:tcPr>
          <w:p w14:paraId="591000FC" w14:textId="77777777" w:rsidR="00CB2594" w:rsidRPr="007434DA" w:rsidRDefault="00CB2594" w:rsidP="004A57B3">
            <w:pPr>
              <w:rPr>
                <w:b/>
                <w:bCs/>
                <w:sz w:val="20"/>
              </w:rPr>
            </w:pPr>
            <w:r w:rsidRPr="007434DA">
              <w:rPr>
                <w:b/>
                <w:bCs/>
                <w:sz w:val="20"/>
              </w:rPr>
              <w:t>Maximální zjištěná hodnota (µg/l)</w:t>
            </w:r>
          </w:p>
        </w:tc>
      </w:tr>
      <w:tr w:rsidR="00CB2594" w:rsidRPr="007434DA" w14:paraId="40C5AE6C" w14:textId="77777777" w:rsidTr="004A57B3">
        <w:trPr>
          <w:trHeight w:val="255"/>
        </w:trPr>
        <w:tc>
          <w:tcPr>
            <w:tcW w:w="1809" w:type="dxa"/>
            <w:tcBorders>
              <w:top w:val="single" w:sz="4" w:space="0" w:color="auto"/>
              <w:left w:val="single" w:sz="4" w:space="0" w:color="auto"/>
              <w:bottom w:val="single" w:sz="4" w:space="0" w:color="auto"/>
              <w:right w:val="single" w:sz="4" w:space="0" w:color="auto"/>
            </w:tcBorders>
            <w:noWrap/>
            <w:hideMark/>
          </w:tcPr>
          <w:p w14:paraId="3E52759E" w14:textId="77777777" w:rsidR="00CB2594" w:rsidRPr="007434DA" w:rsidRDefault="00CB2594" w:rsidP="004A57B3">
            <w:pPr>
              <w:rPr>
                <w:b/>
                <w:bCs/>
                <w:sz w:val="20"/>
              </w:rPr>
            </w:pPr>
            <w:r w:rsidRPr="007434DA">
              <w:rPr>
                <w:b/>
                <w:bCs/>
                <w:sz w:val="20"/>
              </w:rPr>
              <w:t>1/cukrovka</w:t>
            </w:r>
          </w:p>
        </w:tc>
        <w:tc>
          <w:tcPr>
            <w:tcW w:w="2977" w:type="dxa"/>
            <w:tcBorders>
              <w:top w:val="single" w:sz="4" w:space="0" w:color="auto"/>
              <w:left w:val="single" w:sz="4" w:space="0" w:color="auto"/>
              <w:bottom w:val="single" w:sz="4" w:space="0" w:color="auto"/>
              <w:right w:val="single" w:sz="4" w:space="0" w:color="auto"/>
            </w:tcBorders>
            <w:hideMark/>
          </w:tcPr>
          <w:p w14:paraId="7C770430" w14:textId="77777777" w:rsidR="00CB2594" w:rsidRPr="007434DA" w:rsidRDefault="00CB2594" w:rsidP="004A57B3">
            <w:pPr>
              <w:rPr>
                <w:b/>
                <w:bCs/>
                <w:sz w:val="20"/>
              </w:rPr>
            </w:pPr>
            <w:r w:rsidRPr="007434DA">
              <w:rPr>
                <w:b/>
                <w:bCs/>
                <w:sz w:val="20"/>
              </w:rPr>
              <w:t>chloridazon a jeho metabolity</w:t>
            </w:r>
          </w:p>
        </w:tc>
        <w:tc>
          <w:tcPr>
            <w:tcW w:w="1292" w:type="dxa"/>
            <w:tcBorders>
              <w:top w:val="single" w:sz="4" w:space="0" w:color="auto"/>
              <w:left w:val="single" w:sz="4" w:space="0" w:color="auto"/>
              <w:bottom w:val="single" w:sz="4" w:space="0" w:color="auto"/>
              <w:right w:val="single" w:sz="4" w:space="0" w:color="auto"/>
            </w:tcBorders>
            <w:noWrap/>
            <w:hideMark/>
          </w:tcPr>
          <w:p w14:paraId="7CE8A4D0" w14:textId="77777777" w:rsidR="00CB2594" w:rsidRPr="007434DA" w:rsidRDefault="00CB2594" w:rsidP="004A57B3">
            <w:pPr>
              <w:ind w:right="120"/>
              <w:jc w:val="right"/>
              <w:rPr>
                <w:sz w:val="20"/>
              </w:rPr>
            </w:pPr>
            <w:r w:rsidRPr="007434DA">
              <w:rPr>
                <w:sz w:val="20"/>
              </w:rPr>
              <w:t>1367</w:t>
            </w:r>
          </w:p>
        </w:tc>
        <w:tc>
          <w:tcPr>
            <w:tcW w:w="1224" w:type="dxa"/>
            <w:gridSpan w:val="2"/>
            <w:tcBorders>
              <w:top w:val="single" w:sz="4" w:space="0" w:color="auto"/>
              <w:left w:val="single" w:sz="4" w:space="0" w:color="auto"/>
              <w:bottom w:val="single" w:sz="4" w:space="0" w:color="auto"/>
              <w:right w:val="single" w:sz="4" w:space="0" w:color="auto"/>
            </w:tcBorders>
            <w:noWrap/>
            <w:hideMark/>
          </w:tcPr>
          <w:p w14:paraId="0407B7AD" w14:textId="77777777" w:rsidR="00CB2594" w:rsidRPr="007434DA" w:rsidRDefault="00CB2594" w:rsidP="004A57B3">
            <w:pPr>
              <w:ind w:right="120"/>
              <w:jc w:val="right"/>
              <w:rPr>
                <w:sz w:val="20"/>
              </w:rPr>
            </w:pPr>
            <w:r w:rsidRPr="007434DA">
              <w:rPr>
                <w:sz w:val="20"/>
              </w:rPr>
              <w:t>25.38</w:t>
            </w:r>
          </w:p>
        </w:tc>
        <w:tc>
          <w:tcPr>
            <w:tcW w:w="865" w:type="dxa"/>
            <w:tcBorders>
              <w:top w:val="single" w:sz="4" w:space="0" w:color="auto"/>
              <w:left w:val="single" w:sz="4" w:space="0" w:color="auto"/>
              <w:bottom w:val="single" w:sz="4" w:space="0" w:color="auto"/>
              <w:right w:val="single" w:sz="4" w:space="0" w:color="auto"/>
            </w:tcBorders>
            <w:noWrap/>
            <w:hideMark/>
          </w:tcPr>
          <w:p w14:paraId="371E21EB" w14:textId="77777777" w:rsidR="00CB2594" w:rsidRPr="007434DA" w:rsidRDefault="00CB2594" w:rsidP="004A57B3">
            <w:pPr>
              <w:ind w:right="120"/>
              <w:jc w:val="right"/>
              <w:rPr>
                <w:sz w:val="20"/>
              </w:rPr>
            </w:pPr>
            <w:r w:rsidRPr="007434DA">
              <w:rPr>
                <w:sz w:val="20"/>
              </w:rPr>
              <w:t>8.85</w:t>
            </w:r>
          </w:p>
        </w:tc>
        <w:tc>
          <w:tcPr>
            <w:tcW w:w="1121" w:type="dxa"/>
            <w:tcBorders>
              <w:top w:val="single" w:sz="4" w:space="0" w:color="auto"/>
              <w:left w:val="single" w:sz="4" w:space="0" w:color="auto"/>
              <w:bottom w:val="single" w:sz="4" w:space="0" w:color="auto"/>
              <w:right w:val="single" w:sz="4" w:space="0" w:color="auto"/>
            </w:tcBorders>
            <w:noWrap/>
            <w:hideMark/>
          </w:tcPr>
          <w:p w14:paraId="1A080572" w14:textId="77777777" w:rsidR="00CB2594" w:rsidRPr="007434DA" w:rsidRDefault="00CB2594" w:rsidP="004A57B3">
            <w:pPr>
              <w:ind w:right="120"/>
              <w:jc w:val="right"/>
              <w:rPr>
                <w:sz w:val="20"/>
              </w:rPr>
            </w:pPr>
            <w:r w:rsidRPr="007434DA">
              <w:rPr>
                <w:sz w:val="20"/>
              </w:rPr>
              <w:t>22.38</w:t>
            </w:r>
          </w:p>
        </w:tc>
      </w:tr>
      <w:tr w:rsidR="00CB2594" w:rsidRPr="007434DA" w14:paraId="780B1568" w14:textId="77777777" w:rsidTr="004A57B3">
        <w:trPr>
          <w:trHeight w:val="255"/>
        </w:trPr>
        <w:tc>
          <w:tcPr>
            <w:tcW w:w="1809" w:type="dxa"/>
            <w:tcBorders>
              <w:top w:val="single" w:sz="4" w:space="0" w:color="auto"/>
              <w:left w:val="single" w:sz="4" w:space="0" w:color="auto"/>
              <w:bottom w:val="single" w:sz="4" w:space="0" w:color="auto"/>
              <w:right w:val="single" w:sz="4" w:space="0" w:color="auto"/>
            </w:tcBorders>
            <w:noWrap/>
            <w:hideMark/>
          </w:tcPr>
          <w:p w14:paraId="7AC12E10" w14:textId="77777777" w:rsidR="00CB2594" w:rsidRPr="007434DA" w:rsidRDefault="00CB2594" w:rsidP="004A57B3">
            <w:pPr>
              <w:rPr>
                <w:b/>
                <w:bCs/>
                <w:sz w:val="20"/>
              </w:rPr>
            </w:pPr>
            <w:r w:rsidRPr="007434DA">
              <w:rPr>
                <w:b/>
                <w:bCs/>
                <w:sz w:val="20"/>
              </w:rPr>
              <w:t>2/řepka</w:t>
            </w:r>
          </w:p>
        </w:tc>
        <w:tc>
          <w:tcPr>
            <w:tcW w:w="2977" w:type="dxa"/>
            <w:tcBorders>
              <w:top w:val="single" w:sz="4" w:space="0" w:color="auto"/>
              <w:left w:val="single" w:sz="4" w:space="0" w:color="auto"/>
              <w:bottom w:val="single" w:sz="4" w:space="0" w:color="auto"/>
              <w:right w:val="single" w:sz="4" w:space="0" w:color="auto"/>
            </w:tcBorders>
            <w:hideMark/>
          </w:tcPr>
          <w:p w14:paraId="60110AEE" w14:textId="77777777" w:rsidR="00CB2594" w:rsidRPr="007434DA" w:rsidRDefault="00CB2594" w:rsidP="004A57B3">
            <w:pPr>
              <w:rPr>
                <w:b/>
                <w:bCs/>
                <w:sz w:val="20"/>
              </w:rPr>
            </w:pPr>
            <w:r w:rsidRPr="007434DA">
              <w:rPr>
                <w:b/>
                <w:bCs/>
                <w:sz w:val="20"/>
              </w:rPr>
              <w:t xml:space="preserve">metazachlor a jeho metabolity </w:t>
            </w:r>
          </w:p>
        </w:tc>
        <w:tc>
          <w:tcPr>
            <w:tcW w:w="1292" w:type="dxa"/>
            <w:tcBorders>
              <w:top w:val="single" w:sz="4" w:space="0" w:color="auto"/>
              <w:left w:val="single" w:sz="4" w:space="0" w:color="auto"/>
              <w:bottom w:val="single" w:sz="4" w:space="0" w:color="auto"/>
              <w:right w:val="single" w:sz="4" w:space="0" w:color="auto"/>
            </w:tcBorders>
            <w:noWrap/>
            <w:hideMark/>
          </w:tcPr>
          <w:p w14:paraId="08DD34B1" w14:textId="77777777" w:rsidR="00CB2594" w:rsidRPr="007434DA" w:rsidRDefault="00CB2594" w:rsidP="004A57B3">
            <w:pPr>
              <w:ind w:right="120"/>
              <w:jc w:val="right"/>
              <w:rPr>
                <w:sz w:val="20"/>
              </w:rPr>
            </w:pPr>
            <w:r w:rsidRPr="007434DA">
              <w:rPr>
                <w:sz w:val="20"/>
              </w:rPr>
              <w:t>1367</w:t>
            </w:r>
          </w:p>
        </w:tc>
        <w:tc>
          <w:tcPr>
            <w:tcW w:w="1224" w:type="dxa"/>
            <w:gridSpan w:val="2"/>
            <w:tcBorders>
              <w:top w:val="single" w:sz="4" w:space="0" w:color="auto"/>
              <w:left w:val="single" w:sz="4" w:space="0" w:color="auto"/>
              <w:bottom w:val="single" w:sz="4" w:space="0" w:color="auto"/>
              <w:right w:val="single" w:sz="4" w:space="0" w:color="auto"/>
            </w:tcBorders>
            <w:noWrap/>
            <w:hideMark/>
          </w:tcPr>
          <w:p w14:paraId="293B10D1" w14:textId="77777777" w:rsidR="00CB2594" w:rsidRPr="007434DA" w:rsidRDefault="00CB2594" w:rsidP="004A57B3">
            <w:pPr>
              <w:ind w:right="120"/>
              <w:jc w:val="right"/>
              <w:rPr>
                <w:sz w:val="20"/>
              </w:rPr>
            </w:pPr>
            <w:r w:rsidRPr="007434DA">
              <w:rPr>
                <w:sz w:val="20"/>
              </w:rPr>
              <w:t>11.70</w:t>
            </w:r>
          </w:p>
        </w:tc>
        <w:tc>
          <w:tcPr>
            <w:tcW w:w="865" w:type="dxa"/>
            <w:tcBorders>
              <w:top w:val="single" w:sz="4" w:space="0" w:color="auto"/>
              <w:left w:val="single" w:sz="4" w:space="0" w:color="auto"/>
              <w:bottom w:val="single" w:sz="4" w:space="0" w:color="auto"/>
              <w:right w:val="single" w:sz="4" w:space="0" w:color="auto"/>
            </w:tcBorders>
            <w:noWrap/>
            <w:hideMark/>
          </w:tcPr>
          <w:p w14:paraId="5A00E356" w14:textId="77777777" w:rsidR="00CB2594" w:rsidRPr="007434DA" w:rsidRDefault="00CB2594" w:rsidP="004A57B3">
            <w:pPr>
              <w:ind w:right="120"/>
              <w:jc w:val="right"/>
              <w:rPr>
                <w:sz w:val="20"/>
              </w:rPr>
            </w:pPr>
            <w:r w:rsidRPr="007434DA">
              <w:rPr>
                <w:sz w:val="20"/>
              </w:rPr>
              <w:t>2.19</w:t>
            </w:r>
          </w:p>
        </w:tc>
        <w:tc>
          <w:tcPr>
            <w:tcW w:w="1121" w:type="dxa"/>
            <w:tcBorders>
              <w:top w:val="single" w:sz="4" w:space="0" w:color="auto"/>
              <w:left w:val="single" w:sz="4" w:space="0" w:color="auto"/>
              <w:bottom w:val="single" w:sz="4" w:space="0" w:color="auto"/>
              <w:right w:val="single" w:sz="4" w:space="0" w:color="auto"/>
            </w:tcBorders>
            <w:noWrap/>
            <w:hideMark/>
          </w:tcPr>
          <w:p w14:paraId="6F1E4A08" w14:textId="77777777" w:rsidR="00CB2594" w:rsidRPr="007434DA" w:rsidRDefault="00CB2594" w:rsidP="004A57B3">
            <w:pPr>
              <w:ind w:right="120"/>
              <w:jc w:val="right"/>
              <w:rPr>
                <w:sz w:val="20"/>
              </w:rPr>
            </w:pPr>
            <w:r w:rsidRPr="007434DA">
              <w:rPr>
                <w:sz w:val="20"/>
              </w:rPr>
              <w:t>8.71</w:t>
            </w:r>
          </w:p>
        </w:tc>
      </w:tr>
      <w:tr w:rsidR="00CB2594" w:rsidRPr="007434DA" w14:paraId="18164375" w14:textId="77777777" w:rsidTr="004A57B3">
        <w:trPr>
          <w:trHeight w:val="255"/>
        </w:trPr>
        <w:tc>
          <w:tcPr>
            <w:tcW w:w="1809" w:type="dxa"/>
            <w:tcBorders>
              <w:top w:val="single" w:sz="4" w:space="0" w:color="auto"/>
              <w:left w:val="single" w:sz="4" w:space="0" w:color="auto"/>
              <w:bottom w:val="single" w:sz="4" w:space="0" w:color="auto"/>
              <w:right w:val="single" w:sz="4" w:space="0" w:color="auto"/>
            </w:tcBorders>
            <w:noWrap/>
            <w:hideMark/>
          </w:tcPr>
          <w:p w14:paraId="5C412466" w14:textId="77777777" w:rsidR="00CB2594" w:rsidRPr="007434DA" w:rsidRDefault="00CB2594" w:rsidP="004A57B3">
            <w:pPr>
              <w:rPr>
                <w:b/>
                <w:bCs/>
                <w:sz w:val="20"/>
              </w:rPr>
            </w:pPr>
            <w:r w:rsidRPr="007434DA">
              <w:rPr>
                <w:b/>
                <w:bCs/>
                <w:sz w:val="20"/>
              </w:rPr>
              <w:t>3/kukuřice</w:t>
            </w:r>
          </w:p>
        </w:tc>
        <w:tc>
          <w:tcPr>
            <w:tcW w:w="2977" w:type="dxa"/>
            <w:tcBorders>
              <w:top w:val="single" w:sz="4" w:space="0" w:color="auto"/>
              <w:left w:val="single" w:sz="4" w:space="0" w:color="auto"/>
              <w:bottom w:val="single" w:sz="4" w:space="0" w:color="auto"/>
              <w:right w:val="single" w:sz="4" w:space="0" w:color="auto"/>
            </w:tcBorders>
            <w:hideMark/>
          </w:tcPr>
          <w:p w14:paraId="4A1E535E" w14:textId="77777777" w:rsidR="00CB2594" w:rsidRPr="007434DA" w:rsidRDefault="00CB2594" w:rsidP="004A57B3">
            <w:pPr>
              <w:rPr>
                <w:b/>
                <w:bCs/>
                <w:sz w:val="20"/>
              </w:rPr>
            </w:pPr>
            <w:r w:rsidRPr="007434DA">
              <w:rPr>
                <w:b/>
                <w:bCs/>
                <w:sz w:val="20"/>
              </w:rPr>
              <w:t>metolachlor a jeho metabolity</w:t>
            </w:r>
          </w:p>
        </w:tc>
        <w:tc>
          <w:tcPr>
            <w:tcW w:w="1292" w:type="dxa"/>
            <w:tcBorders>
              <w:top w:val="single" w:sz="4" w:space="0" w:color="auto"/>
              <w:left w:val="single" w:sz="4" w:space="0" w:color="auto"/>
              <w:bottom w:val="single" w:sz="4" w:space="0" w:color="auto"/>
              <w:right w:val="single" w:sz="4" w:space="0" w:color="auto"/>
            </w:tcBorders>
            <w:noWrap/>
            <w:hideMark/>
          </w:tcPr>
          <w:p w14:paraId="08710FB9" w14:textId="77777777" w:rsidR="00CB2594" w:rsidRPr="007434DA" w:rsidRDefault="00CB2594" w:rsidP="004A57B3">
            <w:pPr>
              <w:ind w:right="120"/>
              <w:jc w:val="right"/>
              <w:rPr>
                <w:sz w:val="20"/>
              </w:rPr>
            </w:pPr>
            <w:r w:rsidRPr="007434DA">
              <w:rPr>
                <w:sz w:val="20"/>
              </w:rPr>
              <w:t>1367</w:t>
            </w:r>
          </w:p>
        </w:tc>
        <w:tc>
          <w:tcPr>
            <w:tcW w:w="1224" w:type="dxa"/>
            <w:gridSpan w:val="2"/>
            <w:tcBorders>
              <w:top w:val="single" w:sz="4" w:space="0" w:color="auto"/>
              <w:left w:val="single" w:sz="4" w:space="0" w:color="auto"/>
              <w:bottom w:val="single" w:sz="4" w:space="0" w:color="auto"/>
              <w:right w:val="single" w:sz="4" w:space="0" w:color="auto"/>
            </w:tcBorders>
            <w:noWrap/>
            <w:hideMark/>
          </w:tcPr>
          <w:p w14:paraId="7474E620" w14:textId="77777777" w:rsidR="00CB2594" w:rsidRPr="007434DA" w:rsidRDefault="00CB2594" w:rsidP="004A57B3">
            <w:pPr>
              <w:ind w:right="120"/>
              <w:jc w:val="right"/>
              <w:rPr>
                <w:sz w:val="20"/>
              </w:rPr>
            </w:pPr>
            <w:r w:rsidRPr="007434DA">
              <w:rPr>
                <w:sz w:val="20"/>
              </w:rPr>
              <w:t>10.39</w:t>
            </w:r>
          </w:p>
        </w:tc>
        <w:tc>
          <w:tcPr>
            <w:tcW w:w="865" w:type="dxa"/>
            <w:tcBorders>
              <w:top w:val="single" w:sz="4" w:space="0" w:color="auto"/>
              <w:left w:val="single" w:sz="4" w:space="0" w:color="auto"/>
              <w:bottom w:val="single" w:sz="4" w:space="0" w:color="auto"/>
              <w:right w:val="single" w:sz="4" w:space="0" w:color="auto"/>
            </w:tcBorders>
            <w:noWrap/>
            <w:hideMark/>
          </w:tcPr>
          <w:p w14:paraId="43AD4320" w14:textId="77777777" w:rsidR="00CB2594" w:rsidRPr="007434DA" w:rsidRDefault="00CB2594" w:rsidP="004A57B3">
            <w:pPr>
              <w:ind w:right="120"/>
              <w:jc w:val="right"/>
              <w:rPr>
                <w:sz w:val="20"/>
              </w:rPr>
            </w:pPr>
            <w:r w:rsidRPr="007434DA">
              <w:rPr>
                <w:sz w:val="20"/>
              </w:rPr>
              <w:t>1.02</w:t>
            </w:r>
          </w:p>
        </w:tc>
        <w:tc>
          <w:tcPr>
            <w:tcW w:w="1121" w:type="dxa"/>
            <w:tcBorders>
              <w:top w:val="single" w:sz="4" w:space="0" w:color="auto"/>
              <w:left w:val="single" w:sz="4" w:space="0" w:color="auto"/>
              <w:bottom w:val="single" w:sz="4" w:space="0" w:color="auto"/>
              <w:right w:val="single" w:sz="4" w:space="0" w:color="auto"/>
            </w:tcBorders>
            <w:noWrap/>
            <w:hideMark/>
          </w:tcPr>
          <w:p w14:paraId="68F4F2DF" w14:textId="77777777" w:rsidR="00CB2594" w:rsidRPr="007434DA" w:rsidRDefault="00CB2594" w:rsidP="004A57B3">
            <w:pPr>
              <w:ind w:right="120"/>
              <w:jc w:val="right"/>
              <w:rPr>
                <w:sz w:val="20"/>
              </w:rPr>
            </w:pPr>
            <w:r w:rsidRPr="007434DA">
              <w:rPr>
                <w:sz w:val="20"/>
              </w:rPr>
              <w:t>5.918</w:t>
            </w:r>
          </w:p>
        </w:tc>
      </w:tr>
      <w:tr w:rsidR="00CB2594" w:rsidRPr="007434DA" w14:paraId="250E0D25" w14:textId="77777777" w:rsidTr="004A57B3">
        <w:trPr>
          <w:trHeight w:val="255"/>
        </w:trPr>
        <w:tc>
          <w:tcPr>
            <w:tcW w:w="1809" w:type="dxa"/>
            <w:tcBorders>
              <w:top w:val="single" w:sz="4" w:space="0" w:color="auto"/>
              <w:left w:val="single" w:sz="4" w:space="0" w:color="auto"/>
              <w:bottom w:val="single" w:sz="4" w:space="0" w:color="auto"/>
              <w:right w:val="single" w:sz="4" w:space="0" w:color="auto"/>
            </w:tcBorders>
            <w:noWrap/>
            <w:hideMark/>
          </w:tcPr>
          <w:p w14:paraId="2926AF4E" w14:textId="77777777" w:rsidR="00CB2594" w:rsidRPr="007434DA" w:rsidRDefault="00CB2594" w:rsidP="004A57B3">
            <w:pPr>
              <w:rPr>
                <w:b/>
                <w:bCs/>
                <w:sz w:val="20"/>
              </w:rPr>
            </w:pPr>
            <w:r w:rsidRPr="007434DA">
              <w:rPr>
                <w:b/>
                <w:bCs/>
                <w:sz w:val="20"/>
              </w:rPr>
              <w:t>4/řepka</w:t>
            </w:r>
          </w:p>
        </w:tc>
        <w:tc>
          <w:tcPr>
            <w:tcW w:w="2977" w:type="dxa"/>
            <w:tcBorders>
              <w:top w:val="single" w:sz="4" w:space="0" w:color="auto"/>
              <w:left w:val="single" w:sz="4" w:space="0" w:color="auto"/>
              <w:bottom w:val="single" w:sz="4" w:space="0" w:color="auto"/>
              <w:right w:val="single" w:sz="4" w:space="0" w:color="auto"/>
            </w:tcBorders>
            <w:hideMark/>
          </w:tcPr>
          <w:p w14:paraId="4C2007F8" w14:textId="77777777" w:rsidR="00CB2594" w:rsidRPr="007434DA" w:rsidRDefault="00CB2594" w:rsidP="004A57B3">
            <w:pPr>
              <w:rPr>
                <w:b/>
                <w:bCs/>
                <w:sz w:val="20"/>
              </w:rPr>
            </w:pPr>
            <w:r w:rsidRPr="007434DA">
              <w:rPr>
                <w:b/>
                <w:bCs/>
                <w:sz w:val="20"/>
              </w:rPr>
              <w:t>dimethachlor a jeho metabolity</w:t>
            </w:r>
          </w:p>
        </w:tc>
        <w:tc>
          <w:tcPr>
            <w:tcW w:w="1292" w:type="dxa"/>
            <w:tcBorders>
              <w:top w:val="single" w:sz="4" w:space="0" w:color="auto"/>
              <w:left w:val="single" w:sz="4" w:space="0" w:color="auto"/>
              <w:bottom w:val="single" w:sz="4" w:space="0" w:color="auto"/>
              <w:right w:val="single" w:sz="4" w:space="0" w:color="auto"/>
            </w:tcBorders>
            <w:noWrap/>
            <w:hideMark/>
          </w:tcPr>
          <w:p w14:paraId="03DE9D9F" w14:textId="77777777" w:rsidR="00CB2594" w:rsidRPr="007434DA" w:rsidRDefault="00CB2594" w:rsidP="004A57B3">
            <w:pPr>
              <w:ind w:right="120"/>
              <w:jc w:val="right"/>
              <w:rPr>
                <w:sz w:val="20"/>
              </w:rPr>
            </w:pPr>
            <w:r w:rsidRPr="007434DA">
              <w:rPr>
                <w:sz w:val="20"/>
              </w:rPr>
              <w:t>1367</w:t>
            </w:r>
          </w:p>
        </w:tc>
        <w:tc>
          <w:tcPr>
            <w:tcW w:w="1224" w:type="dxa"/>
            <w:gridSpan w:val="2"/>
            <w:tcBorders>
              <w:top w:val="single" w:sz="4" w:space="0" w:color="auto"/>
              <w:left w:val="single" w:sz="4" w:space="0" w:color="auto"/>
              <w:bottom w:val="single" w:sz="4" w:space="0" w:color="auto"/>
              <w:right w:val="single" w:sz="4" w:space="0" w:color="auto"/>
            </w:tcBorders>
            <w:noWrap/>
            <w:hideMark/>
          </w:tcPr>
          <w:p w14:paraId="0E519F27" w14:textId="77777777" w:rsidR="00CB2594" w:rsidRPr="007434DA" w:rsidRDefault="00CB2594" w:rsidP="004A57B3">
            <w:pPr>
              <w:ind w:right="120"/>
              <w:jc w:val="right"/>
              <w:rPr>
                <w:sz w:val="20"/>
              </w:rPr>
            </w:pPr>
            <w:r w:rsidRPr="007434DA">
              <w:rPr>
                <w:sz w:val="20"/>
              </w:rPr>
              <w:t>2.34</w:t>
            </w:r>
          </w:p>
        </w:tc>
        <w:tc>
          <w:tcPr>
            <w:tcW w:w="865" w:type="dxa"/>
            <w:tcBorders>
              <w:top w:val="single" w:sz="4" w:space="0" w:color="auto"/>
              <w:left w:val="single" w:sz="4" w:space="0" w:color="auto"/>
              <w:bottom w:val="single" w:sz="4" w:space="0" w:color="auto"/>
              <w:right w:val="single" w:sz="4" w:space="0" w:color="auto"/>
            </w:tcBorders>
            <w:noWrap/>
            <w:hideMark/>
          </w:tcPr>
          <w:p w14:paraId="6C534C18" w14:textId="77777777" w:rsidR="00CB2594" w:rsidRPr="007434DA" w:rsidRDefault="00CB2594" w:rsidP="004A57B3">
            <w:pPr>
              <w:ind w:right="120"/>
              <w:jc w:val="right"/>
              <w:rPr>
                <w:sz w:val="20"/>
              </w:rPr>
            </w:pPr>
            <w:r w:rsidRPr="007434DA">
              <w:rPr>
                <w:sz w:val="20"/>
              </w:rPr>
              <w:t>0.15</w:t>
            </w:r>
          </w:p>
        </w:tc>
        <w:tc>
          <w:tcPr>
            <w:tcW w:w="1121" w:type="dxa"/>
            <w:tcBorders>
              <w:top w:val="single" w:sz="4" w:space="0" w:color="auto"/>
              <w:left w:val="single" w:sz="4" w:space="0" w:color="auto"/>
              <w:bottom w:val="single" w:sz="4" w:space="0" w:color="auto"/>
              <w:right w:val="single" w:sz="4" w:space="0" w:color="auto"/>
            </w:tcBorders>
            <w:noWrap/>
            <w:hideMark/>
          </w:tcPr>
          <w:p w14:paraId="529B2602" w14:textId="77777777" w:rsidR="00CB2594" w:rsidRPr="007434DA" w:rsidRDefault="00CB2594" w:rsidP="004A57B3">
            <w:pPr>
              <w:ind w:right="120"/>
              <w:jc w:val="right"/>
              <w:rPr>
                <w:sz w:val="20"/>
              </w:rPr>
            </w:pPr>
            <w:r w:rsidRPr="007434DA">
              <w:rPr>
                <w:sz w:val="20"/>
              </w:rPr>
              <w:t>1.55</w:t>
            </w:r>
          </w:p>
        </w:tc>
      </w:tr>
      <w:tr w:rsidR="00CB2594" w:rsidRPr="007434DA" w14:paraId="60294AD1" w14:textId="77777777" w:rsidTr="004A57B3">
        <w:trPr>
          <w:trHeight w:val="255"/>
        </w:trPr>
        <w:tc>
          <w:tcPr>
            <w:tcW w:w="1809" w:type="dxa"/>
            <w:tcBorders>
              <w:top w:val="single" w:sz="4" w:space="0" w:color="auto"/>
              <w:left w:val="single" w:sz="4" w:space="0" w:color="auto"/>
              <w:bottom w:val="single" w:sz="4" w:space="0" w:color="auto"/>
              <w:right w:val="single" w:sz="4" w:space="0" w:color="auto"/>
            </w:tcBorders>
            <w:noWrap/>
            <w:hideMark/>
          </w:tcPr>
          <w:p w14:paraId="271B05EE" w14:textId="77777777" w:rsidR="00CB2594" w:rsidRPr="007434DA" w:rsidRDefault="00CB2594" w:rsidP="004A57B3">
            <w:pPr>
              <w:rPr>
                <w:b/>
                <w:bCs/>
                <w:sz w:val="20"/>
              </w:rPr>
            </w:pPr>
            <w:r w:rsidRPr="007434DA">
              <w:rPr>
                <w:b/>
                <w:bCs/>
                <w:sz w:val="20"/>
              </w:rPr>
              <w:t>5/řepka/cukrovka</w:t>
            </w:r>
          </w:p>
        </w:tc>
        <w:tc>
          <w:tcPr>
            <w:tcW w:w="2977" w:type="dxa"/>
            <w:tcBorders>
              <w:top w:val="single" w:sz="4" w:space="0" w:color="auto"/>
              <w:left w:val="single" w:sz="4" w:space="0" w:color="auto"/>
              <w:bottom w:val="single" w:sz="4" w:space="0" w:color="auto"/>
              <w:right w:val="single" w:sz="4" w:space="0" w:color="auto"/>
            </w:tcBorders>
            <w:hideMark/>
          </w:tcPr>
          <w:p w14:paraId="52BF4BDC" w14:textId="77777777" w:rsidR="00CB2594" w:rsidRPr="007434DA" w:rsidRDefault="00CB2594" w:rsidP="004A57B3">
            <w:pPr>
              <w:rPr>
                <w:b/>
                <w:bCs/>
                <w:sz w:val="20"/>
              </w:rPr>
            </w:pPr>
            <w:r w:rsidRPr="007434DA">
              <w:rPr>
                <w:b/>
                <w:bCs/>
                <w:sz w:val="20"/>
              </w:rPr>
              <w:t>clopyralid</w:t>
            </w:r>
          </w:p>
        </w:tc>
        <w:tc>
          <w:tcPr>
            <w:tcW w:w="1292" w:type="dxa"/>
            <w:tcBorders>
              <w:top w:val="single" w:sz="4" w:space="0" w:color="auto"/>
              <w:left w:val="single" w:sz="4" w:space="0" w:color="auto"/>
              <w:bottom w:val="single" w:sz="4" w:space="0" w:color="auto"/>
              <w:right w:val="single" w:sz="4" w:space="0" w:color="auto"/>
            </w:tcBorders>
            <w:noWrap/>
            <w:hideMark/>
          </w:tcPr>
          <w:p w14:paraId="0FCE0CF1" w14:textId="77777777" w:rsidR="00CB2594" w:rsidRPr="007434DA" w:rsidRDefault="00CB2594" w:rsidP="003257EA">
            <w:pPr>
              <w:jc w:val="center"/>
              <w:rPr>
                <w:sz w:val="20"/>
              </w:rPr>
            </w:pPr>
            <w:r w:rsidRPr="007434DA">
              <w:rPr>
                <w:sz w:val="20"/>
              </w:rPr>
              <w:t>1367</w:t>
            </w:r>
          </w:p>
        </w:tc>
        <w:tc>
          <w:tcPr>
            <w:tcW w:w="1224" w:type="dxa"/>
            <w:gridSpan w:val="2"/>
            <w:tcBorders>
              <w:top w:val="single" w:sz="4" w:space="0" w:color="auto"/>
              <w:left w:val="single" w:sz="4" w:space="0" w:color="auto"/>
              <w:bottom w:val="single" w:sz="4" w:space="0" w:color="auto"/>
              <w:right w:val="single" w:sz="4" w:space="0" w:color="auto"/>
            </w:tcBorders>
            <w:noWrap/>
            <w:hideMark/>
          </w:tcPr>
          <w:p w14:paraId="6ED3411B" w14:textId="77777777" w:rsidR="00CB2594" w:rsidRPr="007434DA" w:rsidRDefault="00CB2594" w:rsidP="003257EA">
            <w:pPr>
              <w:jc w:val="center"/>
              <w:rPr>
                <w:sz w:val="20"/>
              </w:rPr>
            </w:pPr>
            <w:r w:rsidRPr="007434DA">
              <w:rPr>
                <w:sz w:val="20"/>
              </w:rPr>
              <w:t>0.37</w:t>
            </w:r>
          </w:p>
        </w:tc>
        <w:tc>
          <w:tcPr>
            <w:tcW w:w="865" w:type="dxa"/>
            <w:tcBorders>
              <w:top w:val="single" w:sz="4" w:space="0" w:color="auto"/>
              <w:left w:val="single" w:sz="4" w:space="0" w:color="auto"/>
              <w:bottom w:val="single" w:sz="4" w:space="0" w:color="auto"/>
              <w:right w:val="single" w:sz="4" w:space="0" w:color="auto"/>
            </w:tcBorders>
            <w:noWrap/>
            <w:hideMark/>
          </w:tcPr>
          <w:p w14:paraId="3975948E" w14:textId="77777777" w:rsidR="00CB2594" w:rsidRPr="007434DA" w:rsidRDefault="00CB2594" w:rsidP="003257EA">
            <w:pPr>
              <w:jc w:val="center"/>
              <w:rPr>
                <w:sz w:val="20"/>
              </w:rPr>
            </w:pPr>
            <w:r w:rsidRPr="007434DA">
              <w:rPr>
                <w:sz w:val="20"/>
              </w:rPr>
              <w:t>0.07</w:t>
            </w:r>
          </w:p>
        </w:tc>
        <w:tc>
          <w:tcPr>
            <w:tcW w:w="1121" w:type="dxa"/>
            <w:tcBorders>
              <w:top w:val="single" w:sz="4" w:space="0" w:color="auto"/>
              <w:left w:val="single" w:sz="4" w:space="0" w:color="auto"/>
              <w:bottom w:val="single" w:sz="4" w:space="0" w:color="auto"/>
              <w:right w:val="single" w:sz="4" w:space="0" w:color="auto"/>
            </w:tcBorders>
            <w:noWrap/>
            <w:hideMark/>
          </w:tcPr>
          <w:p w14:paraId="6ED0ED37" w14:textId="77777777" w:rsidR="00CB2594" w:rsidRPr="007434DA" w:rsidRDefault="00CB2594" w:rsidP="003257EA">
            <w:pPr>
              <w:jc w:val="center"/>
              <w:rPr>
                <w:sz w:val="20"/>
              </w:rPr>
            </w:pPr>
            <w:r w:rsidRPr="007434DA">
              <w:rPr>
                <w:sz w:val="20"/>
              </w:rPr>
              <w:t>1.69</w:t>
            </w:r>
          </w:p>
        </w:tc>
      </w:tr>
      <w:tr w:rsidR="00CB2594" w:rsidRPr="007434DA" w14:paraId="32CAE142" w14:textId="77777777" w:rsidTr="004A57B3">
        <w:trPr>
          <w:trHeight w:val="255"/>
        </w:trPr>
        <w:tc>
          <w:tcPr>
            <w:tcW w:w="1809" w:type="dxa"/>
            <w:tcBorders>
              <w:top w:val="single" w:sz="4" w:space="0" w:color="auto"/>
              <w:left w:val="single" w:sz="4" w:space="0" w:color="auto"/>
              <w:bottom w:val="single" w:sz="4" w:space="0" w:color="auto"/>
              <w:right w:val="single" w:sz="4" w:space="0" w:color="auto"/>
            </w:tcBorders>
            <w:noWrap/>
            <w:hideMark/>
          </w:tcPr>
          <w:p w14:paraId="2B282D3C" w14:textId="77777777" w:rsidR="00CB2594" w:rsidRPr="007434DA" w:rsidRDefault="00CB2594" w:rsidP="004A57B3">
            <w:pPr>
              <w:rPr>
                <w:b/>
                <w:bCs/>
                <w:sz w:val="20"/>
              </w:rPr>
            </w:pPr>
            <w:r w:rsidRPr="007434DA">
              <w:rPr>
                <w:b/>
                <w:bCs/>
                <w:sz w:val="20"/>
              </w:rPr>
              <w:t>6/kukuřice</w:t>
            </w:r>
          </w:p>
        </w:tc>
        <w:tc>
          <w:tcPr>
            <w:tcW w:w="2977" w:type="dxa"/>
            <w:tcBorders>
              <w:top w:val="single" w:sz="4" w:space="0" w:color="auto"/>
              <w:left w:val="single" w:sz="4" w:space="0" w:color="auto"/>
              <w:bottom w:val="single" w:sz="4" w:space="0" w:color="auto"/>
              <w:right w:val="single" w:sz="4" w:space="0" w:color="auto"/>
            </w:tcBorders>
            <w:hideMark/>
          </w:tcPr>
          <w:p w14:paraId="3F5C338F" w14:textId="77777777" w:rsidR="00CB2594" w:rsidRPr="007434DA" w:rsidRDefault="00CB2594" w:rsidP="004A57B3">
            <w:pPr>
              <w:rPr>
                <w:b/>
                <w:bCs/>
                <w:sz w:val="20"/>
              </w:rPr>
            </w:pPr>
            <w:r w:rsidRPr="007434DA">
              <w:rPr>
                <w:b/>
                <w:bCs/>
                <w:sz w:val="20"/>
              </w:rPr>
              <w:t>terbuthylazin a jeho metabolity</w:t>
            </w:r>
          </w:p>
        </w:tc>
        <w:tc>
          <w:tcPr>
            <w:tcW w:w="1292" w:type="dxa"/>
            <w:tcBorders>
              <w:top w:val="single" w:sz="4" w:space="0" w:color="auto"/>
              <w:left w:val="single" w:sz="4" w:space="0" w:color="auto"/>
              <w:bottom w:val="single" w:sz="4" w:space="0" w:color="auto"/>
              <w:right w:val="single" w:sz="4" w:space="0" w:color="auto"/>
            </w:tcBorders>
            <w:noWrap/>
            <w:hideMark/>
          </w:tcPr>
          <w:p w14:paraId="4F32C9D8" w14:textId="77777777" w:rsidR="00CB2594" w:rsidRPr="007434DA" w:rsidRDefault="00CB2594" w:rsidP="004A57B3">
            <w:pPr>
              <w:rPr>
                <w:sz w:val="20"/>
              </w:rPr>
            </w:pPr>
            <w:r w:rsidRPr="007434DA">
              <w:rPr>
                <w:sz w:val="20"/>
              </w:rPr>
              <w:t>1367</w:t>
            </w:r>
          </w:p>
        </w:tc>
        <w:tc>
          <w:tcPr>
            <w:tcW w:w="1224" w:type="dxa"/>
            <w:gridSpan w:val="2"/>
            <w:tcBorders>
              <w:top w:val="single" w:sz="4" w:space="0" w:color="auto"/>
              <w:left w:val="single" w:sz="4" w:space="0" w:color="auto"/>
              <w:bottom w:val="single" w:sz="4" w:space="0" w:color="auto"/>
              <w:right w:val="single" w:sz="4" w:space="0" w:color="auto"/>
            </w:tcBorders>
            <w:noWrap/>
            <w:hideMark/>
          </w:tcPr>
          <w:p w14:paraId="6A763597" w14:textId="77777777" w:rsidR="00CB2594" w:rsidRPr="007434DA" w:rsidRDefault="00CB2594" w:rsidP="004A57B3">
            <w:pPr>
              <w:rPr>
                <w:sz w:val="20"/>
              </w:rPr>
            </w:pPr>
            <w:r w:rsidRPr="007434DA">
              <w:rPr>
                <w:sz w:val="20"/>
              </w:rPr>
              <w:t>0.51</w:t>
            </w:r>
          </w:p>
        </w:tc>
        <w:tc>
          <w:tcPr>
            <w:tcW w:w="865" w:type="dxa"/>
            <w:tcBorders>
              <w:top w:val="single" w:sz="4" w:space="0" w:color="auto"/>
              <w:left w:val="single" w:sz="4" w:space="0" w:color="auto"/>
              <w:bottom w:val="single" w:sz="4" w:space="0" w:color="auto"/>
              <w:right w:val="single" w:sz="4" w:space="0" w:color="auto"/>
            </w:tcBorders>
            <w:noWrap/>
            <w:hideMark/>
          </w:tcPr>
          <w:p w14:paraId="53F2BEB1" w14:textId="77777777" w:rsidR="00CB2594" w:rsidRPr="007434DA" w:rsidRDefault="00CB2594" w:rsidP="004A57B3">
            <w:pPr>
              <w:rPr>
                <w:sz w:val="20"/>
              </w:rPr>
            </w:pPr>
            <w:r w:rsidRPr="007434DA">
              <w:rPr>
                <w:sz w:val="20"/>
              </w:rPr>
              <w:t>0.15</w:t>
            </w:r>
          </w:p>
        </w:tc>
        <w:tc>
          <w:tcPr>
            <w:tcW w:w="1121" w:type="dxa"/>
            <w:tcBorders>
              <w:top w:val="single" w:sz="4" w:space="0" w:color="auto"/>
              <w:left w:val="single" w:sz="4" w:space="0" w:color="auto"/>
              <w:bottom w:val="single" w:sz="4" w:space="0" w:color="auto"/>
              <w:right w:val="single" w:sz="4" w:space="0" w:color="auto"/>
            </w:tcBorders>
            <w:noWrap/>
            <w:hideMark/>
          </w:tcPr>
          <w:p w14:paraId="228A682A" w14:textId="77777777" w:rsidR="00CB2594" w:rsidRPr="007434DA" w:rsidRDefault="00CB2594" w:rsidP="004A57B3">
            <w:pPr>
              <w:rPr>
                <w:sz w:val="20"/>
              </w:rPr>
            </w:pPr>
            <w:r w:rsidRPr="007434DA">
              <w:rPr>
                <w:sz w:val="20"/>
              </w:rPr>
              <w:t>6.272</w:t>
            </w:r>
          </w:p>
        </w:tc>
      </w:tr>
    </w:tbl>
    <w:p w14:paraId="5B65CFC7" w14:textId="77777777" w:rsidR="00CB2594" w:rsidRPr="007434DA" w:rsidRDefault="00CB2594" w:rsidP="004D7454">
      <w:pPr>
        <w:pStyle w:val="UZEINormaln"/>
      </w:pPr>
      <w:r w:rsidRPr="007434DA">
        <w:t>V tabulce A1 jsou uvedena data za sumy účinných látek a jejich metabolitů (sumy jsou prostý součet naměřených koncentrací ve vzorku, pro výpočet sumárních koncentrací byl aplikován §11 odst. 3 vyhlášky č. 98/2011 Sb. tj. do výpočtu vstupovaly hodnoty pod mezí stanovitelnosti jako hodnota nula). K výsledné sumě koncentrací nejvíce přispívají metabolity, koncentrace samotných účinných látek v podzemních vodách jsou obvykle nízké.</w:t>
      </w:r>
    </w:p>
    <w:p w14:paraId="6BE0E50D" w14:textId="77777777" w:rsidR="00CB2594" w:rsidRPr="007434DA" w:rsidRDefault="00CB2594" w:rsidP="00CB2594">
      <w:pPr>
        <w:rPr>
          <w:rFonts w:cs="Times New Roman"/>
          <w:b/>
          <w:sz w:val="20"/>
          <w:szCs w:val="20"/>
          <w:lang w:val="cs-CZ"/>
        </w:rPr>
      </w:pPr>
      <w:r w:rsidRPr="007434DA">
        <w:rPr>
          <w:rFonts w:cs="Times New Roman"/>
          <w:b/>
          <w:sz w:val="20"/>
          <w:szCs w:val="20"/>
          <w:lang w:val="cs-CZ"/>
        </w:rPr>
        <w:t>Tabulka A2 Výskyt posuzovaných látek* v podzemních vodách ČR v období 2014-2018 letech (zdroj ČHMÚ)</w:t>
      </w:r>
    </w:p>
    <w:tbl>
      <w:tblPr>
        <w:tblStyle w:val="Mkatabulky"/>
        <w:tblW w:w="9324" w:type="dxa"/>
        <w:tblLayout w:type="fixed"/>
        <w:tblLook w:val="04A0" w:firstRow="1" w:lastRow="0" w:firstColumn="1" w:lastColumn="0" w:noHBand="0" w:noVBand="1"/>
      </w:tblPr>
      <w:tblGrid>
        <w:gridCol w:w="676"/>
        <w:gridCol w:w="1277"/>
        <w:gridCol w:w="1843"/>
        <w:gridCol w:w="1276"/>
        <w:gridCol w:w="1275"/>
        <w:gridCol w:w="1418"/>
        <w:gridCol w:w="1559"/>
      </w:tblGrid>
      <w:tr w:rsidR="00CB2594" w:rsidRPr="007434DA" w14:paraId="334D72FE" w14:textId="77777777" w:rsidTr="004A57B3">
        <w:trPr>
          <w:trHeight w:val="1092"/>
        </w:trPr>
        <w:tc>
          <w:tcPr>
            <w:tcW w:w="675" w:type="dxa"/>
            <w:tcBorders>
              <w:top w:val="single" w:sz="4" w:space="0" w:color="auto"/>
              <w:left w:val="single" w:sz="4" w:space="0" w:color="auto"/>
              <w:bottom w:val="single" w:sz="4" w:space="0" w:color="auto"/>
              <w:right w:val="single" w:sz="4" w:space="0" w:color="auto"/>
            </w:tcBorders>
            <w:hideMark/>
          </w:tcPr>
          <w:p w14:paraId="2DC002CF" w14:textId="77777777" w:rsidR="00CB2594" w:rsidRPr="007434DA" w:rsidRDefault="00CB2594" w:rsidP="004A57B3">
            <w:pPr>
              <w:rPr>
                <w:b/>
                <w:bCs/>
                <w:sz w:val="20"/>
              </w:rPr>
            </w:pPr>
            <w:r w:rsidRPr="007434DA">
              <w:rPr>
                <w:b/>
                <w:bCs/>
                <w:sz w:val="20"/>
              </w:rPr>
              <w:t>Rok</w:t>
            </w:r>
          </w:p>
        </w:tc>
        <w:tc>
          <w:tcPr>
            <w:tcW w:w="1276" w:type="dxa"/>
            <w:tcBorders>
              <w:top w:val="single" w:sz="4" w:space="0" w:color="auto"/>
              <w:left w:val="single" w:sz="4" w:space="0" w:color="auto"/>
              <w:bottom w:val="single" w:sz="4" w:space="0" w:color="auto"/>
              <w:right w:val="single" w:sz="4" w:space="0" w:color="auto"/>
            </w:tcBorders>
            <w:hideMark/>
          </w:tcPr>
          <w:p w14:paraId="3A388602" w14:textId="77777777" w:rsidR="00CB2594" w:rsidRPr="007434DA" w:rsidRDefault="00CB2594" w:rsidP="004A57B3">
            <w:pPr>
              <w:rPr>
                <w:b/>
                <w:bCs/>
                <w:sz w:val="20"/>
              </w:rPr>
            </w:pPr>
            <w:r w:rsidRPr="007434DA">
              <w:rPr>
                <w:b/>
                <w:bCs/>
                <w:sz w:val="20"/>
              </w:rPr>
              <w:t>Počet odebraných vzorků</w:t>
            </w:r>
          </w:p>
        </w:tc>
        <w:tc>
          <w:tcPr>
            <w:tcW w:w="1843" w:type="dxa"/>
            <w:tcBorders>
              <w:top w:val="single" w:sz="4" w:space="0" w:color="auto"/>
              <w:left w:val="single" w:sz="4" w:space="0" w:color="auto"/>
              <w:bottom w:val="single" w:sz="4" w:space="0" w:color="auto"/>
              <w:right w:val="single" w:sz="4" w:space="0" w:color="auto"/>
            </w:tcBorders>
            <w:hideMark/>
          </w:tcPr>
          <w:p w14:paraId="2579C728" w14:textId="77777777" w:rsidR="00CB2594" w:rsidRPr="007434DA" w:rsidRDefault="00CB2594" w:rsidP="004A57B3">
            <w:pPr>
              <w:rPr>
                <w:b/>
                <w:bCs/>
                <w:sz w:val="20"/>
              </w:rPr>
            </w:pPr>
            <w:r w:rsidRPr="007434DA">
              <w:rPr>
                <w:b/>
                <w:bCs/>
                <w:sz w:val="20"/>
              </w:rPr>
              <w:t>Bez výskytu reziduí - pod mezí stanovitelnosti (%)</w:t>
            </w:r>
          </w:p>
        </w:tc>
        <w:tc>
          <w:tcPr>
            <w:tcW w:w="1276" w:type="dxa"/>
            <w:tcBorders>
              <w:top w:val="single" w:sz="4" w:space="0" w:color="auto"/>
              <w:left w:val="single" w:sz="4" w:space="0" w:color="auto"/>
              <w:bottom w:val="single" w:sz="4" w:space="0" w:color="auto"/>
              <w:right w:val="single" w:sz="4" w:space="0" w:color="auto"/>
            </w:tcBorders>
            <w:hideMark/>
          </w:tcPr>
          <w:p w14:paraId="4BDA077F" w14:textId="77777777" w:rsidR="00CB2594" w:rsidRPr="007434DA" w:rsidRDefault="00CB2594" w:rsidP="004A57B3">
            <w:pPr>
              <w:rPr>
                <w:b/>
                <w:bCs/>
                <w:sz w:val="20"/>
              </w:rPr>
            </w:pPr>
            <w:r w:rsidRPr="007434DA">
              <w:rPr>
                <w:b/>
                <w:bCs/>
                <w:sz w:val="20"/>
              </w:rPr>
              <w:t>Nadlimitní výskyt nad 0,1 µg/l (%)</w:t>
            </w:r>
          </w:p>
        </w:tc>
        <w:tc>
          <w:tcPr>
            <w:tcW w:w="1275" w:type="dxa"/>
            <w:tcBorders>
              <w:top w:val="single" w:sz="4" w:space="0" w:color="auto"/>
              <w:left w:val="single" w:sz="4" w:space="0" w:color="auto"/>
              <w:bottom w:val="single" w:sz="4" w:space="0" w:color="auto"/>
              <w:right w:val="single" w:sz="4" w:space="0" w:color="auto"/>
            </w:tcBorders>
            <w:hideMark/>
          </w:tcPr>
          <w:p w14:paraId="065E754C" w14:textId="77777777" w:rsidR="00CB2594" w:rsidRPr="007434DA" w:rsidRDefault="00CB2594" w:rsidP="004A57B3">
            <w:pPr>
              <w:rPr>
                <w:b/>
                <w:bCs/>
                <w:sz w:val="20"/>
              </w:rPr>
            </w:pPr>
            <w:r w:rsidRPr="007434DA">
              <w:rPr>
                <w:b/>
                <w:bCs/>
                <w:sz w:val="20"/>
              </w:rPr>
              <w:t>Výskyt nad 1 µg/l (%)</w:t>
            </w:r>
          </w:p>
        </w:tc>
        <w:tc>
          <w:tcPr>
            <w:tcW w:w="1418" w:type="dxa"/>
            <w:tcBorders>
              <w:top w:val="single" w:sz="4" w:space="0" w:color="auto"/>
              <w:left w:val="single" w:sz="4" w:space="0" w:color="auto"/>
              <w:bottom w:val="single" w:sz="4" w:space="0" w:color="auto"/>
              <w:right w:val="single" w:sz="4" w:space="0" w:color="auto"/>
            </w:tcBorders>
            <w:hideMark/>
          </w:tcPr>
          <w:p w14:paraId="70C69622" w14:textId="77777777" w:rsidR="00CB2594" w:rsidRPr="007434DA" w:rsidRDefault="00CB2594" w:rsidP="004A57B3">
            <w:pPr>
              <w:rPr>
                <w:b/>
                <w:bCs/>
                <w:sz w:val="20"/>
              </w:rPr>
            </w:pPr>
            <w:r w:rsidRPr="007434DA">
              <w:rPr>
                <w:b/>
                <w:bCs/>
                <w:sz w:val="20"/>
              </w:rPr>
              <w:t>Výskyt v součtu nad 3 µg/l (%)</w:t>
            </w:r>
          </w:p>
        </w:tc>
        <w:tc>
          <w:tcPr>
            <w:tcW w:w="1559" w:type="dxa"/>
            <w:tcBorders>
              <w:top w:val="single" w:sz="4" w:space="0" w:color="auto"/>
              <w:left w:val="single" w:sz="4" w:space="0" w:color="auto"/>
              <w:bottom w:val="single" w:sz="4" w:space="0" w:color="auto"/>
              <w:right w:val="single" w:sz="4" w:space="0" w:color="auto"/>
            </w:tcBorders>
            <w:hideMark/>
          </w:tcPr>
          <w:p w14:paraId="0D7A9908" w14:textId="77777777" w:rsidR="00CB2594" w:rsidRPr="007434DA" w:rsidRDefault="00CB2594" w:rsidP="004A57B3">
            <w:pPr>
              <w:rPr>
                <w:b/>
                <w:bCs/>
                <w:sz w:val="20"/>
              </w:rPr>
            </w:pPr>
            <w:r w:rsidRPr="007434DA">
              <w:rPr>
                <w:b/>
                <w:bCs/>
                <w:sz w:val="20"/>
              </w:rPr>
              <w:t>Maximální počet látek nad limitem 0,1 µg/l (počet)</w:t>
            </w:r>
          </w:p>
        </w:tc>
      </w:tr>
      <w:tr w:rsidR="00CB2594" w:rsidRPr="007434DA" w14:paraId="2C4D83B4" w14:textId="77777777" w:rsidTr="004A57B3">
        <w:trPr>
          <w:trHeight w:val="340"/>
        </w:trPr>
        <w:tc>
          <w:tcPr>
            <w:tcW w:w="675" w:type="dxa"/>
            <w:tcBorders>
              <w:top w:val="single" w:sz="4" w:space="0" w:color="auto"/>
              <w:left w:val="single" w:sz="4" w:space="0" w:color="auto"/>
              <w:bottom w:val="single" w:sz="4" w:space="0" w:color="auto"/>
              <w:right w:val="single" w:sz="4" w:space="0" w:color="auto"/>
            </w:tcBorders>
            <w:noWrap/>
            <w:hideMark/>
          </w:tcPr>
          <w:p w14:paraId="3D413EC2" w14:textId="77777777" w:rsidR="00CB2594" w:rsidRPr="007434DA" w:rsidRDefault="00CB2594" w:rsidP="004A57B3">
            <w:pPr>
              <w:rPr>
                <w:b/>
                <w:bCs/>
                <w:sz w:val="20"/>
              </w:rPr>
            </w:pPr>
            <w:r w:rsidRPr="007434DA">
              <w:rPr>
                <w:b/>
                <w:bCs/>
                <w:sz w:val="20"/>
              </w:rPr>
              <w:t>2014</w:t>
            </w:r>
          </w:p>
        </w:tc>
        <w:tc>
          <w:tcPr>
            <w:tcW w:w="1276" w:type="dxa"/>
            <w:tcBorders>
              <w:top w:val="single" w:sz="4" w:space="0" w:color="auto"/>
              <w:left w:val="single" w:sz="4" w:space="0" w:color="auto"/>
              <w:bottom w:val="single" w:sz="4" w:space="0" w:color="auto"/>
              <w:right w:val="single" w:sz="4" w:space="0" w:color="auto"/>
            </w:tcBorders>
            <w:noWrap/>
            <w:hideMark/>
          </w:tcPr>
          <w:p w14:paraId="0B117312" w14:textId="77777777" w:rsidR="00CB2594" w:rsidRPr="007434DA" w:rsidRDefault="00CB2594" w:rsidP="004A57B3">
            <w:pPr>
              <w:ind w:right="231"/>
              <w:jc w:val="right"/>
              <w:rPr>
                <w:sz w:val="20"/>
              </w:rPr>
            </w:pPr>
            <w:r w:rsidRPr="007434DA">
              <w:rPr>
                <w:sz w:val="20"/>
              </w:rPr>
              <w:t>1323</w:t>
            </w:r>
          </w:p>
        </w:tc>
        <w:tc>
          <w:tcPr>
            <w:tcW w:w="1843" w:type="dxa"/>
            <w:tcBorders>
              <w:top w:val="single" w:sz="4" w:space="0" w:color="auto"/>
              <w:left w:val="single" w:sz="4" w:space="0" w:color="auto"/>
              <w:bottom w:val="single" w:sz="4" w:space="0" w:color="auto"/>
              <w:right w:val="single" w:sz="4" w:space="0" w:color="auto"/>
            </w:tcBorders>
            <w:noWrap/>
            <w:hideMark/>
          </w:tcPr>
          <w:p w14:paraId="37781DCE" w14:textId="77777777" w:rsidR="00CB2594" w:rsidRPr="007434DA" w:rsidRDefault="00CB2594" w:rsidP="004A57B3">
            <w:pPr>
              <w:ind w:right="231"/>
              <w:jc w:val="right"/>
              <w:rPr>
                <w:sz w:val="20"/>
              </w:rPr>
            </w:pPr>
            <w:r w:rsidRPr="007434DA">
              <w:rPr>
                <w:sz w:val="20"/>
              </w:rPr>
              <w:t>58.13</w:t>
            </w:r>
          </w:p>
        </w:tc>
        <w:tc>
          <w:tcPr>
            <w:tcW w:w="1276" w:type="dxa"/>
            <w:tcBorders>
              <w:top w:val="single" w:sz="4" w:space="0" w:color="auto"/>
              <w:left w:val="single" w:sz="4" w:space="0" w:color="auto"/>
              <w:bottom w:val="single" w:sz="4" w:space="0" w:color="auto"/>
              <w:right w:val="single" w:sz="4" w:space="0" w:color="auto"/>
            </w:tcBorders>
            <w:noWrap/>
            <w:hideMark/>
          </w:tcPr>
          <w:p w14:paraId="161C3E62" w14:textId="77777777" w:rsidR="00CB2594" w:rsidRPr="007434DA" w:rsidRDefault="00CB2594" w:rsidP="004A57B3">
            <w:pPr>
              <w:ind w:right="231"/>
              <w:jc w:val="right"/>
              <w:rPr>
                <w:sz w:val="20"/>
              </w:rPr>
            </w:pPr>
            <w:r w:rsidRPr="007434DA">
              <w:rPr>
                <w:sz w:val="20"/>
              </w:rPr>
              <w:t>31.75</w:t>
            </w:r>
          </w:p>
        </w:tc>
        <w:tc>
          <w:tcPr>
            <w:tcW w:w="1275" w:type="dxa"/>
            <w:tcBorders>
              <w:top w:val="single" w:sz="4" w:space="0" w:color="auto"/>
              <w:left w:val="single" w:sz="4" w:space="0" w:color="auto"/>
              <w:bottom w:val="single" w:sz="4" w:space="0" w:color="auto"/>
              <w:right w:val="single" w:sz="4" w:space="0" w:color="auto"/>
            </w:tcBorders>
            <w:noWrap/>
            <w:hideMark/>
          </w:tcPr>
          <w:p w14:paraId="5491E135" w14:textId="77777777" w:rsidR="00CB2594" w:rsidRPr="007434DA" w:rsidRDefault="00CB2594" w:rsidP="004A57B3">
            <w:pPr>
              <w:ind w:right="231"/>
              <w:jc w:val="right"/>
              <w:rPr>
                <w:sz w:val="20"/>
              </w:rPr>
            </w:pPr>
            <w:r w:rsidRPr="007434DA">
              <w:rPr>
                <w:sz w:val="20"/>
              </w:rPr>
              <w:t>10.43</w:t>
            </w:r>
          </w:p>
        </w:tc>
        <w:tc>
          <w:tcPr>
            <w:tcW w:w="1418" w:type="dxa"/>
            <w:tcBorders>
              <w:top w:val="single" w:sz="4" w:space="0" w:color="auto"/>
              <w:left w:val="single" w:sz="4" w:space="0" w:color="auto"/>
              <w:bottom w:val="single" w:sz="4" w:space="0" w:color="auto"/>
              <w:right w:val="single" w:sz="4" w:space="0" w:color="auto"/>
            </w:tcBorders>
            <w:noWrap/>
            <w:hideMark/>
          </w:tcPr>
          <w:p w14:paraId="7B79A383" w14:textId="77777777" w:rsidR="00CB2594" w:rsidRPr="007434DA" w:rsidRDefault="00CB2594" w:rsidP="004A57B3">
            <w:pPr>
              <w:ind w:right="231"/>
              <w:jc w:val="right"/>
              <w:rPr>
                <w:sz w:val="20"/>
              </w:rPr>
            </w:pPr>
            <w:r w:rsidRPr="007434DA">
              <w:rPr>
                <w:sz w:val="20"/>
              </w:rPr>
              <w:t>4.84</w:t>
            </w:r>
          </w:p>
        </w:tc>
        <w:tc>
          <w:tcPr>
            <w:tcW w:w="1559" w:type="dxa"/>
            <w:tcBorders>
              <w:top w:val="single" w:sz="4" w:space="0" w:color="auto"/>
              <w:left w:val="single" w:sz="4" w:space="0" w:color="auto"/>
              <w:bottom w:val="single" w:sz="4" w:space="0" w:color="auto"/>
              <w:right w:val="single" w:sz="4" w:space="0" w:color="auto"/>
            </w:tcBorders>
            <w:noWrap/>
            <w:hideMark/>
          </w:tcPr>
          <w:p w14:paraId="0482E310" w14:textId="77777777" w:rsidR="00CB2594" w:rsidRPr="007434DA" w:rsidRDefault="00CB2594" w:rsidP="004A57B3">
            <w:pPr>
              <w:ind w:right="231"/>
              <w:jc w:val="right"/>
              <w:rPr>
                <w:sz w:val="20"/>
              </w:rPr>
            </w:pPr>
            <w:r w:rsidRPr="007434DA">
              <w:rPr>
                <w:sz w:val="20"/>
              </w:rPr>
              <w:t>7</w:t>
            </w:r>
          </w:p>
        </w:tc>
      </w:tr>
      <w:tr w:rsidR="00CB2594" w:rsidRPr="007434DA" w14:paraId="5F5424ED" w14:textId="77777777" w:rsidTr="004A57B3">
        <w:trPr>
          <w:trHeight w:val="340"/>
        </w:trPr>
        <w:tc>
          <w:tcPr>
            <w:tcW w:w="675" w:type="dxa"/>
            <w:tcBorders>
              <w:top w:val="single" w:sz="4" w:space="0" w:color="auto"/>
              <w:left w:val="single" w:sz="4" w:space="0" w:color="auto"/>
              <w:bottom w:val="single" w:sz="4" w:space="0" w:color="auto"/>
              <w:right w:val="single" w:sz="4" w:space="0" w:color="auto"/>
            </w:tcBorders>
            <w:noWrap/>
            <w:hideMark/>
          </w:tcPr>
          <w:p w14:paraId="34C24E48" w14:textId="77777777" w:rsidR="00CB2594" w:rsidRPr="007434DA" w:rsidRDefault="00CB2594" w:rsidP="004A57B3">
            <w:pPr>
              <w:rPr>
                <w:b/>
                <w:bCs/>
                <w:sz w:val="20"/>
              </w:rPr>
            </w:pPr>
            <w:r w:rsidRPr="007434DA">
              <w:rPr>
                <w:b/>
                <w:bCs/>
                <w:sz w:val="20"/>
              </w:rPr>
              <w:t>2015</w:t>
            </w:r>
          </w:p>
        </w:tc>
        <w:tc>
          <w:tcPr>
            <w:tcW w:w="1276" w:type="dxa"/>
            <w:tcBorders>
              <w:top w:val="single" w:sz="4" w:space="0" w:color="auto"/>
              <w:left w:val="single" w:sz="4" w:space="0" w:color="auto"/>
              <w:bottom w:val="single" w:sz="4" w:space="0" w:color="auto"/>
              <w:right w:val="single" w:sz="4" w:space="0" w:color="auto"/>
            </w:tcBorders>
            <w:noWrap/>
            <w:hideMark/>
          </w:tcPr>
          <w:p w14:paraId="1D41FB59" w14:textId="77777777" w:rsidR="00CB2594" w:rsidRPr="007434DA" w:rsidRDefault="00CB2594" w:rsidP="004A57B3">
            <w:pPr>
              <w:ind w:right="231"/>
              <w:jc w:val="right"/>
              <w:rPr>
                <w:sz w:val="20"/>
              </w:rPr>
            </w:pPr>
            <w:r w:rsidRPr="007434DA">
              <w:rPr>
                <w:sz w:val="20"/>
              </w:rPr>
              <w:t>1317</w:t>
            </w:r>
          </w:p>
        </w:tc>
        <w:tc>
          <w:tcPr>
            <w:tcW w:w="1843" w:type="dxa"/>
            <w:tcBorders>
              <w:top w:val="single" w:sz="4" w:space="0" w:color="auto"/>
              <w:left w:val="single" w:sz="4" w:space="0" w:color="auto"/>
              <w:bottom w:val="single" w:sz="4" w:space="0" w:color="auto"/>
              <w:right w:val="single" w:sz="4" w:space="0" w:color="auto"/>
            </w:tcBorders>
            <w:noWrap/>
            <w:hideMark/>
          </w:tcPr>
          <w:p w14:paraId="07543AFC" w14:textId="77777777" w:rsidR="00CB2594" w:rsidRPr="007434DA" w:rsidRDefault="00CB2594" w:rsidP="004A57B3">
            <w:pPr>
              <w:ind w:right="231"/>
              <w:jc w:val="right"/>
              <w:rPr>
                <w:sz w:val="20"/>
              </w:rPr>
            </w:pPr>
            <w:r w:rsidRPr="007434DA">
              <w:rPr>
                <w:sz w:val="20"/>
              </w:rPr>
              <w:t>57.48</w:t>
            </w:r>
          </w:p>
        </w:tc>
        <w:tc>
          <w:tcPr>
            <w:tcW w:w="1276" w:type="dxa"/>
            <w:tcBorders>
              <w:top w:val="single" w:sz="4" w:space="0" w:color="auto"/>
              <w:left w:val="single" w:sz="4" w:space="0" w:color="auto"/>
              <w:bottom w:val="single" w:sz="4" w:space="0" w:color="auto"/>
              <w:right w:val="single" w:sz="4" w:space="0" w:color="auto"/>
            </w:tcBorders>
            <w:noWrap/>
            <w:hideMark/>
          </w:tcPr>
          <w:p w14:paraId="45678B1F" w14:textId="77777777" w:rsidR="00CB2594" w:rsidRPr="007434DA" w:rsidRDefault="00CB2594" w:rsidP="004A57B3">
            <w:pPr>
              <w:ind w:right="231"/>
              <w:jc w:val="right"/>
              <w:rPr>
                <w:sz w:val="20"/>
              </w:rPr>
            </w:pPr>
            <w:r w:rsidRPr="007434DA">
              <w:rPr>
                <w:sz w:val="20"/>
              </w:rPr>
              <w:t>32.80</w:t>
            </w:r>
          </w:p>
        </w:tc>
        <w:tc>
          <w:tcPr>
            <w:tcW w:w="1275" w:type="dxa"/>
            <w:tcBorders>
              <w:top w:val="single" w:sz="4" w:space="0" w:color="auto"/>
              <w:left w:val="single" w:sz="4" w:space="0" w:color="auto"/>
              <w:bottom w:val="single" w:sz="4" w:space="0" w:color="auto"/>
              <w:right w:val="single" w:sz="4" w:space="0" w:color="auto"/>
            </w:tcBorders>
            <w:noWrap/>
            <w:hideMark/>
          </w:tcPr>
          <w:p w14:paraId="3050F93B" w14:textId="77777777" w:rsidR="00CB2594" w:rsidRPr="007434DA" w:rsidRDefault="00CB2594" w:rsidP="004A57B3">
            <w:pPr>
              <w:ind w:right="231"/>
              <w:jc w:val="right"/>
              <w:rPr>
                <w:sz w:val="20"/>
              </w:rPr>
            </w:pPr>
            <w:r w:rsidRPr="007434DA">
              <w:rPr>
                <w:sz w:val="20"/>
              </w:rPr>
              <w:t>11.01</w:t>
            </w:r>
          </w:p>
        </w:tc>
        <w:tc>
          <w:tcPr>
            <w:tcW w:w="1418" w:type="dxa"/>
            <w:tcBorders>
              <w:top w:val="single" w:sz="4" w:space="0" w:color="auto"/>
              <w:left w:val="single" w:sz="4" w:space="0" w:color="auto"/>
              <w:bottom w:val="single" w:sz="4" w:space="0" w:color="auto"/>
              <w:right w:val="single" w:sz="4" w:space="0" w:color="auto"/>
            </w:tcBorders>
            <w:noWrap/>
            <w:hideMark/>
          </w:tcPr>
          <w:p w14:paraId="2D762586" w14:textId="77777777" w:rsidR="00CB2594" w:rsidRPr="007434DA" w:rsidRDefault="00CB2594" w:rsidP="004A57B3">
            <w:pPr>
              <w:ind w:right="231"/>
              <w:jc w:val="right"/>
              <w:rPr>
                <w:sz w:val="20"/>
              </w:rPr>
            </w:pPr>
            <w:r w:rsidRPr="007434DA">
              <w:rPr>
                <w:sz w:val="20"/>
              </w:rPr>
              <w:t>5.32</w:t>
            </w:r>
          </w:p>
        </w:tc>
        <w:tc>
          <w:tcPr>
            <w:tcW w:w="1559" w:type="dxa"/>
            <w:tcBorders>
              <w:top w:val="single" w:sz="4" w:space="0" w:color="auto"/>
              <w:left w:val="single" w:sz="4" w:space="0" w:color="auto"/>
              <w:bottom w:val="single" w:sz="4" w:space="0" w:color="auto"/>
              <w:right w:val="single" w:sz="4" w:space="0" w:color="auto"/>
            </w:tcBorders>
            <w:noWrap/>
            <w:hideMark/>
          </w:tcPr>
          <w:p w14:paraId="288A5E66" w14:textId="77777777" w:rsidR="00CB2594" w:rsidRPr="007434DA" w:rsidRDefault="00CB2594" w:rsidP="004A57B3">
            <w:pPr>
              <w:ind w:right="231"/>
              <w:jc w:val="right"/>
              <w:rPr>
                <w:sz w:val="20"/>
              </w:rPr>
            </w:pPr>
            <w:r w:rsidRPr="007434DA">
              <w:rPr>
                <w:sz w:val="20"/>
              </w:rPr>
              <w:t>7</w:t>
            </w:r>
          </w:p>
        </w:tc>
      </w:tr>
      <w:tr w:rsidR="00CB2594" w:rsidRPr="007434DA" w14:paraId="5564216D" w14:textId="77777777" w:rsidTr="004A57B3">
        <w:trPr>
          <w:trHeight w:val="340"/>
        </w:trPr>
        <w:tc>
          <w:tcPr>
            <w:tcW w:w="675" w:type="dxa"/>
            <w:tcBorders>
              <w:top w:val="single" w:sz="4" w:space="0" w:color="auto"/>
              <w:left w:val="single" w:sz="4" w:space="0" w:color="auto"/>
              <w:bottom w:val="single" w:sz="4" w:space="0" w:color="auto"/>
              <w:right w:val="single" w:sz="4" w:space="0" w:color="auto"/>
            </w:tcBorders>
            <w:noWrap/>
            <w:hideMark/>
          </w:tcPr>
          <w:p w14:paraId="3A1988F1" w14:textId="77777777" w:rsidR="00CB2594" w:rsidRPr="007434DA" w:rsidRDefault="00CB2594" w:rsidP="004A57B3">
            <w:pPr>
              <w:rPr>
                <w:b/>
                <w:bCs/>
                <w:sz w:val="20"/>
              </w:rPr>
            </w:pPr>
            <w:r w:rsidRPr="007434DA">
              <w:rPr>
                <w:b/>
                <w:bCs/>
                <w:sz w:val="20"/>
              </w:rPr>
              <w:t>2016</w:t>
            </w:r>
          </w:p>
        </w:tc>
        <w:tc>
          <w:tcPr>
            <w:tcW w:w="1276" w:type="dxa"/>
            <w:tcBorders>
              <w:top w:val="single" w:sz="4" w:space="0" w:color="auto"/>
              <w:left w:val="single" w:sz="4" w:space="0" w:color="auto"/>
              <w:bottom w:val="single" w:sz="4" w:space="0" w:color="auto"/>
              <w:right w:val="single" w:sz="4" w:space="0" w:color="auto"/>
            </w:tcBorders>
            <w:noWrap/>
            <w:hideMark/>
          </w:tcPr>
          <w:p w14:paraId="00A74E29" w14:textId="77777777" w:rsidR="00CB2594" w:rsidRPr="007434DA" w:rsidRDefault="00CB2594" w:rsidP="004A57B3">
            <w:pPr>
              <w:ind w:right="231"/>
              <w:jc w:val="right"/>
              <w:rPr>
                <w:sz w:val="20"/>
              </w:rPr>
            </w:pPr>
            <w:r w:rsidRPr="007434DA">
              <w:rPr>
                <w:sz w:val="20"/>
              </w:rPr>
              <w:t>1348</w:t>
            </w:r>
          </w:p>
        </w:tc>
        <w:tc>
          <w:tcPr>
            <w:tcW w:w="1843" w:type="dxa"/>
            <w:tcBorders>
              <w:top w:val="single" w:sz="4" w:space="0" w:color="auto"/>
              <w:left w:val="single" w:sz="4" w:space="0" w:color="auto"/>
              <w:bottom w:val="single" w:sz="4" w:space="0" w:color="auto"/>
              <w:right w:val="single" w:sz="4" w:space="0" w:color="auto"/>
            </w:tcBorders>
            <w:noWrap/>
            <w:hideMark/>
          </w:tcPr>
          <w:p w14:paraId="2D6E2EBF" w14:textId="77777777" w:rsidR="00CB2594" w:rsidRPr="007434DA" w:rsidRDefault="00CB2594" w:rsidP="004A57B3">
            <w:pPr>
              <w:ind w:right="231"/>
              <w:jc w:val="right"/>
              <w:rPr>
                <w:sz w:val="20"/>
              </w:rPr>
            </w:pPr>
            <w:r w:rsidRPr="007434DA">
              <w:rPr>
                <w:sz w:val="20"/>
              </w:rPr>
              <w:t>57.86</w:t>
            </w:r>
          </w:p>
        </w:tc>
        <w:tc>
          <w:tcPr>
            <w:tcW w:w="1276" w:type="dxa"/>
            <w:tcBorders>
              <w:top w:val="single" w:sz="4" w:space="0" w:color="auto"/>
              <w:left w:val="single" w:sz="4" w:space="0" w:color="auto"/>
              <w:bottom w:val="single" w:sz="4" w:space="0" w:color="auto"/>
              <w:right w:val="single" w:sz="4" w:space="0" w:color="auto"/>
            </w:tcBorders>
            <w:noWrap/>
            <w:hideMark/>
          </w:tcPr>
          <w:p w14:paraId="77042389" w14:textId="77777777" w:rsidR="00CB2594" w:rsidRPr="007434DA" w:rsidRDefault="00CB2594" w:rsidP="004A57B3">
            <w:pPr>
              <w:ind w:right="231"/>
              <w:jc w:val="right"/>
              <w:rPr>
                <w:sz w:val="20"/>
              </w:rPr>
            </w:pPr>
            <w:r w:rsidRPr="007434DA">
              <w:rPr>
                <w:sz w:val="20"/>
              </w:rPr>
              <w:t>34.72</w:t>
            </w:r>
          </w:p>
        </w:tc>
        <w:tc>
          <w:tcPr>
            <w:tcW w:w="1275" w:type="dxa"/>
            <w:tcBorders>
              <w:top w:val="single" w:sz="4" w:space="0" w:color="auto"/>
              <w:left w:val="single" w:sz="4" w:space="0" w:color="auto"/>
              <w:bottom w:val="single" w:sz="4" w:space="0" w:color="auto"/>
              <w:right w:val="single" w:sz="4" w:space="0" w:color="auto"/>
            </w:tcBorders>
            <w:noWrap/>
            <w:hideMark/>
          </w:tcPr>
          <w:p w14:paraId="74D4356A" w14:textId="77777777" w:rsidR="00CB2594" w:rsidRPr="007434DA" w:rsidRDefault="00CB2594" w:rsidP="004A57B3">
            <w:pPr>
              <w:ind w:right="231"/>
              <w:jc w:val="right"/>
              <w:rPr>
                <w:sz w:val="20"/>
              </w:rPr>
            </w:pPr>
            <w:r w:rsidRPr="007434DA">
              <w:rPr>
                <w:sz w:val="20"/>
              </w:rPr>
              <w:t>11.42</w:t>
            </w:r>
          </w:p>
        </w:tc>
        <w:tc>
          <w:tcPr>
            <w:tcW w:w="1418" w:type="dxa"/>
            <w:tcBorders>
              <w:top w:val="single" w:sz="4" w:space="0" w:color="auto"/>
              <w:left w:val="single" w:sz="4" w:space="0" w:color="auto"/>
              <w:bottom w:val="single" w:sz="4" w:space="0" w:color="auto"/>
              <w:right w:val="single" w:sz="4" w:space="0" w:color="auto"/>
            </w:tcBorders>
            <w:noWrap/>
            <w:hideMark/>
          </w:tcPr>
          <w:p w14:paraId="0C1228A9" w14:textId="77777777" w:rsidR="00CB2594" w:rsidRPr="007434DA" w:rsidRDefault="00CB2594" w:rsidP="004A57B3">
            <w:pPr>
              <w:ind w:right="231"/>
              <w:jc w:val="right"/>
              <w:rPr>
                <w:sz w:val="20"/>
              </w:rPr>
            </w:pPr>
            <w:r w:rsidRPr="007434DA">
              <w:rPr>
                <w:sz w:val="20"/>
              </w:rPr>
              <w:t>6.75</w:t>
            </w:r>
          </w:p>
        </w:tc>
        <w:tc>
          <w:tcPr>
            <w:tcW w:w="1559" w:type="dxa"/>
            <w:tcBorders>
              <w:top w:val="single" w:sz="4" w:space="0" w:color="auto"/>
              <w:left w:val="single" w:sz="4" w:space="0" w:color="auto"/>
              <w:bottom w:val="single" w:sz="4" w:space="0" w:color="auto"/>
              <w:right w:val="single" w:sz="4" w:space="0" w:color="auto"/>
            </w:tcBorders>
            <w:noWrap/>
            <w:hideMark/>
          </w:tcPr>
          <w:p w14:paraId="2FAE8654" w14:textId="77777777" w:rsidR="00CB2594" w:rsidRPr="007434DA" w:rsidRDefault="00CB2594" w:rsidP="004A57B3">
            <w:pPr>
              <w:ind w:right="231"/>
              <w:jc w:val="right"/>
              <w:rPr>
                <w:sz w:val="20"/>
              </w:rPr>
            </w:pPr>
            <w:r w:rsidRPr="007434DA">
              <w:rPr>
                <w:sz w:val="20"/>
              </w:rPr>
              <w:t>7</w:t>
            </w:r>
          </w:p>
        </w:tc>
      </w:tr>
      <w:tr w:rsidR="00CB2594" w:rsidRPr="007434DA" w14:paraId="25EEF72E" w14:textId="77777777" w:rsidTr="004A57B3">
        <w:trPr>
          <w:trHeight w:val="340"/>
        </w:trPr>
        <w:tc>
          <w:tcPr>
            <w:tcW w:w="675" w:type="dxa"/>
            <w:tcBorders>
              <w:top w:val="single" w:sz="4" w:space="0" w:color="auto"/>
              <w:left w:val="single" w:sz="4" w:space="0" w:color="auto"/>
              <w:bottom w:val="single" w:sz="4" w:space="0" w:color="auto"/>
              <w:right w:val="single" w:sz="4" w:space="0" w:color="auto"/>
            </w:tcBorders>
            <w:noWrap/>
            <w:hideMark/>
          </w:tcPr>
          <w:p w14:paraId="7D63356D" w14:textId="77777777" w:rsidR="00CB2594" w:rsidRPr="007434DA" w:rsidRDefault="00CB2594" w:rsidP="004A57B3">
            <w:pPr>
              <w:rPr>
                <w:b/>
                <w:bCs/>
                <w:sz w:val="20"/>
              </w:rPr>
            </w:pPr>
            <w:r w:rsidRPr="007434DA">
              <w:rPr>
                <w:b/>
                <w:bCs/>
                <w:sz w:val="20"/>
              </w:rPr>
              <w:t>2017</w:t>
            </w:r>
          </w:p>
        </w:tc>
        <w:tc>
          <w:tcPr>
            <w:tcW w:w="1276" w:type="dxa"/>
            <w:tcBorders>
              <w:top w:val="single" w:sz="4" w:space="0" w:color="auto"/>
              <w:left w:val="single" w:sz="4" w:space="0" w:color="auto"/>
              <w:bottom w:val="single" w:sz="4" w:space="0" w:color="auto"/>
              <w:right w:val="single" w:sz="4" w:space="0" w:color="auto"/>
            </w:tcBorders>
            <w:noWrap/>
            <w:hideMark/>
          </w:tcPr>
          <w:p w14:paraId="620586D7" w14:textId="77777777" w:rsidR="00CB2594" w:rsidRPr="007434DA" w:rsidRDefault="00CB2594" w:rsidP="004A57B3">
            <w:pPr>
              <w:ind w:right="231"/>
              <w:jc w:val="right"/>
              <w:rPr>
                <w:sz w:val="20"/>
              </w:rPr>
            </w:pPr>
            <w:r w:rsidRPr="007434DA">
              <w:rPr>
                <w:sz w:val="20"/>
              </w:rPr>
              <w:t>1367</w:t>
            </w:r>
          </w:p>
        </w:tc>
        <w:tc>
          <w:tcPr>
            <w:tcW w:w="1843" w:type="dxa"/>
            <w:tcBorders>
              <w:top w:val="single" w:sz="4" w:space="0" w:color="auto"/>
              <w:left w:val="single" w:sz="4" w:space="0" w:color="auto"/>
              <w:bottom w:val="single" w:sz="4" w:space="0" w:color="auto"/>
              <w:right w:val="single" w:sz="4" w:space="0" w:color="auto"/>
            </w:tcBorders>
            <w:noWrap/>
            <w:hideMark/>
          </w:tcPr>
          <w:p w14:paraId="0912C3D8" w14:textId="77777777" w:rsidR="00CB2594" w:rsidRPr="007434DA" w:rsidRDefault="00CB2594" w:rsidP="004A57B3">
            <w:pPr>
              <w:ind w:right="231"/>
              <w:jc w:val="right"/>
              <w:rPr>
                <w:sz w:val="20"/>
              </w:rPr>
            </w:pPr>
            <w:r w:rsidRPr="007434DA">
              <w:rPr>
                <w:sz w:val="20"/>
              </w:rPr>
              <w:t>58.60</w:t>
            </w:r>
          </w:p>
        </w:tc>
        <w:tc>
          <w:tcPr>
            <w:tcW w:w="1276" w:type="dxa"/>
            <w:tcBorders>
              <w:top w:val="single" w:sz="4" w:space="0" w:color="auto"/>
              <w:left w:val="single" w:sz="4" w:space="0" w:color="auto"/>
              <w:bottom w:val="single" w:sz="4" w:space="0" w:color="auto"/>
              <w:right w:val="single" w:sz="4" w:space="0" w:color="auto"/>
            </w:tcBorders>
            <w:noWrap/>
            <w:hideMark/>
          </w:tcPr>
          <w:p w14:paraId="2FEFF1DD" w14:textId="77777777" w:rsidR="00CB2594" w:rsidRPr="007434DA" w:rsidRDefault="00CB2594" w:rsidP="004A57B3">
            <w:pPr>
              <w:ind w:right="231"/>
              <w:jc w:val="right"/>
              <w:rPr>
                <w:sz w:val="20"/>
              </w:rPr>
            </w:pPr>
            <w:r w:rsidRPr="007434DA">
              <w:rPr>
                <w:sz w:val="20"/>
              </w:rPr>
              <w:t>31.16</w:t>
            </w:r>
          </w:p>
        </w:tc>
        <w:tc>
          <w:tcPr>
            <w:tcW w:w="1275" w:type="dxa"/>
            <w:tcBorders>
              <w:top w:val="single" w:sz="4" w:space="0" w:color="auto"/>
              <w:left w:val="single" w:sz="4" w:space="0" w:color="auto"/>
              <w:bottom w:val="single" w:sz="4" w:space="0" w:color="auto"/>
              <w:right w:val="single" w:sz="4" w:space="0" w:color="auto"/>
            </w:tcBorders>
            <w:noWrap/>
            <w:hideMark/>
          </w:tcPr>
          <w:p w14:paraId="231E6E33" w14:textId="77777777" w:rsidR="00CB2594" w:rsidRPr="007434DA" w:rsidRDefault="00CB2594" w:rsidP="004A57B3">
            <w:pPr>
              <w:ind w:right="231"/>
              <w:jc w:val="right"/>
              <w:rPr>
                <w:sz w:val="20"/>
              </w:rPr>
            </w:pPr>
            <w:r w:rsidRPr="007434DA">
              <w:rPr>
                <w:sz w:val="20"/>
              </w:rPr>
              <w:t>9.80</w:t>
            </w:r>
          </w:p>
        </w:tc>
        <w:tc>
          <w:tcPr>
            <w:tcW w:w="1418" w:type="dxa"/>
            <w:tcBorders>
              <w:top w:val="single" w:sz="4" w:space="0" w:color="auto"/>
              <w:left w:val="single" w:sz="4" w:space="0" w:color="auto"/>
              <w:bottom w:val="single" w:sz="4" w:space="0" w:color="auto"/>
              <w:right w:val="single" w:sz="4" w:space="0" w:color="auto"/>
            </w:tcBorders>
            <w:noWrap/>
            <w:hideMark/>
          </w:tcPr>
          <w:p w14:paraId="617655DE" w14:textId="77777777" w:rsidR="00CB2594" w:rsidRPr="007434DA" w:rsidRDefault="00CB2594" w:rsidP="004A57B3">
            <w:pPr>
              <w:ind w:right="231"/>
              <w:jc w:val="right"/>
              <w:rPr>
                <w:sz w:val="20"/>
              </w:rPr>
            </w:pPr>
            <w:r w:rsidRPr="007434DA">
              <w:rPr>
                <w:sz w:val="20"/>
              </w:rPr>
              <w:t>4.90</w:t>
            </w:r>
          </w:p>
        </w:tc>
        <w:tc>
          <w:tcPr>
            <w:tcW w:w="1559" w:type="dxa"/>
            <w:tcBorders>
              <w:top w:val="single" w:sz="4" w:space="0" w:color="auto"/>
              <w:left w:val="single" w:sz="4" w:space="0" w:color="auto"/>
              <w:bottom w:val="single" w:sz="4" w:space="0" w:color="auto"/>
              <w:right w:val="single" w:sz="4" w:space="0" w:color="auto"/>
            </w:tcBorders>
            <w:noWrap/>
            <w:hideMark/>
          </w:tcPr>
          <w:p w14:paraId="13C92075" w14:textId="77777777" w:rsidR="00CB2594" w:rsidRPr="007434DA" w:rsidRDefault="00CB2594" w:rsidP="004A57B3">
            <w:pPr>
              <w:ind w:right="231"/>
              <w:jc w:val="right"/>
              <w:rPr>
                <w:sz w:val="20"/>
              </w:rPr>
            </w:pPr>
            <w:r w:rsidRPr="007434DA">
              <w:rPr>
                <w:sz w:val="20"/>
              </w:rPr>
              <w:t>9</w:t>
            </w:r>
          </w:p>
        </w:tc>
      </w:tr>
      <w:tr w:rsidR="00CB2594" w:rsidRPr="007434DA" w14:paraId="44745E4C" w14:textId="77777777" w:rsidTr="004A57B3">
        <w:trPr>
          <w:trHeight w:val="340"/>
        </w:trPr>
        <w:tc>
          <w:tcPr>
            <w:tcW w:w="675" w:type="dxa"/>
            <w:tcBorders>
              <w:top w:val="single" w:sz="4" w:space="0" w:color="auto"/>
              <w:left w:val="single" w:sz="4" w:space="0" w:color="auto"/>
              <w:bottom w:val="single" w:sz="4" w:space="0" w:color="auto"/>
              <w:right w:val="single" w:sz="4" w:space="0" w:color="auto"/>
            </w:tcBorders>
            <w:noWrap/>
            <w:hideMark/>
          </w:tcPr>
          <w:p w14:paraId="5B8D6EE9" w14:textId="77777777" w:rsidR="00CB2594" w:rsidRPr="007434DA" w:rsidRDefault="00CB2594" w:rsidP="004A57B3">
            <w:pPr>
              <w:rPr>
                <w:b/>
                <w:bCs/>
                <w:sz w:val="20"/>
              </w:rPr>
            </w:pPr>
            <w:r w:rsidRPr="007434DA">
              <w:rPr>
                <w:b/>
                <w:bCs/>
                <w:sz w:val="20"/>
              </w:rPr>
              <w:t>2018</w:t>
            </w:r>
          </w:p>
        </w:tc>
        <w:tc>
          <w:tcPr>
            <w:tcW w:w="1276" w:type="dxa"/>
            <w:tcBorders>
              <w:top w:val="single" w:sz="4" w:space="0" w:color="auto"/>
              <w:left w:val="single" w:sz="4" w:space="0" w:color="auto"/>
              <w:bottom w:val="single" w:sz="4" w:space="0" w:color="auto"/>
              <w:right w:val="single" w:sz="4" w:space="0" w:color="auto"/>
            </w:tcBorders>
            <w:noWrap/>
            <w:hideMark/>
          </w:tcPr>
          <w:p w14:paraId="5BE4BA42" w14:textId="77777777" w:rsidR="00CB2594" w:rsidRPr="007434DA" w:rsidRDefault="00CB2594" w:rsidP="004A57B3">
            <w:pPr>
              <w:ind w:right="231"/>
              <w:jc w:val="right"/>
              <w:rPr>
                <w:sz w:val="20"/>
              </w:rPr>
            </w:pPr>
            <w:r w:rsidRPr="007434DA">
              <w:rPr>
                <w:sz w:val="20"/>
              </w:rPr>
              <w:t>1356</w:t>
            </w:r>
          </w:p>
        </w:tc>
        <w:tc>
          <w:tcPr>
            <w:tcW w:w="1843" w:type="dxa"/>
            <w:tcBorders>
              <w:top w:val="single" w:sz="4" w:space="0" w:color="auto"/>
              <w:left w:val="single" w:sz="4" w:space="0" w:color="auto"/>
              <w:bottom w:val="single" w:sz="4" w:space="0" w:color="auto"/>
              <w:right w:val="single" w:sz="4" w:space="0" w:color="auto"/>
            </w:tcBorders>
            <w:noWrap/>
            <w:hideMark/>
          </w:tcPr>
          <w:p w14:paraId="70CA591B" w14:textId="77777777" w:rsidR="00CB2594" w:rsidRPr="007434DA" w:rsidRDefault="00CB2594" w:rsidP="004A57B3">
            <w:pPr>
              <w:ind w:right="231"/>
              <w:jc w:val="right"/>
              <w:rPr>
                <w:sz w:val="20"/>
              </w:rPr>
            </w:pPr>
            <w:r w:rsidRPr="007434DA">
              <w:rPr>
                <w:sz w:val="20"/>
              </w:rPr>
              <w:t>57.23</w:t>
            </w:r>
          </w:p>
        </w:tc>
        <w:tc>
          <w:tcPr>
            <w:tcW w:w="1276" w:type="dxa"/>
            <w:tcBorders>
              <w:top w:val="single" w:sz="4" w:space="0" w:color="auto"/>
              <w:left w:val="single" w:sz="4" w:space="0" w:color="auto"/>
              <w:bottom w:val="single" w:sz="4" w:space="0" w:color="auto"/>
              <w:right w:val="single" w:sz="4" w:space="0" w:color="auto"/>
            </w:tcBorders>
            <w:noWrap/>
            <w:hideMark/>
          </w:tcPr>
          <w:p w14:paraId="1DC94690" w14:textId="77777777" w:rsidR="00CB2594" w:rsidRPr="007434DA" w:rsidRDefault="00CB2594" w:rsidP="004A57B3">
            <w:pPr>
              <w:ind w:right="231"/>
              <w:jc w:val="right"/>
              <w:rPr>
                <w:sz w:val="20"/>
              </w:rPr>
            </w:pPr>
            <w:r w:rsidRPr="007434DA">
              <w:rPr>
                <w:sz w:val="20"/>
              </w:rPr>
              <w:t>30.38</w:t>
            </w:r>
          </w:p>
        </w:tc>
        <w:tc>
          <w:tcPr>
            <w:tcW w:w="1275" w:type="dxa"/>
            <w:tcBorders>
              <w:top w:val="single" w:sz="4" w:space="0" w:color="auto"/>
              <w:left w:val="single" w:sz="4" w:space="0" w:color="auto"/>
              <w:bottom w:val="single" w:sz="4" w:space="0" w:color="auto"/>
              <w:right w:val="single" w:sz="4" w:space="0" w:color="auto"/>
            </w:tcBorders>
            <w:noWrap/>
            <w:hideMark/>
          </w:tcPr>
          <w:p w14:paraId="4DA4CF90" w14:textId="77777777" w:rsidR="00CB2594" w:rsidRPr="007434DA" w:rsidRDefault="00CB2594" w:rsidP="004A57B3">
            <w:pPr>
              <w:ind w:right="231"/>
              <w:jc w:val="right"/>
              <w:rPr>
                <w:sz w:val="20"/>
              </w:rPr>
            </w:pPr>
            <w:r w:rsidRPr="007434DA">
              <w:rPr>
                <w:sz w:val="20"/>
              </w:rPr>
              <w:t>9.81</w:t>
            </w:r>
          </w:p>
        </w:tc>
        <w:tc>
          <w:tcPr>
            <w:tcW w:w="1418" w:type="dxa"/>
            <w:tcBorders>
              <w:top w:val="single" w:sz="4" w:space="0" w:color="auto"/>
              <w:left w:val="single" w:sz="4" w:space="0" w:color="auto"/>
              <w:bottom w:val="single" w:sz="4" w:space="0" w:color="auto"/>
              <w:right w:val="single" w:sz="4" w:space="0" w:color="auto"/>
            </w:tcBorders>
            <w:noWrap/>
            <w:hideMark/>
          </w:tcPr>
          <w:p w14:paraId="46BBAB91" w14:textId="77777777" w:rsidR="00CB2594" w:rsidRPr="007434DA" w:rsidRDefault="00CB2594" w:rsidP="004A57B3">
            <w:pPr>
              <w:ind w:right="231"/>
              <w:jc w:val="right"/>
              <w:rPr>
                <w:sz w:val="20"/>
              </w:rPr>
            </w:pPr>
            <w:r w:rsidRPr="007434DA">
              <w:rPr>
                <w:sz w:val="20"/>
              </w:rPr>
              <w:t>5.16</w:t>
            </w:r>
          </w:p>
        </w:tc>
        <w:tc>
          <w:tcPr>
            <w:tcW w:w="1559" w:type="dxa"/>
            <w:tcBorders>
              <w:top w:val="single" w:sz="4" w:space="0" w:color="auto"/>
              <w:left w:val="single" w:sz="4" w:space="0" w:color="auto"/>
              <w:bottom w:val="single" w:sz="4" w:space="0" w:color="auto"/>
              <w:right w:val="single" w:sz="4" w:space="0" w:color="auto"/>
            </w:tcBorders>
            <w:noWrap/>
            <w:hideMark/>
          </w:tcPr>
          <w:p w14:paraId="28B1B4DE" w14:textId="77777777" w:rsidR="00CB2594" w:rsidRPr="007434DA" w:rsidRDefault="00CB2594" w:rsidP="004A57B3">
            <w:pPr>
              <w:ind w:right="231"/>
              <w:jc w:val="right"/>
              <w:rPr>
                <w:sz w:val="20"/>
              </w:rPr>
            </w:pPr>
            <w:r w:rsidRPr="007434DA">
              <w:rPr>
                <w:sz w:val="20"/>
              </w:rPr>
              <w:t>7</w:t>
            </w:r>
          </w:p>
        </w:tc>
      </w:tr>
    </w:tbl>
    <w:p w14:paraId="3F52658C" w14:textId="77777777" w:rsidR="00CB2594" w:rsidRPr="007434DA" w:rsidRDefault="00CB2594" w:rsidP="004D7454">
      <w:pPr>
        <w:pStyle w:val="UZEIZdroj"/>
        <w:rPr>
          <w:rFonts w:asciiTheme="minorHAnsi" w:hAnsiTheme="minorHAnsi"/>
        </w:rPr>
      </w:pPr>
      <w:r w:rsidRPr="007434DA">
        <w:rPr>
          <w:vertAlign w:val="superscript"/>
        </w:rPr>
        <w:t>*</w:t>
      </w:r>
      <w:r w:rsidRPr="007434DA">
        <w:t>Seznam posuzovaných látek (příslušné metabolity jsou uvedeny v závorkách):</w:t>
      </w:r>
    </w:p>
    <w:p w14:paraId="570E80D4" w14:textId="77777777" w:rsidR="00CB2594" w:rsidRPr="007434DA" w:rsidRDefault="00CB2594" w:rsidP="004D7454">
      <w:pPr>
        <w:pStyle w:val="UZEIZdroj"/>
      </w:pPr>
      <w:r w:rsidRPr="007434DA">
        <w:t>dimethachlor (dimethachlor ESA, dimethachlor OA), chloridazon (chloridazon desfenyl, chloridazon methyl desfenyl), clopyralid, metazachlor (metazachlor ESA, metazachlor OA), metolachlor (metolachlor ESA, metolachlor OA), terbuthylazin (terbuthylazin 2-hydroxy, terbuthylazin desethyl, terbuthylazin desethyl 2-hydroxy).</w:t>
      </w:r>
    </w:p>
    <w:p w14:paraId="62711E1B" w14:textId="77777777" w:rsidR="00CB2594" w:rsidRPr="007434DA" w:rsidRDefault="00CB2594" w:rsidP="004D7454">
      <w:pPr>
        <w:pStyle w:val="UZEINormaln"/>
      </w:pPr>
      <w:r w:rsidRPr="007434DA">
        <w:t>V tabulce A2 bylo provedeno zpracování následovně: Nadlimitní výskyt nad 0,1 µg/l (%) - uvedeno procento vzorků, kde alespoň jedna látka překročila koncentraci 0,1 µg/l. Výskyt nad 1 µg/l (%) - uvedeno procento vzorků, kde alespoň jedna látka překročila koncentraci 1 µg/l.</w:t>
      </w:r>
    </w:p>
    <w:p w14:paraId="289CCA87" w14:textId="77777777" w:rsidR="00CB2594" w:rsidRPr="007434DA" w:rsidRDefault="00CB2594" w:rsidP="004D7454">
      <w:pPr>
        <w:pStyle w:val="UZEINormaln"/>
      </w:pPr>
      <w:r w:rsidRPr="007434DA">
        <w:t xml:space="preserve">Výskyt v součtu nad 3 µg/l (%) - uvedeno procento vzorků, kde suma všech posuzovaných látek překročila koncentraci 3 µg/l(pro výpočet sumárních koncentrací do výpočtu vstupovaly hodnoty pod mezí stanovitelnosti jako hodnota nula). </w:t>
      </w:r>
    </w:p>
    <w:p w14:paraId="221252EB" w14:textId="77777777" w:rsidR="00CB2594" w:rsidRPr="007434DA" w:rsidRDefault="00CB2594" w:rsidP="004D7454">
      <w:pPr>
        <w:pStyle w:val="UZEINormaln"/>
      </w:pPr>
      <w:r w:rsidRPr="007434DA">
        <w:t>Na obrázcích A1 až A3 jsou uvedeny mapy s výskytem reziduí pesticidů v podzemní vodě a frekvence osevů plodin, ve kterých se tyto účinné látky herbicidů používají:</w:t>
      </w:r>
    </w:p>
    <w:p w14:paraId="5B69087F" w14:textId="77777777" w:rsidR="004D7454" w:rsidRPr="007434DA" w:rsidRDefault="004D7454" w:rsidP="00CB2594">
      <w:pPr>
        <w:rPr>
          <w:rFonts w:cs="Times New Roman"/>
          <w:b/>
          <w:sz w:val="20"/>
          <w:szCs w:val="20"/>
          <w:lang w:val="cs-CZ"/>
        </w:rPr>
      </w:pPr>
    </w:p>
    <w:p w14:paraId="7A86623D" w14:textId="77777777" w:rsidR="004D7454" w:rsidRPr="007434DA" w:rsidRDefault="004D7454" w:rsidP="00CB2594">
      <w:pPr>
        <w:rPr>
          <w:rFonts w:cs="Times New Roman"/>
          <w:b/>
          <w:sz w:val="20"/>
          <w:szCs w:val="20"/>
          <w:lang w:val="cs-CZ"/>
        </w:rPr>
      </w:pPr>
    </w:p>
    <w:p w14:paraId="414CBF20" w14:textId="77777777" w:rsidR="004D7454" w:rsidRPr="007434DA" w:rsidRDefault="004D7454" w:rsidP="00CB2594">
      <w:pPr>
        <w:rPr>
          <w:rFonts w:cs="Times New Roman"/>
          <w:b/>
          <w:sz w:val="20"/>
          <w:szCs w:val="20"/>
          <w:lang w:val="cs-CZ"/>
        </w:rPr>
      </w:pPr>
    </w:p>
    <w:p w14:paraId="7C42464F" w14:textId="77777777" w:rsidR="004D7454" w:rsidRPr="007434DA" w:rsidRDefault="004D7454" w:rsidP="00CB2594">
      <w:pPr>
        <w:rPr>
          <w:rFonts w:cs="Times New Roman"/>
          <w:b/>
          <w:sz w:val="20"/>
          <w:szCs w:val="20"/>
          <w:lang w:val="cs-CZ"/>
        </w:rPr>
      </w:pPr>
    </w:p>
    <w:p w14:paraId="576BA939" w14:textId="77777777" w:rsidR="004D7454" w:rsidRPr="007434DA" w:rsidRDefault="004D7454" w:rsidP="00CB2594">
      <w:pPr>
        <w:rPr>
          <w:rFonts w:cs="Times New Roman"/>
          <w:b/>
          <w:sz w:val="20"/>
          <w:szCs w:val="20"/>
          <w:lang w:val="cs-CZ"/>
        </w:rPr>
      </w:pPr>
    </w:p>
    <w:p w14:paraId="5678E11B" w14:textId="77777777" w:rsidR="004D7454" w:rsidRPr="007434DA" w:rsidRDefault="004D7454" w:rsidP="00CB2594">
      <w:pPr>
        <w:rPr>
          <w:rFonts w:cs="Times New Roman"/>
          <w:b/>
          <w:sz w:val="20"/>
          <w:szCs w:val="20"/>
          <w:lang w:val="cs-CZ"/>
        </w:rPr>
      </w:pPr>
    </w:p>
    <w:p w14:paraId="76495515" w14:textId="77777777" w:rsidR="004D7454" w:rsidRPr="007434DA" w:rsidRDefault="004D7454" w:rsidP="00CB2594">
      <w:pPr>
        <w:rPr>
          <w:rFonts w:cs="Times New Roman"/>
          <w:b/>
          <w:sz w:val="20"/>
          <w:szCs w:val="20"/>
          <w:lang w:val="cs-CZ"/>
        </w:rPr>
      </w:pPr>
    </w:p>
    <w:p w14:paraId="43BA6CAD" w14:textId="77777777" w:rsidR="004D7454" w:rsidRPr="007434DA" w:rsidRDefault="004D7454" w:rsidP="00CB2594">
      <w:pPr>
        <w:rPr>
          <w:rFonts w:cs="Times New Roman"/>
          <w:b/>
          <w:sz w:val="20"/>
          <w:szCs w:val="20"/>
          <w:lang w:val="cs-CZ"/>
        </w:rPr>
      </w:pPr>
    </w:p>
    <w:p w14:paraId="1F624D17" w14:textId="77777777" w:rsidR="004D7454" w:rsidRPr="007434DA" w:rsidRDefault="004D7454" w:rsidP="00CB2594">
      <w:pPr>
        <w:rPr>
          <w:rFonts w:cs="Times New Roman"/>
          <w:b/>
          <w:sz w:val="20"/>
          <w:szCs w:val="20"/>
          <w:lang w:val="cs-CZ"/>
        </w:rPr>
      </w:pPr>
    </w:p>
    <w:p w14:paraId="0338B8E5" w14:textId="77777777" w:rsidR="004D7454" w:rsidRPr="007434DA" w:rsidRDefault="004D7454" w:rsidP="00CB2594">
      <w:pPr>
        <w:rPr>
          <w:rFonts w:cs="Times New Roman"/>
          <w:b/>
          <w:sz w:val="20"/>
          <w:szCs w:val="20"/>
          <w:lang w:val="cs-CZ"/>
        </w:rPr>
      </w:pPr>
    </w:p>
    <w:p w14:paraId="25055FDE" w14:textId="77777777" w:rsidR="004D7454" w:rsidRPr="007434DA" w:rsidRDefault="004D7454" w:rsidP="00CB2594">
      <w:pPr>
        <w:rPr>
          <w:rFonts w:cs="Times New Roman"/>
          <w:b/>
          <w:sz w:val="20"/>
          <w:szCs w:val="20"/>
          <w:lang w:val="cs-CZ"/>
        </w:rPr>
      </w:pPr>
    </w:p>
    <w:p w14:paraId="38B297FE" w14:textId="77777777" w:rsidR="004D7454" w:rsidRPr="007434DA" w:rsidRDefault="004D7454" w:rsidP="00CB2594">
      <w:pPr>
        <w:rPr>
          <w:rFonts w:cs="Times New Roman"/>
          <w:b/>
          <w:sz w:val="20"/>
          <w:szCs w:val="20"/>
          <w:lang w:val="cs-CZ"/>
        </w:rPr>
      </w:pPr>
    </w:p>
    <w:p w14:paraId="12B4D310" w14:textId="77777777" w:rsidR="004D7454" w:rsidRPr="007434DA" w:rsidRDefault="004D7454" w:rsidP="00CB2594">
      <w:pPr>
        <w:rPr>
          <w:rFonts w:cs="Times New Roman"/>
          <w:b/>
          <w:sz w:val="20"/>
          <w:szCs w:val="20"/>
          <w:lang w:val="cs-CZ"/>
        </w:rPr>
      </w:pPr>
    </w:p>
    <w:p w14:paraId="4B4F79F1" w14:textId="77777777" w:rsidR="004D7454" w:rsidRPr="007434DA" w:rsidRDefault="004D7454" w:rsidP="00CB2594">
      <w:pPr>
        <w:rPr>
          <w:rFonts w:cs="Times New Roman"/>
          <w:b/>
          <w:sz w:val="20"/>
          <w:szCs w:val="20"/>
          <w:lang w:val="cs-CZ"/>
        </w:rPr>
      </w:pPr>
    </w:p>
    <w:p w14:paraId="546D33F5" w14:textId="77777777" w:rsidR="004D7454" w:rsidRPr="007434DA" w:rsidRDefault="004D7454" w:rsidP="00CB2594">
      <w:pPr>
        <w:rPr>
          <w:rFonts w:cs="Times New Roman"/>
          <w:b/>
          <w:sz w:val="20"/>
          <w:szCs w:val="20"/>
          <w:lang w:val="cs-CZ"/>
        </w:rPr>
      </w:pPr>
    </w:p>
    <w:p w14:paraId="4E70D9F1" w14:textId="77777777" w:rsidR="004D7454" w:rsidRPr="007434DA" w:rsidRDefault="004D7454" w:rsidP="00CB2594">
      <w:pPr>
        <w:rPr>
          <w:rFonts w:cs="Times New Roman"/>
          <w:b/>
          <w:sz w:val="20"/>
          <w:szCs w:val="20"/>
          <w:lang w:val="cs-CZ"/>
        </w:rPr>
      </w:pPr>
    </w:p>
    <w:p w14:paraId="0CA9FDA9" w14:textId="77777777" w:rsidR="004D7454" w:rsidRPr="007434DA" w:rsidRDefault="004D7454" w:rsidP="00CB2594">
      <w:pPr>
        <w:rPr>
          <w:rFonts w:cs="Times New Roman"/>
          <w:b/>
          <w:sz w:val="20"/>
          <w:szCs w:val="20"/>
          <w:lang w:val="cs-CZ"/>
        </w:rPr>
      </w:pPr>
    </w:p>
    <w:p w14:paraId="52F4BABB" w14:textId="77777777" w:rsidR="004D7454" w:rsidRPr="007434DA" w:rsidRDefault="004D7454" w:rsidP="00CB2594">
      <w:pPr>
        <w:rPr>
          <w:rFonts w:cs="Times New Roman"/>
          <w:b/>
          <w:sz w:val="20"/>
          <w:szCs w:val="20"/>
          <w:lang w:val="cs-CZ"/>
        </w:rPr>
      </w:pPr>
    </w:p>
    <w:p w14:paraId="22F3E3CE" w14:textId="77777777" w:rsidR="004D7454" w:rsidRPr="007434DA" w:rsidRDefault="004D7454" w:rsidP="00CB2594">
      <w:pPr>
        <w:rPr>
          <w:rFonts w:cs="Times New Roman"/>
          <w:b/>
          <w:sz w:val="20"/>
          <w:szCs w:val="20"/>
          <w:lang w:val="cs-CZ"/>
        </w:rPr>
      </w:pPr>
    </w:p>
    <w:p w14:paraId="530E214C" w14:textId="77777777" w:rsidR="004D7454" w:rsidRPr="007434DA" w:rsidRDefault="004D7454" w:rsidP="00CB2594">
      <w:pPr>
        <w:rPr>
          <w:rFonts w:cs="Times New Roman"/>
          <w:b/>
          <w:sz w:val="20"/>
          <w:szCs w:val="20"/>
          <w:lang w:val="cs-CZ"/>
        </w:rPr>
      </w:pPr>
    </w:p>
    <w:p w14:paraId="4FF924B4" w14:textId="77777777" w:rsidR="004D7454" w:rsidRPr="007434DA" w:rsidRDefault="004D7454" w:rsidP="00CB2594">
      <w:pPr>
        <w:rPr>
          <w:rFonts w:cs="Times New Roman"/>
          <w:b/>
          <w:sz w:val="20"/>
          <w:szCs w:val="20"/>
          <w:lang w:val="cs-CZ"/>
        </w:rPr>
      </w:pPr>
    </w:p>
    <w:p w14:paraId="10B032CE" w14:textId="60203E0B" w:rsidR="00CB2594" w:rsidRPr="007434DA" w:rsidRDefault="00CB2594" w:rsidP="00CB2594">
      <w:pPr>
        <w:rPr>
          <w:rFonts w:cs="Times New Roman"/>
          <w:b/>
          <w:i/>
          <w:sz w:val="20"/>
          <w:szCs w:val="20"/>
          <w:lang w:val="cs-CZ"/>
        </w:rPr>
      </w:pPr>
      <w:r w:rsidRPr="007434DA">
        <w:rPr>
          <w:rFonts w:cs="Times New Roman"/>
          <w:b/>
          <w:sz w:val="20"/>
          <w:szCs w:val="20"/>
          <w:lang w:val="cs-CZ"/>
        </w:rPr>
        <w:t>Obr. A1 Výskyt metazachloru a jeho metabolitů v podzemní vodě a frekvence osevů řepky v letech 2015 až 2017 letech (</w:t>
      </w:r>
      <w:r w:rsidRPr="007434DA">
        <w:rPr>
          <w:rFonts w:cs="Times New Roman"/>
          <w:b/>
          <w:i/>
          <w:sz w:val="20"/>
          <w:szCs w:val="20"/>
          <w:lang w:val="cs-CZ"/>
        </w:rPr>
        <w:t>zdroj ČHMÚ, výskyt plochy řepky ÚZEI)</w:t>
      </w:r>
    </w:p>
    <w:p w14:paraId="5299BCAF" w14:textId="77777777" w:rsidR="00CB2594" w:rsidRPr="007434DA" w:rsidRDefault="00CB2594" w:rsidP="00CB2594">
      <w:pPr>
        <w:rPr>
          <w:lang w:val="cs-CZ"/>
        </w:rPr>
      </w:pPr>
      <w:r w:rsidRPr="007434DA">
        <w:rPr>
          <w:noProof/>
          <w:lang w:val="cs-CZ" w:eastAsia="cs-CZ"/>
        </w:rPr>
        <w:drawing>
          <wp:inline distT="0" distB="0" distL="0" distR="0" wp14:anchorId="69593ED1" wp14:editId="15FB5C19">
            <wp:extent cx="5700409" cy="4033979"/>
            <wp:effectExtent l="0" t="0" r="1905" b="5080"/>
            <wp:docPr id="219175941" name="Obrázek 21" descr="C:\Users\kocourek\AppData\Local\Microsoft\Windows\Temporary Internet Files\Content.Outlook\VJEH9TIY\metazachlor_repka_15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721443" cy="4048864"/>
                    </a:xfrm>
                    <a:prstGeom prst="rect">
                      <a:avLst/>
                    </a:prstGeom>
                  </pic:spPr>
                </pic:pic>
              </a:graphicData>
            </a:graphic>
          </wp:inline>
        </w:drawing>
      </w:r>
    </w:p>
    <w:p w14:paraId="6EE87A16" w14:textId="77777777" w:rsidR="00CB2594" w:rsidRPr="007434DA" w:rsidRDefault="00CB2594" w:rsidP="00CB2594">
      <w:pPr>
        <w:rPr>
          <w:lang w:val="cs-CZ"/>
        </w:rPr>
      </w:pPr>
    </w:p>
    <w:p w14:paraId="0E395F53" w14:textId="77777777" w:rsidR="00CB2594" w:rsidRPr="007434DA" w:rsidRDefault="00CB2594" w:rsidP="00CB2594">
      <w:pPr>
        <w:rPr>
          <w:rFonts w:cs="Times New Roman"/>
          <w:b/>
          <w:sz w:val="20"/>
          <w:szCs w:val="20"/>
          <w:lang w:val="cs-CZ"/>
        </w:rPr>
      </w:pPr>
      <w:r w:rsidRPr="007434DA">
        <w:rPr>
          <w:rFonts w:cs="Times New Roman"/>
          <w:b/>
          <w:sz w:val="20"/>
          <w:szCs w:val="20"/>
          <w:lang w:val="cs-CZ"/>
        </w:rPr>
        <w:t>Obr. A2 Výskyt metolachoru a jeho metabolitů v podzemní vodě a frekvence osevů kukuřice v letech 2015 až 2017 letech (zdroj ČHMÚ, výskyt plochy kukuřice ÚZEI)</w:t>
      </w:r>
    </w:p>
    <w:p w14:paraId="4A0AB58A" w14:textId="77777777" w:rsidR="00CB2594" w:rsidRPr="007434DA" w:rsidRDefault="00CB2594" w:rsidP="00CB2594">
      <w:pPr>
        <w:rPr>
          <w:lang w:val="cs-CZ"/>
        </w:rPr>
      </w:pPr>
      <w:r w:rsidRPr="007434DA">
        <w:rPr>
          <w:noProof/>
          <w:lang w:val="cs-CZ" w:eastAsia="cs-CZ"/>
        </w:rPr>
        <w:drawing>
          <wp:inline distT="0" distB="0" distL="0" distR="0" wp14:anchorId="6697650B" wp14:editId="590C3EC5">
            <wp:extent cx="5760720" cy="4076659"/>
            <wp:effectExtent l="0" t="0" r="0" b="635"/>
            <wp:docPr id="1564532202" name="Obrázek 22" descr="C:\Users\kocourek\AppData\Local\Microsoft\Windows\Temporary Internet Files\Content.Outlook\VJEH9TIY\metolachlor_kukurice_15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2"/>
                    <pic:cNvPicPr/>
                  </pic:nvPicPr>
                  <pic:blipFill>
                    <a:blip r:embed="rId42">
                      <a:extLst>
                        <a:ext uri="{28A0092B-C50C-407E-A947-70E740481C1C}">
                          <a14:useLocalDpi xmlns:a14="http://schemas.microsoft.com/office/drawing/2010/main" val="0"/>
                        </a:ext>
                      </a:extLst>
                    </a:blip>
                    <a:stretch>
                      <a:fillRect/>
                    </a:stretch>
                  </pic:blipFill>
                  <pic:spPr>
                    <a:xfrm>
                      <a:off x="0" y="0"/>
                      <a:ext cx="5760720" cy="4076659"/>
                    </a:xfrm>
                    <a:prstGeom prst="rect">
                      <a:avLst/>
                    </a:prstGeom>
                  </pic:spPr>
                </pic:pic>
              </a:graphicData>
            </a:graphic>
          </wp:inline>
        </w:drawing>
      </w:r>
    </w:p>
    <w:p w14:paraId="05118E88" w14:textId="0D016DDD" w:rsidR="00CB2594" w:rsidRPr="007434DA" w:rsidRDefault="00CB2594" w:rsidP="00CB2594">
      <w:pPr>
        <w:rPr>
          <w:lang w:val="cs-CZ"/>
        </w:rPr>
      </w:pPr>
      <w:r w:rsidRPr="007434DA">
        <w:rPr>
          <w:lang w:val="cs-CZ"/>
        </w:rPr>
        <w:br w:type="page"/>
      </w:r>
      <w:r w:rsidRPr="007434DA">
        <w:rPr>
          <w:b/>
          <w:bCs/>
          <w:sz w:val="20"/>
          <w:szCs w:val="20"/>
          <w:lang w:val="cs-CZ"/>
        </w:rPr>
        <w:t>Obr. A3 Výskyt chloridazonu a jeho metabolitů v podzemní vodě a frekvence osevů cukrovky v letech 2015 až 2017 letech (zdroj ČHMÚ, výskyt plochy cukrovky ÚZEI)</w:t>
      </w:r>
    </w:p>
    <w:p w14:paraId="0D959D19" w14:textId="77777777" w:rsidR="00CB2594" w:rsidRPr="007434DA" w:rsidRDefault="00CB2594" w:rsidP="00CB2594">
      <w:pPr>
        <w:rPr>
          <w:b/>
          <w:lang w:val="cs-CZ"/>
        </w:rPr>
      </w:pPr>
      <w:r w:rsidRPr="007434DA">
        <w:rPr>
          <w:noProof/>
          <w:lang w:val="cs-CZ" w:eastAsia="cs-CZ"/>
        </w:rPr>
        <w:drawing>
          <wp:inline distT="0" distB="0" distL="0" distR="0" wp14:anchorId="45D0FB5C" wp14:editId="7D47D28F">
            <wp:extent cx="5760720" cy="4076659"/>
            <wp:effectExtent l="0" t="0" r="0" b="635"/>
            <wp:docPr id="501009712" name="Obrázek 24" descr="C:\Users\kocourek\AppData\Local\Microsoft\Windows\Temporary Internet Files\Content.Outlook\VJEH9TIY\chloridazon_cukrovka_15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4"/>
                    <pic:cNvPicPr/>
                  </pic:nvPicPr>
                  <pic:blipFill>
                    <a:blip r:embed="rId43">
                      <a:extLst>
                        <a:ext uri="{28A0092B-C50C-407E-A947-70E740481C1C}">
                          <a14:useLocalDpi xmlns:a14="http://schemas.microsoft.com/office/drawing/2010/main" val="0"/>
                        </a:ext>
                      </a:extLst>
                    </a:blip>
                    <a:stretch>
                      <a:fillRect/>
                    </a:stretch>
                  </pic:blipFill>
                  <pic:spPr>
                    <a:xfrm>
                      <a:off x="0" y="0"/>
                      <a:ext cx="5760720" cy="4076659"/>
                    </a:xfrm>
                    <a:prstGeom prst="rect">
                      <a:avLst/>
                    </a:prstGeom>
                  </pic:spPr>
                </pic:pic>
              </a:graphicData>
            </a:graphic>
          </wp:inline>
        </w:drawing>
      </w:r>
    </w:p>
    <w:p w14:paraId="3FB88992" w14:textId="0AE07A6D" w:rsidR="00CB2594" w:rsidRPr="007434DA" w:rsidRDefault="00CB2594" w:rsidP="00CB2594">
      <w:pPr>
        <w:rPr>
          <w:rFonts w:cs="Times New Roman"/>
          <w:b/>
          <w:sz w:val="20"/>
          <w:szCs w:val="20"/>
          <w:lang w:val="cs-CZ"/>
        </w:rPr>
      </w:pPr>
      <w:r w:rsidRPr="007434DA">
        <w:rPr>
          <w:rFonts w:cs="Times New Roman"/>
          <w:b/>
          <w:sz w:val="20"/>
          <w:szCs w:val="20"/>
          <w:lang w:val="cs-CZ"/>
        </w:rPr>
        <w:t>Tab. A3 Výskyt účinných látek přípravků na ochranu rostlin v kohoutové vodě za roky 2014 </w:t>
      </w:r>
      <w:r w:rsidRPr="007434DA">
        <w:rPr>
          <w:rFonts w:cs="Times New Roman"/>
          <w:b/>
          <w:sz w:val="20"/>
          <w:szCs w:val="20"/>
          <w:lang w:val="cs-CZ"/>
        </w:rPr>
        <w:noBreakHyphen/>
        <w:t xml:space="preserve">2017 letech </w:t>
      </w:r>
    </w:p>
    <w:p w14:paraId="28EAF350" w14:textId="6C8C9EFA" w:rsidR="00CB2594" w:rsidRPr="007434DA" w:rsidRDefault="00CB2594" w:rsidP="004D7454">
      <w:pPr>
        <w:rPr>
          <w:lang w:val="cs-CZ"/>
        </w:rPr>
      </w:pPr>
      <w:r w:rsidRPr="007434DA">
        <w:rPr>
          <w:noProof/>
          <w:lang w:val="cs-CZ" w:eastAsia="cs-CZ"/>
        </w:rPr>
        <w:drawing>
          <wp:inline distT="0" distB="0" distL="0" distR="0" wp14:anchorId="4765A57F" wp14:editId="218AC232">
            <wp:extent cx="6674213" cy="3762375"/>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675904" cy="3763328"/>
                    </a:xfrm>
                    <a:prstGeom prst="rect">
                      <a:avLst/>
                    </a:prstGeom>
                    <a:noFill/>
                    <a:ln>
                      <a:noFill/>
                    </a:ln>
                  </pic:spPr>
                </pic:pic>
              </a:graphicData>
            </a:graphic>
          </wp:inline>
        </w:drawing>
      </w:r>
      <w:r w:rsidRPr="007434DA">
        <w:rPr>
          <w:lang w:val="cs-CZ"/>
        </w:rPr>
        <w:t>Pod položkou „metolachlor“ od roku 2016 uvádíme již jen izomerovou formu S-metolachlor, která se jako činná látka v přípravcích používá. Laboratoře to většinou nejsou schopny rozlišit, jedná-li se o metolachlor nebo S-metolachlor, a uváděly tam dříve, „co je napadlo“, resp. obvykle metolachlor, i když se s největší pravděpodobností jednalo o S-metolachlor.</w:t>
      </w:r>
    </w:p>
    <w:p w14:paraId="73B60108" w14:textId="77777777" w:rsidR="004D7454" w:rsidRPr="007434DA" w:rsidRDefault="004D7454" w:rsidP="00CB2594">
      <w:pPr>
        <w:rPr>
          <w:rFonts w:cs="Times New Roman"/>
          <w:b/>
          <w:sz w:val="20"/>
          <w:szCs w:val="20"/>
          <w:lang w:val="cs-CZ"/>
        </w:rPr>
      </w:pPr>
    </w:p>
    <w:p w14:paraId="02C83BE6" w14:textId="3DEACC8D" w:rsidR="00CB2594" w:rsidRPr="007434DA" w:rsidRDefault="00CB2594" w:rsidP="00CB2594">
      <w:pPr>
        <w:rPr>
          <w:rFonts w:cs="Times New Roman"/>
          <w:b/>
          <w:sz w:val="20"/>
          <w:szCs w:val="20"/>
          <w:lang w:val="cs-CZ"/>
        </w:rPr>
      </w:pPr>
      <w:r w:rsidRPr="007434DA">
        <w:rPr>
          <w:rFonts w:cs="Times New Roman"/>
          <w:b/>
          <w:sz w:val="20"/>
          <w:szCs w:val="20"/>
          <w:lang w:val="cs-CZ"/>
        </w:rPr>
        <w:t>Obr. A 4 Nálezy pesticidů v povrchových vodách – počet nalezených látek -  2016 až 2017 (zdroj ČHMU)</w:t>
      </w:r>
    </w:p>
    <w:p w14:paraId="56AEA618" w14:textId="77777777" w:rsidR="00CB2594" w:rsidRPr="007434DA" w:rsidRDefault="00CB2594" w:rsidP="00CB2594">
      <w:pPr>
        <w:rPr>
          <w:lang w:val="cs-CZ"/>
        </w:rPr>
      </w:pPr>
      <w:r w:rsidRPr="007434DA">
        <w:rPr>
          <w:noProof/>
          <w:lang w:val="cs-CZ" w:eastAsia="cs-CZ"/>
        </w:rPr>
        <w:drawing>
          <wp:inline distT="0" distB="0" distL="0" distR="0" wp14:anchorId="6348AF76" wp14:editId="76801DA7">
            <wp:extent cx="5409352" cy="3531103"/>
            <wp:effectExtent l="0" t="0" r="1270" b="0"/>
            <wp:docPr id="1541885669" name="Picture 1" descr="Obsah obrázku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885669" name="Picture 1" descr="Obsah obrázku mapa&#10;&#10;Popis byl vytvořen automaticky"/>
                    <pic:cNvPicPr/>
                  </pic:nvPicPr>
                  <pic:blipFill>
                    <a:blip r:embed="rId45">
                      <a:extLst>
                        <a:ext uri="{28A0092B-C50C-407E-A947-70E740481C1C}">
                          <a14:useLocalDpi xmlns:a14="http://schemas.microsoft.com/office/drawing/2010/main" val="0"/>
                        </a:ext>
                      </a:extLst>
                    </a:blip>
                    <a:stretch>
                      <a:fillRect/>
                    </a:stretch>
                  </pic:blipFill>
                  <pic:spPr>
                    <a:xfrm>
                      <a:off x="0" y="0"/>
                      <a:ext cx="5409352" cy="3531103"/>
                    </a:xfrm>
                    <a:prstGeom prst="rect">
                      <a:avLst/>
                    </a:prstGeom>
                  </pic:spPr>
                </pic:pic>
              </a:graphicData>
            </a:graphic>
          </wp:inline>
        </w:drawing>
      </w:r>
    </w:p>
    <w:p w14:paraId="58B144A6" w14:textId="77777777" w:rsidR="00CB2594" w:rsidRPr="007434DA" w:rsidRDefault="00CB2594" w:rsidP="00CB2594">
      <w:pPr>
        <w:rPr>
          <w:rFonts w:cs="Times New Roman"/>
          <w:b/>
          <w:sz w:val="20"/>
          <w:szCs w:val="20"/>
          <w:lang w:val="cs-CZ"/>
        </w:rPr>
      </w:pPr>
      <w:r w:rsidRPr="007434DA">
        <w:rPr>
          <w:rFonts w:cs="Times New Roman"/>
          <w:b/>
          <w:sz w:val="20"/>
          <w:szCs w:val="20"/>
          <w:lang w:val="cs-CZ"/>
        </w:rPr>
        <w:t xml:space="preserve">Obr. A5 Nálezy pesticidů v podzemních vodách – počet nalezených látek -  2016 až 2017 </w:t>
      </w:r>
    </w:p>
    <w:p w14:paraId="23A36980" w14:textId="77777777" w:rsidR="00CB2594" w:rsidRPr="007434DA" w:rsidRDefault="00CB2594" w:rsidP="00CB2594">
      <w:pPr>
        <w:rPr>
          <w:rFonts w:cs="Times New Roman"/>
          <w:b/>
          <w:sz w:val="20"/>
          <w:szCs w:val="20"/>
          <w:lang w:val="cs-CZ"/>
        </w:rPr>
      </w:pPr>
      <w:r w:rsidRPr="007434DA">
        <w:rPr>
          <w:rFonts w:cs="Times New Roman"/>
          <w:b/>
          <w:sz w:val="20"/>
          <w:szCs w:val="20"/>
          <w:lang w:val="cs-CZ"/>
        </w:rPr>
        <w:t>(</w:t>
      </w:r>
      <w:r w:rsidRPr="007434DA">
        <w:rPr>
          <w:rFonts w:cs="Times New Roman"/>
          <w:b/>
          <w:i/>
          <w:sz w:val="20"/>
          <w:szCs w:val="20"/>
          <w:lang w:val="cs-CZ"/>
        </w:rPr>
        <w:t>Zdroj: ČHMU</w:t>
      </w:r>
      <w:r w:rsidRPr="007434DA">
        <w:rPr>
          <w:rFonts w:cs="Times New Roman"/>
          <w:b/>
          <w:sz w:val="20"/>
          <w:szCs w:val="20"/>
          <w:lang w:val="cs-CZ"/>
        </w:rPr>
        <w:t>)</w:t>
      </w:r>
    </w:p>
    <w:p w14:paraId="4F131B21" w14:textId="77777777" w:rsidR="00CB2594" w:rsidRPr="007434DA" w:rsidRDefault="00CB2594" w:rsidP="00CB2594">
      <w:pPr>
        <w:rPr>
          <w:lang w:val="cs-CZ"/>
        </w:rPr>
      </w:pPr>
    </w:p>
    <w:p w14:paraId="2B04B3B5" w14:textId="77777777" w:rsidR="00CB2594" w:rsidRPr="007434DA" w:rsidRDefault="00CB2594" w:rsidP="00CB2594">
      <w:pPr>
        <w:rPr>
          <w:lang w:val="cs-CZ"/>
        </w:rPr>
      </w:pPr>
      <w:r w:rsidRPr="007434DA">
        <w:rPr>
          <w:noProof/>
          <w:lang w:val="cs-CZ" w:eastAsia="cs-CZ"/>
        </w:rPr>
        <w:drawing>
          <wp:inline distT="0" distB="0" distL="0" distR="0" wp14:anchorId="2BFE7D11" wp14:editId="5D10B025">
            <wp:extent cx="5476876" cy="3695700"/>
            <wp:effectExtent l="0" t="0" r="9525" b="0"/>
            <wp:docPr id="1996869104" name="Picture 4" descr="Obsah obrázku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869104" name="Picture 4" descr="Obsah obrázku mapa&#10;&#10;Popis byl vytvořen automaticky"/>
                    <pic:cNvPicPr/>
                  </pic:nvPicPr>
                  <pic:blipFill>
                    <a:blip r:embed="rId46">
                      <a:extLst>
                        <a:ext uri="{28A0092B-C50C-407E-A947-70E740481C1C}">
                          <a14:useLocalDpi xmlns:a14="http://schemas.microsoft.com/office/drawing/2010/main" val="0"/>
                        </a:ext>
                      </a:extLst>
                    </a:blip>
                    <a:stretch>
                      <a:fillRect/>
                    </a:stretch>
                  </pic:blipFill>
                  <pic:spPr>
                    <a:xfrm>
                      <a:off x="0" y="0"/>
                      <a:ext cx="5476876" cy="3695700"/>
                    </a:xfrm>
                    <a:prstGeom prst="rect">
                      <a:avLst/>
                    </a:prstGeom>
                  </pic:spPr>
                </pic:pic>
              </a:graphicData>
            </a:graphic>
          </wp:inline>
        </w:drawing>
      </w:r>
    </w:p>
    <w:p w14:paraId="6E6EDDC0" w14:textId="77777777" w:rsidR="00CB2594" w:rsidRPr="007434DA" w:rsidRDefault="00CB2594" w:rsidP="00CB2594">
      <w:pPr>
        <w:rPr>
          <w:lang w:val="cs-CZ"/>
        </w:rPr>
      </w:pPr>
    </w:p>
    <w:p w14:paraId="2E3DF507" w14:textId="77777777" w:rsidR="00CB2594" w:rsidRPr="007434DA" w:rsidRDefault="00CB2594" w:rsidP="00CB2594">
      <w:pPr>
        <w:rPr>
          <w:lang w:val="cs-CZ"/>
        </w:rPr>
      </w:pPr>
    </w:p>
    <w:p w14:paraId="42DB294F" w14:textId="77777777" w:rsidR="00CB2594" w:rsidRPr="007434DA" w:rsidRDefault="00CB2594" w:rsidP="00CB2594">
      <w:pPr>
        <w:rPr>
          <w:rFonts w:cs="Times New Roman"/>
          <w:b/>
          <w:sz w:val="20"/>
          <w:szCs w:val="20"/>
          <w:lang w:val="cs-CZ"/>
        </w:rPr>
      </w:pPr>
      <w:r w:rsidRPr="007434DA">
        <w:rPr>
          <w:rFonts w:cs="Times New Roman"/>
          <w:b/>
          <w:sz w:val="20"/>
          <w:szCs w:val="20"/>
          <w:lang w:val="cs-CZ"/>
        </w:rPr>
        <w:t>Obr. A 6 Procento vzorků, v nichž byla překročen limit reziduí účinných látek pesticidů a jejich metabolitů pro pitnou vodu ve vztahu k výměře plodin, na které jsou tyto látky aplikovány</w:t>
      </w:r>
    </w:p>
    <w:p w14:paraId="6CCC8BCC" w14:textId="77777777" w:rsidR="00CB2594" w:rsidRPr="007434DA" w:rsidRDefault="00CB2594" w:rsidP="00CB2594">
      <w:pPr>
        <w:rPr>
          <w:rFonts w:cs="Times New Roman"/>
          <w:b/>
          <w:sz w:val="20"/>
          <w:szCs w:val="20"/>
          <w:lang w:val="cs-CZ"/>
        </w:rPr>
      </w:pPr>
      <w:r w:rsidRPr="007434DA">
        <w:rPr>
          <w:rFonts w:cs="Times New Roman"/>
          <w:b/>
          <w:sz w:val="20"/>
          <w:szCs w:val="20"/>
          <w:lang w:val="cs-CZ"/>
        </w:rPr>
        <w:t>(</w:t>
      </w:r>
      <w:r w:rsidRPr="007434DA">
        <w:rPr>
          <w:rFonts w:cs="Times New Roman"/>
          <w:b/>
          <w:i/>
          <w:sz w:val="20"/>
          <w:szCs w:val="20"/>
          <w:lang w:val="cs-CZ"/>
        </w:rPr>
        <w:t>Zdroj: ČHMU</w:t>
      </w:r>
      <w:r w:rsidRPr="007434DA">
        <w:rPr>
          <w:rFonts w:cs="Times New Roman"/>
          <w:b/>
          <w:sz w:val="20"/>
          <w:szCs w:val="20"/>
          <w:lang w:val="cs-CZ"/>
        </w:rPr>
        <w:t>)</w:t>
      </w:r>
    </w:p>
    <w:p w14:paraId="7E1BF19D" w14:textId="77777777" w:rsidR="00CB2594" w:rsidRPr="007434DA" w:rsidRDefault="00CB2594" w:rsidP="00CB2594">
      <w:pPr>
        <w:rPr>
          <w:b/>
          <w:lang w:val="cs-CZ"/>
        </w:rPr>
      </w:pPr>
      <w:r w:rsidRPr="007434DA">
        <w:rPr>
          <w:noProof/>
          <w:lang w:val="cs-CZ" w:eastAsia="cs-CZ"/>
        </w:rPr>
        <w:drawing>
          <wp:inline distT="0" distB="0" distL="0" distR="0" wp14:anchorId="64425368" wp14:editId="5F86A00F">
            <wp:extent cx="5585961" cy="3619500"/>
            <wp:effectExtent l="19050" t="19050" r="15240" b="19050"/>
            <wp:docPr id="3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yskyt_plodiny.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625570" cy="3645165"/>
                    </a:xfrm>
                    <a:prstGeom prst="rect">
                      <a:avLst/>
                    </a:prstGeom>
                    <a:ln>
                      <a:solidFill>
                        <a:sysClr val="windowText" lastClr="000000"/>
                      </a:solidFill>
                    </a:ln>
                  </pic:spPr>
                </pic:pic>
              </a:graphicData>
            </a:graphic>
          </wp:inline>
        </w:drawing>
      </w:r>
    </w:p>
    <w:p w14:paraId="11111271" w14:textId="77777777" w:rsidR="00CB2594" w:rsidRPr="007434DA" w:rsidRDefault="00CB2594" w:rsidP="00CB2594">
      <w:pPr>
        <w:rPr>
          <w:b/>
          <w:lang w:val="cs-CZ"/>
        </w:rPr>
      </w:pPr>
    </w:p>
    <w:p w14:paraId="56FD3D02" w14:textId="77777777" w:rsidR="00CB2594" w:rsidRPr="007434DA" w:rsidRDefault="00CB2594" w:rsidP="00CB2594">
      <w:pPr>
        <w:rPr>
          <w:b/>
          <w:lang w:val="cs-CZ"/>
        </w:rPr>
      </w:pPr>
    </w:p>
    <w:p w14:paraId="2CB82DD1" w14:textId="382C6A3C" w:rsidR="00CB2594" w:rsidRPr="007434DA" w:rsidRDefault="00CB2594" w:rsidP="00E83BA0">
      <w:pPr>
        <w:rPr>
          <w:rFonts w:cs="Times New Roman"/>
          <w:b/>
          <w:sz w:val="20"/>
          <w:szCs w:val="20"/>
          <w:lang w:val="cs-CZ"/>
        </w:rPr>
      </w:pPr>
      <w:r w:rsidRPr="007434DA">
        <w:rPr>
          <w:rFonts w:cs="Times New Roman"/>
          <w:b/>
          <w:sz w:val="20"/>
          <w:szCs w:val="20"/>
          <w:lang w:val="cs-CZ"/>
        </w:rPr>
        <w:t xml:space="preserve">Obr. A 7 Dynamika vyplavování  chloracetamidových herbicidů do povrchových vod </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3"/>
        <w:gridCol w:w="4528"/>
      </w:tblGrid>
      <w:tr w:rsidR="00CB2594" w:rsidRPr="007434DA" w14:paraId="1514D168" w14:textId="77777777" w:rsidTr="00E83BA0">
        <w:tc>
          <w:tcPr>
            <w:tcW w:w="4543" w:type="dxa"/>
          </w:tcPr>
          <w:p w14:paraId="30C27ED9" w14:textId="77777777" w:rsidR="00CB2594" w:rsidRPr="007434DA" w:rsidRDefault="00CB2594" w:rsidP="004A57B3">
            <w:r w:rsidRPr="007434DA">
              <w:rPr>
                <w:noProof/>
              </w:rPr>
              <w:drawing>
                <wp:inline distT="0" distB="0" distL="0" distR="0" wp14:anchorId="4AB75323" wp14:editId="75FD50EF">
                  <wp:extent cx="2710543" cy="1400148"/>
                  <wp:effectExtent l="0" t="0" r="0" b="0"/>
                  <wp:docPr id="4836876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710543" cy="1400148"/>
                          </a:xfrm>
                          <a:prstGeom prst="rect">
                            <a:avLst/>
                          </a:prstGeom>
                        </pic:spPr>
                      </pic:pic>
                    </a:graphicData>
                  </a:graphic>
                </wp:inline>
              </w:drawing>
            </w:r>
          </w:p>
        </w:tc>
        <w:tc>
          <w:tcPr>
            <w:tcW w:w="4528" w:type="dxa"/>
          </w:tcPr>
          <w:p w14:paraId="30890F18" w14:textId="77777777" w:rsidR="00CB2594" w:rsidRPr="007434DA" w:rsidRDefault="00CB2594" w:rsidP="004A57B3">
            <w:r w:rsidRPr="007434DA">
              <w:rPr>
                <w:noProof/>
              </w:rPr>
              <w:drawing>
                <wp:inline distT="0" distB="0" distL="0" distR="0" wp14:anchorId="1216DE42" wp14:editId="12594027">
                  <wp:extent cx="2691882" cy="1398054"/>
                  <wp:effectExtent l="0" t="0" r="0" b="0"/>
                  <wp:docPr id="137202467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691882" cy="1398054"/>
                          </a:xfrm>
                          <a:prstGeom prst="rect">
                            <a:avLst/>
                          </a:prstGeom>
                        </pic:spPr>
                      </pic:pic>
                    </a:graphicData>
                  </a:graphic>
                </wp:inline>
              </w:drawing>
            </w:r>
          </w:p>
        </w:tc>
      </w:tr>
      <w:tr w:rsidR="00CB2594" w:rsidRPr="007434DA" w14:paraId="049A28DA" w14:textId="77777777" w:rsidTr="00E83BA0">
        <w:tc>
          <w:tcPr>
            <w:tcW w:w="4543" w:type="dxa"/>
          </w:tcPr>
          <w:p w14:paraId="5AB23369" w14:textId="77777777" w:rsidR="00CB2594" w:rsidRPr="007434DA" w:rsidRDefault="00CB2594" w:rsidP="004A57B3">
            <w:r w:rsidRPr="007434DA">
              <w:rPr>
                <w:noProof/>
              </w:rPr>
              <w:drawing>
                <wp:inline distT="0" distB="0" distL="0" distR="0" wp14:anchorId="04FED829" wp14:editId="3FB75504">
                  <wp:extent cx="2710543" cy="1406187"/>
                  <wp:effectExtent l="0" t="0" r="0" b="3810"/>
                  <wp:docPr id="75759886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710543" cy="1406187"/>
                          </a:xfrm>
                          <a:prstGeom prst="rect">
                            <a:avLst/>
                          </a:prstGeom>
                        </pic:spPr>
                      </pic:pic>
                    </a:graphicData>
                  </a:graphic>
                </wp:inline>
              </w:drawing>
            </w:r>
          </w:p>
        </w:tc>
        <w:tc>
          <w:tcPr>
            <w:tcW w:w="4528" w:type="dxa"/>
          </w:tcPr>
          <w:p w14:paraId="016B1891" w14:textId="77777777" w:rsidR="00CB2594" w:rsidRPr="007434DA" w:rsidRDefault="00CB2594" w:rsidP="004A57B3">
            <w:r w:rsidRPr="007434DA">
              <w:rPr>
                <w:noProof/>
              </w:rPr>
              <w:drawing>
                <wp:inline distT="0" distB="0" distL="0" distR="0" wp14:anchorId="7745562A" wp14:editId="3A076FAF">
                  <wp:extent cx="2692800" cy="1396800"/>
                  <wp:effectExtent l="0" t="0" r="0" b="0"/>
                  <wp:docPr id="21354636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692800" cy="1396800"/>
                          </a:xfrm>
                          <a:prstGeom prst="rect">
                            <a:avLst/>
                          </a:prstGeom>
                        </pic:spPr>
                      </pic:pic>
                    </a:graphicData>
                  </a:graphic>
                </wp:inline>
              </w:drawing>
            </w:r>
          </w:p>
        </w:tc>
      </w:tr>
    </w:tbl>
    <w:p w14:paraId="291DF330" w14:textId="1AF462A1" w:rsidR="00CB2594" w:rsidRPr="007434DA" w:rsidRDefault="00E83BA0" w:rsidP="00E83BA0">
      <w:pPr>
        <w:pStyle w:val="UZEIZdroj"/>
        <w:rPr>
          <w:b/>
        </w:rPr>
      </w:pPr>
      <w:r w:rsidRPr="007434DA">
        <w:t>(Zdroj: ČHMU)</w:t>
      </w:r>
    </w:p>
    <w:p w14:paraId="2741834E" w14:textId="77777777" w:rsidR="00E83BA0" w:rsidRPr="007434DA" w:rsidRDefault="00E83BA0" w:rsidP="00CB2594">
      <w:pPr>
        <w:rPr>
          <w:rFonts w:ascii="Arial" w:hAnsi="Arial" w:cs="Arial"/>
          <w:b/>
          <w:sz w:val="20"/>
          <w:szCs w:val="20"/>
          <w:lang w:val="cs-CZ"/>
        </w:rPr>
      </w:pPr>
    </w:p>
    <w:p w14:paraId="02814577" w14:textId="77777777" w:rsidR="00E83BA0" w:rsidRPr="007434DA" w:rsidRDefault="00E83BA0" w:rsidP="00CB2594">
      <w:pPr>
        <w:rPr>
          <w:rFonts w:ascii="Arial" w:hAnsi="Arial" w:cs="Arial"/>
          <w:b/>
          <w:sz w:val="20"/>
          <w:szCs w:val="20"/>
          <w:lang w:val="cs-CZ"/>
        </w:rPr>
      </w:pPr>
    </w:p>
    <w:p w14:paraId="618BD328" w14:textId="77777777" w:rsidR="00E83BA0" w:rsidRPr="007434DA" w:rsidRDefault="00E83BA0" w:rsidP="00CB2594">
      <w:pPr>
        <w:rPr>
          <w:rFonts w:ascii="Arial" w:hAnsi="Arial" w:cs="Arial"/>
          <w:b/>
          <w:sz w:val="20"/>
          <w:szCs w:val="20"/>
          <w:lang w:val="cs-CZ"/>
        </w:rPr>
      </w:pPr>
    </w:p>
    <w:p w14:paraId="7EEBCAA4" w14:textId="77777777" w:rsidR="00E83BA0" w:rsidRPr="007434DA" w:rsidRDefault="00E83BA0" w:rsidP="00CB2594">
      <w:pPr>
        <w:rPr>
          <w:rFonts w:ascii="Arial" w:hAnsi="Arial" w:cs="Arial"/>
          <w:b/>
          <w:sz w:val="20"/>
          <w:szCs w:val="20"/>
          <w:lang w:val="cs-CZ"/>
        </w:rPr>
      </w:pPr>
    </w:p>
    <w:p w14:paraId="7CC44CF4" w14:textId="77777777" w:rsidR="00E83BA0" w:rsidRPr="007434DA" w:rsidRDefault="00E83BA0" w:rsidP="00CB2594">
      <w:pPr>
        <w:rPr>
          <w:rFonts w:ascii="Arial" w:hAnsi="Arial" w:cs="Arial"/>
          <w:b/>
          <w:sz w:val="20"/>
          <w:szCs w:val="20"/>
          <w:lang w:val="cs-CZ"/>
        </w:rPr>
      </w:pPr>
    </w:p>
    <w:p w14:paraId="267AE7BC" w14:textId="77777777" w:rsidR="00E83BA0" w:rsidRPr="007434DA" w:rsidRDefault="00E83BA0" w:rsidP="00CB2594">
      <w:pPr>
        <w:rPr>
          <w:rFonts w:ascii="Arial" w:hAnsi="Arial" w:cs="Arial"/>
          <w:b/>
          <w:sz w:val="20"/>
          <w:szCs w:val="20"/>
          <w:lang w:val="cs-CZ"/>
        </w:rPr>
      </w:pPr>
    </w:p>
    <w:p w14:paraId="5B27060D" w14:textId="77777777" w:rsidR="00E83BA0" w:rsidRPr="007434DA" w:rsidRDefault="00E83BA0" w:rsidP="00CB2594">
      <w:pPr>
        <w:rPr>
          <w:rFonts w:ascii="Arial" w:hAnsi="Arial" w:cs="Arial"/>
          <w:b/>
          <w:sz w:val="20"/>
          <w:szCs w:val="20"/>
          <w:lang w:val="cs-CZ"/>
        </w:rPr>
      </w:pPr>
    </w:p>
    <w:p w14:paraId="7DED4BB2" w14:textId="77777777" w:rsidR="00E83BA0" w:rsidRPr="007434DA" w:rsidRDefault="00E83BA0" w:rsidP="00CB2594">
      <w:pPr>
        <w:rPr>
          <w:rFonts w:ascii="Arial" w:hAnsi="Arial" w:cs="Arial"/>
          <w:b/>
          <w:sz w:val="20"/>
          <w:szCs w:val="20"/>
          <w:lang w:val="cs-CZ"/>
        </w:rPr>
      </w:pPr>
    </w:p>
    <w:p w14:paraId="7D073C0D" w14:textId="032001AF" w:rsidR="00CB2594" w:rsidRPr="007434DA" w:rsidRDefault="00CB2594" w:rsidP="00CB2594">
      <w:pPr>
        <w:rPr>
          <w:rFonts w:cs="Times New Roman"/>
          <w:b/>
          <w:sz w:val="20"/>
          <w:szCs w:val="20"/>
          <w:lang w:val="cs-CZ"/>
        </w:rPr>
      </w:pPr>
      <w:r w:rsidRPr="007434DA">
        <w:rPr>
          <w:rFonts w:cs="Times New Roman"/>
          <w:b/>
          <w:sz w:val="20"/>
          <w:szCs w:val="20"/>
          <w:lang w:val="cs-CZ"/>
        </w:rPr>
        <w:t xml:space="preserve">Obr. A 8 Mobilita metolachloru v půdě na území ČR způsobená malou sorpcí v půdě </w:t>
      </w:r>
    </w:p>
    <w:p w14:paraId="6ED8FC7B" w14:textId="77777777" w:rsidR="00CB2594" w:rsidRPr="007434DA" w:rsidRDefault="00CB2594" w:rsidP="00CB2594">
      <w:pPr>
        <w:rPr>
          <w:rFonts w:cs="Times New Roman"/>
          <w:lang w:val="cs-CZ"/>
        </w:rPr>
      </w:pPr>
      <w:r w:rsidRPr="007434DA">
        <w:rPr>
          <w:rFonts w:cs="Times New Roman"/>
          <w:noProof/>
          <w:lang w:val="cs-CZ" w:eastAsia="cs-CZ"/>
        </w:rPr>
        <w:drawing>
          <wp:inline distT="0" distB="0" distL="0" distR="0" wp14:anchorId="4A54721A" wp14:editId="24AA2E02">
            <wp:extent cx="5433060" cy="3581400"/>
            <wp:effectExtent l="19050" t="19050" r="15240" b="19050"/>
            <wp:docPr id="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466553" cy="3603478"/>
                    </a:xfrm>
                    <a:prstGeom prst="rect">
                      <a:avLst/>
                    </a:prstGeom>
                    <a:noFill/>
                    <a:ln w="9525">
                      <a:solidFill>
                        <a:schemeClr val="tx1"/>
                      </a:solidFill>
                      <a:miter lim="800000"/>
                      <a:headEnd/>
                      <a:tailEnd/>
                    </a:ln>
                    <a:effectLst/>
                  </pic:spPr>
                </pic:pic>
              </a:graphicData>
            </a:graphic>
          </wp:inline>
        </w:drawing>
      </w:r>
    </w:p>
    <w:p w14:paraId="5F26A72F" w14:textId="77777777" w:rsidR="002A2482" w:rsidRPr="007434DA" w:rsidRDefault="002A2482" w:rsidP="002A2482">
      <w:pPr>
        <w:pStyle w:val="UZEIZdroj"/>
      </w:pPr>
      <w:r w:rsidRPr="007434DA">
        <w:t>(Zdroj: ČHMU)</w:t>
      </w:r>
    </w:p>
    <w:p w14:paraId="13DB4D06" w14:textId="77777777" w:rsidR="002A2482" w:rsidRPr="007434DA" w:rsidRDefault="002A2482" w:rsidP="00CB2594">
      <w:pPr>
        <w:rPr>
          <w:rFonts w:cs="Times New Roman"/>
          <w:b/>
          <w:sz w:val="20"/>
          <w:szCs w:val="20"/>
          <w:lang w:val="cs-CZ"/>
        </w:rPr>
      </w:pPr>
    </w:p>
    <w:p w14:paraId="155AE1F0" w14:textId="401910D2" w:rsidR="00CB2594" w:rsidRPr="007434DA" w:rsidRDefault="00CB2594" w:rsidP="00CB2594">
      <w:pPr>
        <w:rPr>
          <w:rFonts w:cs="Times New Roman"/>
          <w:b/>
          <w:sz w:val="20"/>
          <w:szCs w:val="20"/>
          <w:lang w:val="cs-CZ"/>
        </w:rPr>
      </w:pPr>
      <w:r w:rsidRPr="007434DA">
        <w:rPr>
          <w:rFonts w:cs="Times New Roman"/>
          <w:b/>
          <w:sz w:val="20"/>
          <w:szCs w:val="20"/>
          <w:lang w:val="cs-CZ"/>
        </w:rPr>
        <w:t xml:space="preserve">Obr. A 9 Zranitelnost podzemních vod metolachlorem </w:t>
      </w:r>
    </w:p>
    <w:p w14:paraId="5A9A735A" w14:textId="77777777" w:rsidR="00CB2594" w:rsidRPr="007434DA" w:rsidRDefault="00CB2594" w:rsidP="00CB2594">
      <w:pPr>
        <w:rPr>
          <w:rFonts w:cs="Times New Roman"/>
          <w:lang w:val="cs-CZ"/>
        </w:rPr>
      </w:pPr>
      <w:r w:rsidRPr="007434DA">
        <w:rPr>
          <w:rFonts w:cs="Times New Roman"/>
          <w:noProof/>
          <w:lang w:val="cs-CZ" w:eastAsia="cs-CZ"/>
        </w:rPr>
        <w:drawing>
          <wp:inline distT="0" distB="0" distL="0" distR="0" wp14:anchorId="2FB3BF0C" wp14:editId="1DB4EB4E">
            <wp:extent cx="5501640" cy="3779520"/>
            <wp:effectExtent l="19050" t="19050" r="22860" b="11430"/>
            <wp:docPr id="4101" name="Picture 5" descr="Obsah obrázku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1" name="Picture 5" descr="Obsah obrázku mapa&#10;&#10;Popis byl vytvořen automaticky"/>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508111" cy="3783965"/>
                    </a:xfrm>
                    <a:prstGeom prst="rect">
                      <a:avLst/>
                    </a:prstGeom>
                    <a:noFill/>
                    <a:ln w="9525">
                      <a:solidFill>
                        <a:schemeClr val="tx1"/>
                      </a:solidFill>
                      <a:miter lim="800000"/>
                      <a:headEnd/>
                      <a:tailEnd/>
                    </a:ln>
                    <a:effectLst/>
                  </pic:spPr>
                </pic:pic>
              </a:graphicData>
            </a:graphic>
          </wp:inline>
        </w:drawing>
      </w:r>
    </w:p>
    <w:p w14:paraId="1CA73071" w14:textId="77777777" w:rsidR="002A2482" w:rsidRPr="007434DA" w:rsidRDefault="002A2482" w:rsidP="002A2482">
      <w:pPr>
        <w:rPr>
          <w:rFonts w:cs="Times New Roman"/>
          <w:bCs/>
          <w:sz w:val="20"/>
          <w:szCs w:val="20"/>
          <w:lang w:val="cs-CZ"/>
        </w:rPr>
      </w:pPr>
      <w:r w:rsidRPr="007434DA">
        <w:rPr>
          <w:rFonts w:cs="Times New Roman"/>
          <w:bCs/>
          <w:sz w:val="20"/>
          <w:szCs w:val="20"/>
          <w:lang w:val="cs-CZ"/>
        </w:rPr>
        <w:t>(</w:t>
      </w:r>
      <w:r w:rsidRPr="007434DA">
        <w:rPr>
          <w:rFonts w:cs="Times New Roman"/>
          <w:bCs/>
          <w:i/>
          <w:sz w:val="20"/>
          <w:szCs w:val="20"/>
          <w:lang w:val="cs-CZ"/>
        </w:rPr>
        <w:t>Zdroj ČHMU)</w:t>
      </w:r>
    </w:p>
    <w:p w14:paraId="72482241" w14:textId="77777777" w:rsidR="00CB2594" w:rsidRPr="007434DA" w:rsidRDefault="00CB2594" w:rsidP="00CB2594">
      <w:pPr>
        <w:rPr>
          <w:rFonts w:cs="Times New Roman"/>
          <w:b/>
          <w:sz w:val="20"/>
          <w:szCs w:val="20"/>
          <w:lang w:val="cs-CZ"/>
        </w:rPr>
      </w:pPr>
    </w:p>
    <w:p w14:paraId="1B68B6E7" w14:textId="77777777" w:rsidR="002A2482" w:rsidRPr="007434DA" w:rsidRDefault="002A2482" w:rsidP="00CB2594">
      <w:pPr>
        <w:rPr>
          <w:rFonts w:cs="Times New Roman"/>
          <w:b/>
          <w:sz w:val="20"/>
          <w:szCs w:val="20"/>
          <w:lang w:val="cs-CZ"/>
        </w:rPr>
      </w:pPr>
    </w:p>
    <w:p w14:paraId="2223221F" w14:textId="77777777" w:rsidR="002A2482" w:rsidRPr="007434DA" w:rsidRDefault="002A2482" w:rsidP="00CB2594">
      <w:pPr>
        <w:rPr>
          <w:rFonts w:cs="Times New Roman"/>
          <w:b/>
          <w:sz w:val="20"/>
          <w:szCs w:val="20"/>
          <w:lang w:val="cs-CZ"/>
        </w:rPr>
      </w:pPr>
    </w:p>
    <w:p w14:paraId="1F808AF9" w14:textId="77777777" w:rsidR="002A2482" w:rsidRPr="007434DA" w:rsidRDefault="002A2482" w:rsidP="00CB2594">
      <w:pPr>
        <w:rPr>
          <w:rFonts w:cs="Times New Roman"/>
          <w:b/>
          <w:sz w:val="20"/>
          <w:szCs w:val="20"/>
          <w:lang w:val="cs-CZ"/>
        </w:rPr>
      </w:pPr>
    </w:p>
    <w:p w14:paraId="01BB8691" w14:textId="77777777" w:rsidR="002A2482" w:rsidRPr="007434DA" w:rsidRDefault="002A2482" w:rsidP="00CB2594">
      <w:pPr>
        <w:rPr>
          <w:rFonts w:cs="Times New Roman"/>
          <w:b/>
          <w:sz w:val="20"/>
          <w:szCs w:val="20"/>
          <w:lang w:val="cs-CZ"/>
        </w:rPr>
      </w:pPr>
    </w:p>
    <w:p w14:paraId="5456FA4B" w14:textId="50BB133F" w:rsidR="00CB2594" w:rsidRPr="007434DA" w:rsidRDefault="00CB2594" w:rsidP="002A2482">
      <w:pPr>
        <w:pStyle w:val="UZEIZdroj"/>
      </w:pPr>
      <w:r w:rsidRPr="007434DA">
        <w:rPr>
          <w:b/>
          <w:bCs/>
          <w:i w:val="0"/>
          <w:iCs w:val="0"/>
        </w:rPr>
        <w:t>Obr. A 10 Vymezení rizikových oblastí pro metolachlor</w:t>
      </w:r>
      <w:r w:rsidRPr="007434DA">
        <w:t xml:space="preserve"> </w:t>
      </w:r>
      <w:r w:rsidR="002A2482" w:rsidRPr="007434DA">
        <w:t>(Zdroj ČHMU)</w:t>
      </w:r>
    </w:p>
    <w:p w14:paraId="27CCF1A1" w14:textId="77777777" w:rsidR="00CB2594" w:rsidRPr="007434DA" w:rsidRDefault="00CB2594" w:rsidP="00CB2594">
      <w:pPr>
        <w:rPr>
          <w:rFonts w:cs="Times New Roman"/>
          <w:b/>
          <w:lang w:val="cs-CZ"/>
        </w:rPr>
      </w:pPr>
      <w:r w:rsidRPr="007434DA">
        <w:rPr>
          <w:rFonts w:cs="Times New Roman"/>
          <w:noProof/>
          <w:lang w:val="cs-CZ" w:eastAsia="cs-CZ"/>
        </w:rPr>
        <w:drawing>
          <wp:inline distT="0" distB="0" distL="0" distR="0" wp14:anchorId="40B3CECD" wp14:editId="4D11628B">
            <wp:extent cx="5657850" cy="3705005"/>
            <wp:effectExtent l="19050" t="19050" r="19050" b="10160"/>
            <wp:docPr id="4100" name="Obrázek 5" descr="Obsah obrázku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0" name="Obrázek 5" descr="Obsah obrázku mapa&#10;&#10;Popis byl vytvořen automaticky"/>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669295" cy="3712500"/>
                    </a:xfrm>
                    <a:prstGeom prst="rect">
                      <a:avLst/>
                    </a:prstGeom>
                    <a:ln>
                      <a:solidFill>
                        <a:sysClr val="windowText" lastClr="000000"/>
                      </a:solidFill>
                    </a:ln>
                  </pic:spPr>
                </pic:pic>
              </a:graphicData>
            </a:graphic>
          </wp:inline>
        </w:drawing>
      </w:r>
    </w:p>
    <w:p w14:paraId="7C5E73EB" w14:textId="77777777" w:rsidR="00CB2594" w:rsidRPr="007434DA" w:rsidRDefault="00CB2594" w:rsidP="00CB2594">
      <w:pPr>
        <w:rPr>
          <w:rFonts w:cs="Times New Roman"/>
          <w:b/>
          <w:lang w:val="cs-CZ"/>
        </w:rPr>
      </w:pPr>
    </w:p>
    <w:p w14:paraId="4E91F4AF" w14:textId="71E6A24A" w:rsidR="00CB2594" w:rsidRPr="007434DA" w:rsidRDefault="00CB2594" w:rsidP="00BB6ABF">
      <w:pPr>
        <w:pStyle w:val="UZEINadpis4st"/>
      </w:pPr>
      <w:r w:rsidRPr="007434DA">
        <w:br w:type="column"/>
      </w:r>
      <w:bookmarkStart w:id="380" w:name="_Toc81755645"/>
      <w:r w:rsidRPr="007434DA">
        <w:t>Příloha A2 Národní akční plán ke snížení používání pesticidů v České republice (dále jen NAP). Cíle o návrhy opatření pro oblast ochrany vody</w:t>
      </w:r>
      <w:bookmarkEnd w:id="380"/>
    </w:p>
    <w:p w14:paraId="5064B038" w14:textId="77777777" w:rsidR="00CB2594" w:rsidRPr="007434DA" w:rsidRDefault="00CB2594" w:rsidP="002A2482">
      <w:pPr>
        <w:pStyle w:val="UZEINormaln"/>
      </w:pPr>
      <w:r w:rsidRPr="007434DA">
        <w:t>V oblasti ochrany vody byly v rámci NAP určeny pro řešení problematiky reziduí pesticidů ve vodě následující dílčí cíle:</w:t>
      </w:r>
    </w:p>
    <w:p w14:paraId="41C93B98" w14:textId="77777777" w:rsidR="00CB2594" w:rsidRPr="007434DA" w:rsidRDefault="00CB2594" w:rsidP="002A2482">
      <w:pPr>
        <w:pStyle w:val="UZEINormaln"/>
        <w:numPr>
          <w:ilvl w:val="0"/>
          <w:numId w:val="47"/>
        </w:numPr>
      </w:pPr>
      <w:r w:rsidRPr="007434DA">
        <w:t>Přijmout preventivní opatření vedoucí ke snížení výskytu reziduí v povrchových a podzemních vodách s důrazem na zdroje využívané nebo využitelné pro zásobování obyvatelstva pitnou vodou. Tento cíl měl být naplněn legislativními změnami, podporou výměny informací mezi zainteresovanými stranami a osvětou.</w:t>
      </w:r>
    </w:p>
    <w:p w14:paraId="60001B98" w14:textId="77777777" w:rsidR="00CB2594" w:rsidRPr="007434DA" w:rsidRDefault="00CB2594" w:rsidP="002A2482">
      <w:pPr>
        <w:pStyle w:val="UZEINormaln"/>
        <w:numPr>
          <w:ilvl w:val="0"/>
          <w:numId w:val="47"/>
        </w:numPr>
      </w:pPr>
      <w:r w:rsidRPr="007434DA">
        <w:t>Přijmout opatření pro zvýšení efektivity monitoringu výskytu reziduí v podzemních, povrchových a pitných vodách. V rámci tohoto cíle měla být zpracována metodika cíleného monitoringu výskytu relevantních reziduí v povrchových a podzemních vodách založeného na znalosti souvislostí mezi spektrem pěstovaných plodin a použitými přípravky, charakterem přírodního prostředí (např. hydrologie, hydropedologie a další charakteristiky území), a to zejména ve vyhlášených ochranných pásmech vodních zdrojů. Dále měl být zajištěn monitoring výskytu relevantních reziduí v povrchových a podzemních vodách v rámci situačního a provozního monitoringu povrchových a podzemních vod a komunikace mezi ÚKZÚZ profesionálními uživateli přípravků a vodohospodáři, zejména pokud jde o dostupnost informací o účinných látkách, relevantních metabolitech účinných látek přípravků, metodách jejich analytického stanovení a toxikologických vlastnostech ve vztahu k pitným, povrchovým a podzemním vodám.</w:t>
      </w:r>
    </w:p>
    <w:p w14:paraId="7F2F8D34" w14:textId="77777777" w:rsidR="00CB2594" w:rsidRPr="007434DA" w:rsidRDefault="00CB2594" w:rsidP="002A2482">
      <w:pPr>
        <w:pStyle w:val="UZEINormaln"/>
        <w:numPr>
          <w:ilvl w:val="0"/>
          <w:numId w:val="47"/>
        </w:numPr>
      </w:pPr>
      <w:r w:rsidRPr="007434DA">
        <w:t>Měla se přijmout legislativní opatření pro zvýšení efektivity kontrol dodržování správných zásad použití přípravků. Toto mělo být zabezpečeno zavedením systému pružného předávání informací o zjištění nadlimitního výskytu reziduí v povrchové, podzemní a pitné vodě mezi ČHMÚ, podniky Povodí, ÚKZÚZ, vodohospodáři a ČIŽP. Byl zaveden systém cílené kontroly dodržování správných zásad použití a aplikace přípravků, a to na základě předávání informací o zjištěném nadlimitním výskytu přípravků ve vodách.</w:t>
      </w:r>
    </w:p>
    <w:p w14:paraId="5E48EED0" w14:textId="77777777" w:rsidR="00CB2594" w:rsidRPr="007434DA" w:rsidRDefault="00CB2594" w:rsidP="002A2482">
      <w:pPr>
        <w:pStyle w:val="UZEINormaln"/>
        <w:numPr>
          <w:ilvl w:val="0"/>
          <w:numId w:val="47"/>
        </w:numPr>
      </w:pPr>
      <w:r w:rsidRPr="007434DA">
        <w:t>Měla být přijata opatření k regulaci aplikace přípravků v ohrožených oblastech (oblasti se zjištěným nadlimitním výskytem reziduí v povrchové, podzemní a pitné vodě). V rámci tohoto cíle měl být definován a připraven systém evidence a aktualizace seznamu ohrožených oblastí, měly se metodicky upravit a zavádět vhodné způsoby regulace aplikace přípravků v ohrožených oblastech, včetně podpory systémů pěstování plodin méně náročných na používání přípravků v kombinaci s povolením použitelných přípravků využíváním ustanovení §38b rostlinolékařského zákona. Dále měly být analyzovány možnosti zavedení ekonomických nástrojů např. daně z prodeje přípravků nevhodných pro použití v systémech integrované ochrany rostlin a vyhodnocen jejich reálný efekt a dopady.</w:t>
      </w:r>
    </w:p>
    <w:p w14:paraId="2EFE8332" w14:textId="77777777" w:rsidR="00CB2594" w:rsidRPr="007434DA" w:rsidRDefault="00CB2594" w:rsidP="002A2482">
      <w:pPr>
        <w:pStyle w:val="UZEINormaln"/>
      </w:pPr>
      <w:r w:rsidRPr="007434DA">
        <w:t>Z výše uvedených cílů byly alespoň částečně splněny cíle B a C. Z pohledu ochrany vod nejvýznamnější cíl D nebyl splněn.</w:t>
      </w:r>
    </w:p>
    <w:p w14:paraId="74FBE2A3" w14:textId="4D439432" w:rsidR="00CB2594" w:rsidRPr="007434DA" w:rsidRDefault="00CB2594" w:rsidP="00CB2594">
      <w:pPr>
        <w:rPr>
          <w:rFonts w:cs="Times New Roman"/>
          <w:lang w:val="cs-CZ"/>
        </w:rPr>
      </w:pPr>
    </w:p>
    <w:p w14:paraId="34991423" w14:textId="6FA6519D" w:rsidR="00D424E3" w:rsidRPr="007434DA" w:rsidRDefault="00D424E3" w:rsidP="00CB2594">
      <w:pPr>
        <w:rPr>
          <w:rFonts w:cs="Times New Roman"/>
          <w:lang w:val="cs-CZ"/>
        </w:rPr>
      </w:pPr>
    </w:p>
    <w:p w14:paraId="5A95D823" w14:textId="5797EB2C" w:rsidR="00D424E3" w:rsidRPr="007434DA" w:rsidRDefault="00D424E3" w:rsidP="00CB2594">
      <w:pPr>
        <w:rPr>
          <w:rFonts w:cs="Times New Roman"/>
          <w:lang w:val="cs-CZ"/>
        </w:rPr>
      </w:pPr>
    </w:p>
    <w:p w14:paraId="7A25EECB" w14:textId="1C46CC99" w:rsidR="00D424E3" w:rsidRPr="007434DA" w:rsidRDefault="00D424E3" w:rsidP="00CB2594">
      <w:pPr>
        <w:rPr>
          <w:rFonts w:cs="Times New Roman"/>
          <w:lang w:val="cs-CZ"/>
        </w:rPr>
      </w:pPr>
    </w:p>
    <w:p w14:paraId="6323BDF5" w14:textId="6D3B3891" w:rsidR="00D424E3" w:rsidRPr="007434DA" w:rsidRDefault="00D424E3" w:rsidP="00CB2594">
      <w:pPr>
        <w:rPr>
          <w:rFonts w:cs="Times New Roman"/>
          <w:lang w:val="cs-CZ"/>
        </w:rPr>
      </w:pPr>
    </w:p>
    <w:p w14:paraId="13F60758" w14:textId="60846766" w:rsidR="00D424E3" w:rsidRPr="007434DA" w:rsidRDefault="00D424E3" w:rsidP="00CB2594">
      <w:pPr>
        <w:rPr>
          <w:rFonts w:cs="Times New Roman"/>
          <w:lang w:val="cs-CZ"/>
        </w:rPr>
      </w:pPr>
    </w:p>
    <w:p w14:paraId="527FA93E" w14:textId="77777777" w:rsidR="00D424E3" w:rsidRPr="007434DA" w:rsidRDefault="00D424E3" w:rsidP="00CB2594">
      <w:pPr>
        <w:rPr>
          <w:rFonts w:cs="Times New Roman"/>
          <w:lang w:val="cs-CZ"/>
        </w:rPr>
      </w:pPr>
    </w:p>
    <w:p w14:paraId="7E32805F" w14:textId="77777777" w:rsidR="00CB2594" w:rsidRPr="007434DA" w:rsidRDefault="00CB2594" w:rsidP="002A2482">
      <w:pPr>
        <w:pStyle w:val="UZEINormaln"/>
        <w:rPr>
          <w:b/>
          <w:bCs/>
        </w:rPr>
      </w:pPr>
      <w:r w:rsidRPr="007434DA">
        <w:rPr>
          <w:b/>
          <w:bCs/>
        </w:rPr>
        <w:t>Národní akční plán k bezpečnému používání pesticidů v České republice pro 2018 - 2022</w:t>
      </w:r>
    </w:p>
    <w:p w14:paraId="7273B1C6" w14:textId="77777777" w:rsidR="00CB2594" w:rsidRPr="007434DA" w:rsidRDefault="00CB2594" w:rsidP="002A2482">
      <w:pPr>
        <w:pStyle w:val="UZEINormaln"/>
        <w:rPr>
          <w:b/>
          <w:bCs/>
        </w:rPr>
      </w:pPr>
      <w:r w:rsidRPr="007434DA">
        <w:rPr>
          <w:b/>
          <w:bCs/>
        </w:rPr>
        <w:t>Pro následující období byly pro oblast ochrany vody určeny dílčí cíle:</w:t>
      </w:r>
    </w:p>
    <w:p w14:paraId="5B77DD1C" w14:textId="77777777" w:rsidR="00CB2594" w:rsidRPr="007434DA" w:rsidRDefault="00CB2594" w:rsidP="00D424E3">
      <w:pPr>
        <w:pStyle w:val="UZEINormaln"/>
        <w:numPr>
          <w:ilvl w:val="0"/>
          <w:numId w:val="48"/>
        </w:numPr>
      </w:pPr>
      <w:r w:rsidRPr="007434DA">
        <w:t>Přijmout preventivní opatření vedoucí ke snížení výskytu reziduí v povrchových a podzemních vodách s důrazem na zdroje využívané nebo využitelné pro zásobování obyvatelstva pitnou vodou. Cíl má být splněn pomocí metodického a legislativního zajištění provádění vhodných preventivních opatření, zejména v ochranných pásmech vodních zdrojů a zajistit dostupnost aktuálních informací o vyhlášených ochranných pásmech pro hospodařící subjekty (např. přechod na méně rizikové POR, ochranné pásy vodních toků a nádrží, snížení podílu nepotravinářské produkce a zvýšená podpora ekologického zemědělství. Tento cíl je zcela zásadní v ochraně vod, bohužel se soustředí pouze na ochranná pásma vodních zdrojů (OPVZ) a neřeší problematiku velkoplošného zatížení pesticidů, tj. včetně zdrojových oblastí kontaminace mimo území OPVZ, kam z titulu vodního kontinua pesticidy pronikají právě ze zdrojových oblastí mimo OPVZ.</w:t>
      </w:r>
    </w:p>
    <w:p w14:paraId="206A4F78" w14:textId="77777777" w:rsidR="00CB2594" w:rsidRPr="007434DA" w:rsidRDefault="00CB2594" w:rsidP="00D424E3">
      <w:pPr>
        <w:pStyle w:val="UZEINormaln"/>
        <w:numPr>
          <w:ilvl w:val="0"/>
          <w:numId w:val="48"/>
        </w:numPr>
      </w:pPr>
      <w:r w:rsidRPr="007434DA">
        <w:t>Přijmout opatření pro zvýšení efektivity monitoringu výskytu reziduí podzemních, povrchových a pitných vod. Tento cíl odpovídá a je pokračováním cíle B v předchozím NAP.</w:t>
      </w:r>
    </w:p>
    <w:p w14:paraId="29776F55" w14:textId="77777777" w:rsidR="00CB2594" w:rsidRPr="007434DA" w:rsidRDefault="00CB2594" w:rsidP="00D424E3">
      <w:pPr>
        <w:pStyle w:val="UZEINormaln"/>
        <w:numPr>
          <w:ilvl w:val="0"/>
          <w:numId w:val="48"/>
        </w:numPr>
      </w:pPr>
      <w:r w:rsidRPr="007434DA">
        <w:t>Přijmout legislativní opatření pro zvýšení efektivity kontrol dodržování správných zásad použití přípravků. Tento cíl odpovídá a je pokračováním cíle C v předchozím NAP.</w:t>
      </w:r>
    </w:p>
    <w:p w14:paraId="65F6E751" w14:textId="77777777" w:rsidR="00CB2594" w:rsidRPr="007434DA" w:rsidRDefault="00CB2594" w:rsidP="00D424E3">
      <w:pPr>
        <w:pStyle w:val="UZEINormaln"/>
        <w:numPr>
          <w:ilvl w:val="0"/>
          <w:numId w:val="48"/>
        </w:numPr>
      </w:pPr>
      <w:r w:rsidRPr="007434DA">
        <w:t>Zavedení regulace používání některých POR v oblasti, kde účinná látka a její rezidua byla opakovaně zjištěna v nadlimitním množství ve vodním zdroji nebo v útvaru povrchové či podzemní vody. Tento cíl odpovídá a je pokračováním cíle D v předchozím NAP.</w:t>
      </w:r>
    </w:p>
    <w:p w14:paraId="4C150DA7" w14:textId="77777777" w:rsidR="00CB2594" w:rsidRPr="007434DA" w:rsidRDefault="00CB2594" w:rsidP="00D424E3">
      <w:pPr>
        <w:pStyle w:val="UZEINormaln"/>
        <w:numPr>
          <w:ilvl w:val="0"/>
          <w:numId w:val="48"/>
        </w:numPr>
      </w:pPr>
      <w:r w:rsidRPr="007434DA">
        <w:t>Snížit riziko negativního ovlivnění vod při používání přípravků na nezemědělských plochách. Nový cíl, z pohledu ochrany vod okrajový, jelikož nezahrnuje problematiku hospodaření na zemědělské půdě.</w:t>
      </w:r>
    </w:p>
    <w:p w14:paraId="5EB9A9D7" w14:textId="77777777" w:rsidR="00CB2594" w:rsidRPr="007434DA" w:rsidRDefault="00CB2594" w:rsidP="00D424E3">
      <w:pPr>
        <w:pStyle w:val="UZEINormaln"/>
        <w:numPr>
          <w:ilvl w:val="0"/>
          <w:numId w:val="48"/>
        </w:numPr>
      </w:pPr>
      <w:r w:rsidRPr="007434DA">
        <w:t>Zajistit cílenou podporu opatření ke snížení nadlimitního místního výskytu reziduí v dodávané pitné vodě tam, kde dočasně nebude dosaženo vyhovující kvality regulací aplikace přípravků prostřednictvím preventivních opatření dle dílčího cíle A. Tato technologická opatření však nesmí nahrazovat realizaci efektivních opatření v povodí vodárenských zdrojů.</w:t>
      </w:r>
    </w:p>
    <w:p w14:paraId="13B585B5" w14:textId="77777777" w:rsidR="00CB2594" w:rsidRPr="007434DA" w:rsidRDefault="00CB2594" w:rsidP="00CB2594">
      <w:pPr>
        <w:pStyle w:val="Odstavecseseznamem"/>
        <w:spacing w:before="120" w:line="360" w:lineRule="atLeast"/>
        <w:ind w:left="0" w:firstLine="567"/>
      </w:pPr>
      <w:r w:rsidRPr="007434DA">
        <w:t>Tento dílčí cíl řeší následek nikoliv příčinu stavu.</w:t>
      </w:r>
    </w:p>
    <w:p w14:paraId="35D73A1C" w14:textId="37ECF129" w:rsidR="00CB2594" w:rsidRPr="007434DA" w:rsidRDefault="00CB2594" w:rsidP="00BB6ABF">
      <w:pPr>
        <w:pStyle w:val="UZEINadpis4st"/>
      </w:pPr>
      <w:r w:rsidRPr="007434DA">
        <w:br w:type="column"/>
      </w:r>
      <w:bookmarkStart w:id="381" w:name="_Toc81755646"/>
      <w:r w:rsidRPr="007434DA">
        <w:t>Příloha A3 Výskyt vybraných náročných plodin více let po sobě na stejné lokalitě</w:t>
      </w:r>
      <w:bookmarkEnd w:id="381"/>
    </w:p>
    <w:p w14:paraId="1CDD1758" w14:textId="77777777" w:rsidR="00CB2594" w:rsidRPr="007434DA" w:rsidRDefault="00CB2594" w:rsidP="00D424E3">
      <w:pPr>
        <w:pStyle w:val="UZEINormaln"/>
      </w:pPr>
      <w:r w:rsidRPr="007434DA">
        <w:t xml:space="preserve">Cílem bylo vyčíslit, na kolika hektarech dochází u vybraných plodin k opakovanému pěstování jedné plodiny na stejném místě. Zdrojem pro výpočty byly údaje o pěstované plodině (data ze žádostí, zdroj LPIS) ve čtyřleté časové řadě (2015-2018). </w:t>
      </w:r>
    </w:p>
    <w:p w14:paraId="68D55645" w14:textId="77777777" w:rsidR="00CB2594" w:rsidRPr="007434DA" w:rsidRDefault="00CB2594" w:rsidP="00D424E3">
      <w:pPr>
        <w:pStyle w:val="UZEINormaln"/>
      </w:pPr>
      <w:r w:rsidRPr="007434DA">
        <w:t>Metodicky muselo být provedeno zjednodušení zdrojových dat, protože žadatelé často uvádí na jednom bloku pěstování více plodin, je známa přesná výměra jednotlivých plodin na DPB, avšak není známa přesná poloha výsevu. Pro každý DPB byla tedy stanovena jen jediná, a to převládající plodina a následně byl zjišťován počet výskytů této převládající plodiny geograficky na jednom místě v průběhu čtyř po sobě jdoucích let.</w:t>
      </w:r>
    </w:p>
    <w:p w14:paraId="5B5B83F5" w14:textId="77777777" w:rsidR="00CB2594" w:rsidRPr="007434DA" w:rsidRDefault="00CB2594" w:rsidP="00D424E3">
      <w:pPr>
        <w:pStyle w:val="UZEINormaln"/>
      </w:pPr>
      <w:r w:rsidRPr="007434DA">
        <w:t xml:space="preserve">Bylo požadováno vyčíslení těch případů, kdy se jedna plodina opakuje na daném místě nejméně třikrát po sobě (varianta 1). Protože je ale období, za které lze jev pozorovat, poměrně krátké (4 roky) a protože to data umožňovala byla zpracována ještě druhá varianta. V té bylo hodnoceno, zda se jedna plodina za sledované období vyskytla (byla pěstována) alespoň třikrát (varianta 2), to znamená, že sledovaná plodina mohla být pěstována dva roky po sobě, následovala rok jiná plodina a další rok opět sledovaná plodina. Varianta 2 byla zpracována pouze pro kukuřici. Další požadavkem bylo vyčíslení případů, kdy se řepka na daném místě vyskytovala dvakrát po sobě. </w:t>
      </w:r>
    </w:p>
    <w:p w14:paraId="60E2479C" w14:textId="77777777" w:rsidR="00CB2594" w:rsidRPr="007434DA" w:rsidRDefault="00CB2594" w:rsidP="00D424E3">
      <w:pPr>
        <w:pStyle w:val="UZEINormaln"/>
        <w:rPr>
          <w:rStyle w:val="Zdraznnintenzivn"/>
          <w:b/>
          <w:bCs/>
          <w:i w:val="0"/>
          <w:iCs w:val="0"/>
          <w:color w:val="auto"/>
        </w:rPr>
      </w:pPr>
      <w:r w:rsidRPr="007434DA">
        <w:rPr>
          <w:rStyle w:val="Zdraznnintenzivn"/>
          <w:b/>
          <w:bCs/>
          <w:i w:val="0"/>
          <w:iCs w:val="0"/>
          <w:color w:val="auto"/>
        </w:rPr>
        <w:t>Var. 1: Plodiny se opakují 3 a více let po sobě na jednom místě</w:t>
      </w:r>
    </w:p>
    <w:p w14:paraId="63E2244E" w14:textId="77777777" w:rsidR="00CB2594" w:rsidRPr="007434DA" w:rsidRDefault="00CB2594" w:rsidP="00D424E3">
      <w:pPr>
        <w:pStyle w:val="UZEINormaln"/>
      </w:pPr>
      <w:r w:rsidRPr="007434DA">
        <w:t xml:space="preserve">Byla spočtena výměra ploch, na kterých se jedna vybraná plodina (řepka ozimá nebo jarní, cukrovka, kukuřice) vyskytla třikrát za sebou. K dispozici byla časová řada údajů o pěstované plodině na půdním bloku (data ze žádostí) v letech 2015-2018. </w:t>
      </w:r>
    </w:p>
    <w:p w14:paraId="7597AF1B" w14:textId="77777777" w:rsidR="00CB2594" w:rsidRPr="007434DA" w:rsidRDefault="00CB2594" w:rsidP="00CB2594">
      <w:pPr>
        <w:spacing w:line="360" w:lineRule="atLeast"/>
        <w:rPr>
          <w:rFonts w:cs="Times New Roman"/>
          <w:sz w:val="20"/>
          <w:szCs w:val="20"/>
          <w:lang w:val="cs-CZ"/>
        </w:rPr>
      </w:pPr>
      <w:r w:rsidRPr="007434DA">
        <w:rPr>
          <w:rFonts w:cs="Times New Roman"/>
          <w:b/>
          <w:sz w:val="20"/>
          <w:szCs w:val="20"/>
          <w:lang w:val="cs-CZ"/>
        </w:rPr>
        <w:t>Tab. A 4</w:t>
      </w:r>
      <w:r w:rsidRPr="007434DA">
        <w:rPr>
          <w:rFonts w:eastAsia="Times New Roman" w:cs="Times New Roman"/>
          <w:b/>
          <w:bCs/>
          <w:sz w:val="20"/>
          <w:szCs w:val="20"/>
          <w:lang w:val="cs-CZ"/>
        </w:rPr>
        <w:t xml:space="preserve"> Výměra ploch s výskytem plodin nejméně třikrát po sobě v letech 2015-2018</w:t>
      </w:r>
    </w:p>
    <w:tbl>
      <w:tblPr>
        <w:tblW w:w="8075" w:type="dxa"/>
        <w:tblCellMar>
          <w:left w:w="70" w:type="dxa"/>
          <w:right w:w="70" w:type="dxa"/>
        </w:tblCellMar>
        <w:tblLook w:val="04A0" w:firstRow="1" w:lastRow="0" w:firstColumn="1" w:lastColumn="0" w:noHBand="0" w:noVBand="1"/>
      </w:tblPr>
      <w:tblGrid>
        <w:gridCol w:w="3275"/>
        <w:gridCol w:w="1448"/>
        <w:gridCol w:w="1368"/>
        <w:gridCol w:w="1984"/>
      </w:tblGrid>
      <w:tr w:rsidR="00CB2594" w:rsidRPr="007434DA" w14:paraId="6CBF8198" w14:textId="77777777" w:rsidTr="004A57B3">
        <w:trPr>
          <w:trHeight w:val="300"/>
        </w:trPr>
        <w:tc>
          <w:tcPr>
            <w:tcW w:w="3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2598CA" w14:textId="77777777" w:rsidR="00CB2594" w:rsidRPr="007434DA" w:rsidRDefault="00CB2594" w:rsidP="004A57B3">
            <w:pPr>
              <w:jc w:val="center"/>
              <w:rPr>
                <w:rFonts w:eastAsia="Times New Roman" w:cs="Times New Roman"/>
                <w:sz w:val="20"/>
                <w:szCs w:val="20"/>
                <w:lang w:val="cs-CZ"/>
              </w:rPr>
            </w:pPr>
            <w:r w:rsidRPr="007434DA">
              <w:rPr>
                <w:rFonts w:eastAsia="Times New Roman" w:cs="Times New Roman"/>
                <w:sz w:val="20"/>
                <w:szCs w:val="20"/>
                <w:lang w:val="cs-CZ"/>
              </w:rPr>
              <w:t>plodina</w:t>
            </w:r>
          </w:p>
        </w:tc>
        <w:tc>
          <w:tcPr>
            <w:tcW w:w="1448" w:type="dxa"/>
            <w:tcBorders>
              <w:top w:val="single" w:sz="4" w:space="0" w:color="auto"/>
              <w:left w:val="nil"/>
              <w:bottom w:val="single" w:sz="4" w:space="0" w:color="auto"/>
              <w:right w:val="single" w:sz="4" w:space="0" w:color="auto"/>
            </w:tcBorders>
            <w:shd w:val="clear" w:color="auto" w:fill="auto"/>
            <w:noWrap/>
            <w:vAlign w:val="bottom"/>
            <w:hideMark/>
          </w:tcPr>
          <w:p w14:paraId="5863727F" w14:textId="77777777" w:rsidR="00CB2594" w:rsidRPr="007434DA" w:rsidRDefault="00CB2594" w:rsidP="004A57B3">
            <w:pPr>
              <w:jc w:val="center"/>
              <w:rPr>
                <w:rFonts w:eastAsia="Times New Roman" w:cs="Times New Roman"/>
                <w:sz w:val="20"/>
                <w:szCs w:val="20"/>
                <w:lang w:val="cs-CZ"/>
              </w:rPr>
            </w:pPr>
            <w:r w:rsidRPr="007434DA">
              <w:rPr>
                <w:rFonts w:eastAsia="Times New Roman" w:cs="Times New Roman"/>
                <w:sz w:val="20"/>
                <w:szCs w:val="20"/>
                <w:lang w:val="cs-CZ"/>
              </w:rPr>
              <w:t>kukuřice</w:t>
            </w:r>
          </w:p>
        </w:tc>
        <w:tc>
          <w:tcPr>
            <w:tcW w:w="1368" w:type="dxa"/>
            <w:tcBorders>
              <w:top w:val="single" w:sz="4" w:space="0" w:color="auto"/>
              <w:left w:val="nil"/>
              <w:bottom w:val="single" w:sz="4" w:space="0" w:color="auto"/>
              <w:right w:val="single" w:sz="4" w:space="0" w:color="auto"/>
            </w:tcBorders>
            <w:shd w:val="clear" w:color="auto" w:fill="auto"/>
            <w:noWrap/>
            <w:vAlign w:val="bottom"/>
            <w:hideMark/>
          </w:tcPr>
          <w:p w14:paraId="7A2C484D" w14:textId="77777777" w:rsidR="00CB2594" w:rsidRPr="007434DA" w:rsidRDefault="00CB2594" w:rsidP="004A57B3">
            <w:pPr>
              <w:jc w:val="center"/>
              <w:rPr>
                <w:rFonts w:eastAsia="Times New Roman" w:cs="Times New Roman"/>
                <w:sz w:val="20"/>
                <w:szCs w:val="20"/>
                <w:lang w:val="cs-CZ"/>
              </w:rPr>
            </w:pPr>
            <w:r w:rsidRPr="007434DA">
              <w:rPr>
                <w:rFonts w:eastAsia="Times New Roman" w:cs="Times New Roman"/>
                <w:sz w:val="20"/>
                <w:szCs w:val="20"/>
                <w:lang w:val="cs-CZ"/>
              </w:rPr>
              <w:t>řepka</w:t>
            </w:r>
          </w:p>
        </w:tc>
        <w:tc>
          <w:tcPr>
            <w:tcW w:w="1984" w:type="dxa"/>
            <w:tcBorders>
              <w:top w:val="single" w:sz="4" w:space="0" w:color="auto"/>
              <w:left w:val="nil"/>
              <w:bottom w:val="single" w:sz="4" w:space="0" w:color="auto"/>
              <w:right w:val="single" w:sz="4" w:space="0" w:color="auto"/>
            </w:tcBorders>
            <w:shd w:val="clear" w:color="auto" w:fill="auto"/>
            <w:noWrap/>
            <w:vAlign w:val="bottom"/>
            <w:hideMark/>
          </w:tcPr>
          <w:p w14:paraId="0FDEADD5" w14:textId="77777777" w:rsidR="00CB2594" w:rsidRPr="007434DA" w:rsidRDefault="00CB2594" w:rsidP="004A57B3">
            <w:pPr>
              <w:jc w:val="center"/>
              <w:rPr>
                <w:rFonts w:eastAsia="Times New Roman" w:cs="Times New Roman"/>
                <w:sz w:val="20"/>
                <w:szCs w:val="20"/>
                <w:lang w:val="cs-CZ"/>
              </w:rPr>
            </w:pPr>
            <w:r w:rsidRPr="007434DA">
              <w:rPr>
                <w:rFonts w:eastAsia="Times New Roman" w:cs="Times New Roman"/>
                <w:sz w:val="20"/>
                <w:szCs w:val="20"/>
                <w:lang w:val="cs-CZ"/>
              </w:rPr>
              <w:t>cukrovka</w:t>
            </w:r>
          </w:p>
        </w:tc>
      </w:tr>
      <w:tr w:rsidR="00CB2594" w:rsidRPr="007434DA" w14:paraId="7C6AB896" w14:textId="77777777" w:rsidTr="004A57B3">
        <w:trPr>
          <w:trHeight w:val="300"/>
        </w:trPr>
        <w:tc>
          <w:tcPr>
            <w:tcW w:w="3275" w:type="dxa"/>
            <w:tcBorders>
              <w:top w:val="nil"/>
              <w:left w:val="single" w:sz="4" w:space="0" w:color="auto"/>
              <w:bottom w:val="single" w:sz="4" w:space="0" w:color="auto"/>
              <w:right w:val="single" w:sz="4" w:space="0" w:color="auto"/>
            </w:tcBorders>
            <w:shd w:val="clear" w:color="auto" w:fill="auto"/>
            <w:noWrap/>
            <w:vAlign w:val="bottom"/>
            <w:hideMark/>
          </w:tcPr>
          <w:p w14:paraId="09DB8D6C" w14:textId="77777777" w:rsidR="00CB2594" w:rsidRPr="007434DA" w:rsidRDefault="00CB2594" w:rsidP="004A57B3">
            <w:pPr>
              <w:jc w:val="center"/>
              <w:rPr>
                <w:rFonts w:eastAsia="Times New Roman" w:cs="Times New Roman"/>
                <w:sz w:val="20"/>
                <w:szCs w:val="20"/>
                <w:lang w:val="cs-CZ"/>
              </w:rPr>
            </w:pPr>
            <w:r w:rsidRPr="007434DA">
              <w:rPr>
                <w:rFonts w:eastAsia="Times New Roman" w:cs="Times New Roman"/>
                <w:sz w:val="20"/>
                <w:szCs w:val="20"/>
                <w:lang w:val="cs-CZ"/>
              </w:rPr>
              <w:t>výměra celkem (ha)</w:t>
            </w:r>
          </w:p>
        </w:tc>
        <w:tc>
          <w:tcPr>
            <w:tcW w:w="1448" w:type="dxa"/>
            <w:tcBorders>
              <w:top w:val="nil"/>
              <w:left w:val="nil"/>
              <w:bottom w:val="single" w:sz="4" w:space="0" w:color="auto"/>
              <w:right w:val="single" w:sz="4" w:space="0" w:color="auto"/>
            </w:tcBorders>
            <w:shd w:val="clear" w:color="auto" w:fill="auto"/>
            <w:noWrap/>
            <w:vAlign w:val="bottom"/>
            <w:hideMark/>
          </w:tcPr>
          <w:p w14:paraId="46CD1C9C" w14:textId="77777777" w:rsidR="00CB2594" w:rsidRPr="007434DA" w:rsidRDefault="00CB2594" w:rsidP="004A57B3">
            <w:pPr>
              <w:jc w:val="center"/>
              <w:rPr>
                <w:rFonts w:eastAsia="Times New Roman" w:cs="Times New Roman"/>
                <w:sz w:val="20"/>
                <w:szCs w:val="20"/>
                <w:lang w:val="cs-CZ"/>
              </w:rPr>
            </w:pPr>
            <w:r w:rsidRPr="007434DA">
              <w:rPr>
                <w:rFonts w:eastAsia="Times New Roman" w:cs="Times New Roman"/>
                <w:sz w:val="20"/>
                <w:szCs w:val="20"/>
                <w:lang w:val="cs-CZ"/>
              </w:rPr>
              <w:t>43 882</w:t>
            </w:r>
          </w:p>
        </w:tc>
        <w:tc>
          <w:tcPr>
            <w:tcW w:w="1368" w:type="dxa"/>
            <w:tcBorders>
              <w:top w:val="nil"/>
              <w:left w:val="nil"/>
              <w:bottom w:val="single" w:sz="4" w:space="0" w:color="auto"/>
              <w:right w:val="single" w:sz="4" w:space="0" w:color="auto"/>
            </w:tcBorders>
            <w:shd w:val="clear" w:color="auto" w:fill="auto"/>
            <w:noWrap/>
            <w:vAlign w:val="bottom"/>
            <w:hideMark/>
          </w:tcPr>
          <w:p w14:paraId="45CF653D" w14:textId="77777777" w:rsidR="00CB2594" w:rsidRPr="007434DA" w:rsidRDefault="00CB2594" w:rsidP="004A57B3">
            <w:pPr>
              <w:jc w:val="center"/>
              <w:rPr>
                <w:rFonts w:eastAsia="Times New Roman" w:cs="Times New Roman"/>
                <w:sz w:val="20"/>
                <w:szCs w:val="20"/>
                <w:lang w:val="cs-CZ"/>
              </w:rPr>
            </w:pPr>
            <w:r w:rsidRPr="007434DA">
              <w:rPr>
                <w:rFonts w:eastAsia="Times New Roman" w:cs="Times New Roman"/>
                <w:sz w:val="20"/>
                <w:szCs w:val="20"/>
                <w:lang w:val="cs-CZ"/>
              </w:rPr>
              <w:t>563</w:t>
            </w:r>
          </w:p>
        </w:tc>
        <w:tc>
          <w:tcPr>
            <w:tcW w:w="1984" w:type="dxa"/>
            <w:tcBorders>
              <w:top w:val="nil"/>
              <w:left w:val="nil"/>
              <w:bottom w:val="single" w:sz="4" w:space="0" w:color="auto"/>
              <w:right w:val="single" w:sz="4" w:space="0" w:color="auto"/>
            </w:tcBorders>
            <w:shd w:val="clear" w:color="auto" w:fill="auto"/>
            <w:noWrap/>
            <w:vAlign w:val="bottom"/>
            <w:hideMark/>
          </w:tcPr>
          <w:p w14:paraId="406BA376" w14:textId="77777777" w:rsidR="00CB2594" w:rsidRPr="007434DA" w:rsidRDefault="00CB2594" w:rsidP="004A57B3">
            <w:pPr>
              <w:jc w:val="center"/>
              <w:rPr>
                <w:rFonts w:eastAsia="Times New Roman" w:cs="Times New Roman"/>
                <w:sz w:val="20"/>
                <w:szCs w:val="20"/>
                <w:lang w:val="cs-CZ"/>
              </w:rPr>
            </w:pPr>
            <w:r w:rsidRPr="007434DA">
              <w:rPr>
                <w:rFonts w:eastAsia="Times New Roman" w:cs="Times New Roman"/>
                <w:sz w:val="20"/>
                <w:szCs w:val="20"/>
                <w:lang w:val="cs-CZ"/>
              </w:rPr>
              <w:t>43</w:t>
            </w:r>
          </w:p>
        </w:tc>
      </w:tr>
    </w:tbl>
    <w:p w14:paraId="253840B7" w14:textId="77777777" w:rsidR="00CB2594" w:rsidRPr="007434DA" w:rsidRDefault="00CB2594" w:rsidP="00CB2594">
      <w:pPr>
        <w:rPr>
          <w:rFonts w:cs="Times New Roman"/>
          <w:i/>
          <w:sz w:val="18"/>
          <w:szCs w:val="18"/>
          <w:lang w:val="cs-CZ"/>
        </w:rPr>
      </w:pPr>
      <w:r w:rsidRPr="007434DA">
        <w:rPr>
          <w:rFonts w:cs="Times New Roman"/>
          <w:i/>
          <w:sz w:val="18"/>
          <w:szCs w:val="18"/>
          <w:lang w:val="cs-CZ"/>
        </w:rPr>
        <w:t>Zdroj: LPIS 2015-2018, ČÚZK 2018, vlastní výpočty ÚZEI</w:t>
      </w:r>
    </w:p>
    <w:p w14:paraId="39CEE3C3" w14:textId="6A61A051" w:rsidR="00CB2594" w:rsidRPr="007434DA" w:rsidRDefault="00CB2594" w:rsidP="00D424E3">
      <w:pPr>
        <w:pStyle w:val="UZEINormaln"/>
      </w:pPr>
      <w:r w:rsidRPr="007434DA">
        <w:t>Z tabulky je patrné, že nejčastěji se opakující plodinou byla kukuřice. Z celkové plochy oseté kukuřicí, která v roce 2017 činila 306 932 tis. ha, bylo 14 % pěstováno tři roky po sobě na stejné ploše. Pro kukuřici bylo zpracováno podrobnější vyčíslení na úrovni krajů.</w:t>
      </w:r>
    </w:p>
    <w:p w14:paraId="5104858F" w14:textId="77777777" w:rsidR="00CB2594" w:rsidRPr="007434DA" w:rsidRDefault="00CB2594" w:rsidP="00CB2594">
      <w:pPr>
        <w:spacing w:line="360" w:lineRule="atLeast"/>
        <w:rPr>
          <w:rFonts w:cs="Times New Roman"/>
          <w:sz w:val="20"/>
          <w:szCs w:val="20"/>
          <w:lang w:val="cs-CZ"/>
        </w:rPr>
      </w:pPr>
      <w:r w:rsidRPr="007434DA">
        <w:rPr>
          <w:rFonts w:cs="Times New Roman"/>
          <w:b/>
          <w:sz w:val="20"/>
          <w:szCs w:val="20"/>
          <w:lang w:val="cs-CZ"/>
        </w:rPr>
        <w:t>Tab. A 5 Výměra ploch osetých kukuřicí nejméně třikrát po sobě v letech 2015-2018 dle krajů (ha</w:t>
      </w:r>
      <w:r w:rsidRPr="007434DA">
        <w:rPr>
          <w:rFonts w:cs="Times New Roman"/>
          <w:sz w:val="20"/>
          <w:szCs w:val="20"/>
          <w:lang w:val="cs-CZ"/>
        </w:rPr>
        <w:t>)</w:t>
      </w:r>
      <w:r w:rsidRPr="007434DA">
        <w:rPr>
          <w:rFonts w:cs="Times New Roman"/>
          <w:sz w:val="20"/>
          <w:szCs w:val="20"/>
          <w:lang w:val="cs-CZ"/>
        </w:rPr>
        <w:fldChar w:fldCharType="begin"/>
      </w:r>
      <w:r w:rsidRPr="007434DA">
        <w:rPr>
          <w:rFonts w:cs="Times New Roman"/>
          <w:sz w:val="20"/>
          <w:szCs w:val="20"/>
          <w:lang w:val="cs-CZ"/>
        </w:rPr>
        <w:instrText xml:space="preserve"> LINK Excel.Sheet.12 C:\\Users\\kucera\\Documents\\Ukoly\\TU\\2019\\SZP\\kukuřice_tabulky_do_textu.xlsx List1!R6C1:R15C5 \a \f 4 \h  \* MERGEFORMAT </w:instrText>
      </w:r>
      <w:r w:rsidRPr="007434DA">
        <w:rPr>
          <w:rFonts w:cs="Times New Roman"/>
          <w:sz w:val="20"/>
          <w:szCs w:val="20"/>
          <w:lang w:val="cs-CZ"/>
        </w:rPr>
        <w:fldChar w:fldCharType="separate"/>
      </w:r>
    </w:p>
    <w:tbl>
      <w:tblPr>
        <w:tblW w:w="9433" w:type="dxa"/>
        <w:tblCellMar>
          <w:left w:w="70" w:type="dxa"/>
          <w:right w:w="70" w:type="dxa"/>
        </w:tblCellMar>
        <w:tblLook w:val="04A0" w:firstRow="1" w:lastRow="0" w:firstColumn="1" w:lastColumn="0" w:noHBand="0" w:noVBand="1"/>
      </w:tblPr>
      <w:tblGrid>
        <w:gridCol w:w="2370"/>
        <w:gridCol w:w="2445"/>
        <w:gridCol w:w="2693"/>
        <w:gridCol w:w="1925"/>
      </w:tblGrid>
      <w:tr w:rsidR="00CB2594" w:rsidRPr="007434DA" w14:paraId="67F6D33C" w14:textId="77777777" w:rsidTr="004A57B3">
        <w:trPr>
          <w:trHeight w:val="300"/>
        </w:trPr>
        <w:tc>
          <w:tcPr>
            <w:tcW w:w="23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8490FF" w14:textId="77777777" w:rsidR="00CB2594" w:rsidRPr="007434DA" w:rsidRDefault="00CB2594" w:rsidP="004A57B3">
            <w:pPr>
              <w:spacing w:line="360" w:lineRule="atLeast"/>
              <w:jc w:val="center"/>
              <w:rPr>
                <w:rFonts w:cs="Times New Roman"/>
                <w:sz w:val="20"/>
                <w:szCs w:val="20"/>
                <w:lang w:val="cs-CZ"/>
              </w:rPr>
            </w:pPr>
            <w:r w:rsidRPr="007434DA">
              <w:rPr>
                <w:rFonts w:cs="Times New Roman"/>
                <w:sz w:val="20"/>
                <w:szCs w:val="20"/>
                <w:lang w:val="cs-CZ"/>
              </w:rPr>
              <w:t>Kraj</w:t>
            </w:r>
          </w:p>
        </w:tc>
        <w:tc>
          <w:tcPr>
            <w:tcW w:w="2445" w:type="dxa"/>
            <w:tcBorders>
              <w:top w:val="single" w:sz="4" w:space="0" w:color="auto"/>
              <w:left w:val="nil"/>
              <w:bottom w:val="single" w:sz="4" w:space="0" w:color="auto"/>
              <w:right w:val="single" w:sz="4" w:space="0" w:color="auto"/>
            </w:tcBorders>
            <w:shd w:val="clear" w:color="auto" w:fill="auto"/>
            <w:noWrap/>
            <w:vAlign w:val="center"/>
            <w:hideMark/>
          </w:tcPr>
          <w:p w14:paraId="39BB5C81" w14:textId="77777777" w:rsidR="00CB2594" w:rsidRPr="007434DA" w:rsidRDefault="00CB2594" w:rsidP="004A57B3">
            <w:pPr>
              <w:spacing w:line="360" w:lineRule="atLeast"/>
              <w:jc w:val="center"/>
              <w:rPr>
                <w:rFonts w:cs="Times New Roman"/>
                <w:sz w:val="20"/>
                <w:szCs w:val="20"/>
                <w:lang w:val="cs-CZ"/>
              </w:rPr>
            </w:pPr>
            <w:r w:rsidRPr="007434DA">
              <w:rPr>
                <w:rFonts w:cs="Times New Roman"/>
                <w:sz w:val="20"/>
                <w:szCs w:val="20"/>
                <w:lang w:val="cs-CZ"/>
              </w:rPr>
              <w:t>výměra (ha)</w:t>
            </w:r>
          </w:p>
        </w:tc>
        <w:tc>
          <w:tcPr>
            <w:tcW w:w="2693" w:type="dxa"/>
            <w:tcBorders>
              <w:top w:val="single" w:sz="4" w:space="0" w:color="auto"/>
              <w:left w:val="nil"/>
              <w:bottom w:val="single" w:sz="4" w:space="0" w:color="auto"/>
              <w:right w:val="single" w:sz="4" w:space="0" w:color="auto"/>
            </w:tcBorders>
            <w:shd w:val="clear" w:color="auto" w:fill="auto"/>
            <w:noWrap/>
            <w:vAlign w:val="center"/>
            <w:hideMark/>
          </w:tcPr>
          <w:p w14:paraId="63D8A0D8" w14:textId="77777777" w:rsidR="00CB2594" w:rsidRPr="007434DA" w:rsidRDefault="00CB2594" w:rsidP="004A57B3">
            <w:pPr>
              <w:spacing w:line="360" w:lineRule="atLeast"/>
              <w:jc w:val="center"/>
              <w:rPr>
                <w:rFonts w:cs="Times New Roman"/>
                <w:sz w:val="20"/>
                <w:szCs w:val="20"/>
                <w:lang w:val="cs-CZ"/>
              </w:rPr>
            </w:pPr>
            <w:r w:rsidRPr="007434DA">
              <w:rPr>
                <w:rFonts w:cs="Times New Roman"/>
                <w:sz w:val="20"/>
                <w:szCs w:val="20"/>
                <w:lang w:val="cs-CZ"/>
              </w:rPr>
              <w:t>kraj</w:t>
            </w:r>
          </w:p>
        </w:tc>
        <w:tc>
          <w:tcPr>
            <w:tcW w:w="1925" w:type="dxa"/>
            <w:tcBorders>
              <w:top w:val="single" w:sz="4" w:space="0" w:color="auto"/>
              <w:left w:val="nil"/>
              <w:bottom w:val="single" w:sz="4" w:space="0" w:color="auto"/>
              <w:right w:val="single" w:sz="4" w:space="0" w:color="auto"/>
            </w:tcBorders>
            <w:shd w:val="clear" w:color="auto" w:fill="auto"/>
            <w:noWrap/>
            <w:vAlign w:val="center"/>
            <w:hideMark/>
          </w:tcPr>
          <w:p w14:paraId="089F7276" w14:textId="77777777" w:rsidR="00CB2594" w:rsidRPr="007434DA" w:rsidRDefault="00CB2594" w:rsidP="004A57B3">
            <w:pPr>
              <w:spacing w:line="360" w:lineRule="atLeast"/>
              <w:jc w:val="center"/>
              <w:rPr>
                <w:rFonts w:cs="Times New Roman"/>
                <w:sz w:val="20"/>
                <w:szCs w:val="20"/>
                <w:lang w:val="cs-CZ"/>
              </w:rPr>
            </w:pPr>
            <w:r w:rsidRPr="007434DA">
              <w:rPr>
                <w:rFonts w:cs="Times New Roman"/>
                <w:sz w:val="20"/>
                <w:szCs w:val="20"/>
                <w:lang w:val="cs-CZ"/>
              </w:rPr>
              <w:t>výměra (ha)</w:t>
            </w:r>
          </w:p>
        </w:tc>
      </w:tr>
      <w:tr w:rsidR="00CB2594" w:rsidRPr="007434DA" w14:paraId="1EED2609" w14:textId="77777777" w:rsidTr="004A57B3">
        <w:trPr>
          <w:trHeight w:val="300"/>
        </w:trPr>
        <w:tc>
          <w:tcPr>
            <w:tcW w:w="2370" w:type="dxa"/>
            <w:tcBorders>
              <w:top w:val="nil"/>
              <w:left w:val="single" w:sz="4" w:space="0" w:color="auto"/>
              <w:bottom w:val="single" w:sz="4" w:space="0" w:color="auto"/>
              <w:right w:val="single" w:sz="4" w:space="0" w:color="auto"/>
            </w:tcBorders>
            <w:shd w:val="clear" w:color="auto" w:fill="auto"/>
            <w:noWrap/>
            <w:vAlign w:val="center"/>
            <w:hideMark/>
          </w:tcPr>
          <w:p w14:paraId="031291BF" w14:textId="77777777" w:rsidR="00CB2594" w:rsidRPr="007434DA" w:rsidRDefault="00CB2594" w:rsidP="004A57B3">
            <w:pPr>
              <w:spacing w:line="360" w:lineRule="atLeast"/>
              <w:rPr>
                <w:rFonts w:cs="Times New Roman"/>
                <w:sz w:val="20"/>
                <w:szCs w:val="20"/>
                <w:lang w:val="cs-CZ"/>
              </w:rPr>
            </w:pPr>
            <w:r w:rsidRPr="007434DA">
              <w:rPr>
                <w:rFonts w:cs="Times New Roman"/>
                <w:sz w:val="20"/>
                <w:szCs w:val="20"/>
                <w:lang w:val="cs-CZ"/>
              </w:rPr>
              <w:t>Hlavní město Praha</w:t>
            </w:r>
          </w:p>
        </w:tc>
        <w:tc>
          <w:tcPr>
            <w:tcW w:w="2445" w:type="dxa"/>
            <w:tcBorders>
              <w:top w:val="nil"/>
              <w:left w:val="nil"/>
              <w:bottom w:val="single" w:sz="4" w:space="0" w:color="auto"/>
              <w:right w:val="single" w:sz="4" w:space="0" w:color="auto"/>
            </w:tcBorders>
            <w:shd w:val="clear" w:color="auto" w:fill="auto"/>
            <w:noWrap/>
            <w:vAlign w:val="center"/>
            <w:hideMark/>
          </w:tcPr>
          <w:p w14:paraId="7A6E03E8" w14:textId="77777777" w:rsidR="00CB2594" w:rsidRPr="007434DA" w:rsidRDefault="00CB2594" w:rsidP="004A57B3">
            <w:pPr>
              <w:spacing w:line="360" w:lineRule="atLeast"/>
              <w:ind w:right="927"/>
              <w:jc w:val="right"/>
              <w:rPr>
                <w:rFonts w:cs="Times New Roman"/>
                <w:sz w:val="20"/>
                <w:szCs w:val="20"/>
                <w:lang w:val="cs-CZ"/>
              </w:rPr>
            </w:pPr>
            <w:r w:rsidRPr="007434DA">
              <w:rPr>
                <w:rFonts w:cs="Times New Roman"/>
                <w:sz w:val="20"/>
                <w:szCs w:val="20"/>
                <w:lang w:val="cs-CZ"/>
              </w:rPr>
              <w:t>96</w:t>
            </w:r>
          </w:p>
        </w:tc>
        <w:tc>
          <w:tcPr>
            <w:tcW w:w="2693" w:type="dxa"/>
            <w:tcBorders>
              <w:top w:val="nil"/>
              <w:left w:val="nil"/>
              <w:bottom w:val="single" w:sz="4" w:space="0" w:color="auto"/>
              <w:right w:val="single" w:sz="4" w:space="0" w:color="auto"/>
            </w:tcBorders>
            <w:shd w:val="clear" w:color="auto" w:fill="auto"/>
            <w:noWrap/>
            <w:vAlign w:val="center"/>
            <w:hideMark/>
          </w:tcPr>
          <w:p w14:paraId="6998CBF9" w14:textId="77777777" w:rsidR="00CB2594" w:rsidRPr="007434DA" w:rsidRDefault="00CB2594" w:rsidP="004A57B3">
            <w:pPr>
              <w:spacing w:line="360" w:lineRule="atLeast"/>
              <w:rPr>
                <w:rFonts w:cs="Times New Roman"/>
                <w:sz w:val="20"/>
                <w:szCs w:val="20"/>
                <w:lang w:val="cs-CZ"/>
              </w:rPr>
            </w:pPr>
            <w:r w:rsidRPr="007434DA">
              <w:rPr>
                <w:rFonts w:cs="Times New Roman"/>
                <w:sz w:val="20"/>
                <w:szCs w:val="20"/>
                <w:lang w:val="cs-CZ"/>
              </w:rPr>
              <w:t>Moravskoslezský kraj</w:t>
            </w:r>
          </w:p>
        </w:tc>
        <w:tc>
          <w:tcPr>
            <w:tcW w:w="1925" w:type="dxa"/>
            <w:tcBorders>
              <w:top w:val="nil"/>
              <w:left w:val="nil"/>
              <w:bottom w:val="single" w:sz="4" w:space="0" w:color="auto"/>
              <w:right w:val="single" w:sz="4" w:space="0" w:color="auto"/>
            </w:tcBorders>
            <w:shd w:val="clear" w:color="auto" w:fill="auto"/>
            <w:noWrap/>
            <w:vAlign w:val="center"/>
            <w:hideMark/>
          </w:tcPr>
          <w:p w14:paraId="25D60792" w14:textId="77777777" w:rsidR="00CB2594" w:rsidRPr="007434DA" w:rsidRDefault="00CB2594" w:rsidP="004A57B3">
            <w:pPr>
              <w:spacing w:line="360" w:lineRule="atLeast"/>
              <w:jc w:val="center"/>
              <w:rPr>
                <w:rFonts w:cs="Times New Roman"/>
                <w:sz w:val="20"/>
                <w:szCs w:val="20"/>
                <w:lang w:val="cs-CZ"/>
              </w:rPr>
            </w:pPr>
            <w:r w:rsidRPr="007434DA">
              <w:rPr>
                <w:rFonts w:cs="Times New Roman"/>
                <w:sz w:val="20"/>
                <w:szCs w:val="20"/>
                <w:lang w:val="cs-CZ"/>
              </w:rPr>
              <w:t>1 834</w:t>
            </w:r>
          </w:p>
        </w:tc>
      </w:tr>
      <w:tr w:rsidR="00CB2594" w:rsidRPr="007434DA" w14:paraId="2C7FCF38" w14:textId="77777777" w:rsidTr="004A57B3">
        <w:trPr>
          <w:trHeight w:val="300"/>
        </w:trPr>
        <w:tc>
          <w:tcPr>
            <w:tcW w:w="2370" w:type="dxa"/>
            <w:tcBorders>
              <w:top w:val="nil"/>
              <w:left w:val="single" w:sz="4" w:space="0" w:color="auto"/>
              <w:bottom w:val="single" w:sz="4" w:space="0" w:color="auto"/>
              <w:right w:val="single" w:sz="4" w:space="0" w:color="auto"/>
            </w:tcBorders>
            <w:shd w:val="clear" w:color="auto" w:fill="auto"/>
            <w:noWrap/>
            <w:vAlign w:val="center"/>
            <w:hideMark/>
          </w:tcPr>
          <w:p w14:paraId="0AD8F161" w14:textId="77777777" w:rsidR="00CB2594" w:rsidRPr="007434DA" w:rsidRDefault="00CB2594" w:rsidP="004A57B3">
            <w:pPr>
              <w:spacing w:line="360" w:lineRule="atLeast"/>
              <w:rPr>
                <w:rFonts w:cs="Times New Roman"/>
                <w:sz w:val="20"/>
                <w:szCs w:val="20"/>
                <w:lang w:val="cs-CZ"/>
              </w:rPr>
            </w:pPr>
            <w:r w:rsidRPr="007434DA">
              <w:rPr>
                <w:rFonts w:cs="Times New Roman"/>
                <w:sz w:val="20"/>
                <w:szCs w:val="20"/>
                <w:lang w:val="cs-CZ"/>
              </w:rPr>
              <w:t>Jihočeský kraj</w:t>
            </w:r>
          </w:p>
        </w:tc>
        <w:tc>
          <w:tcPr>
            <w:tcW w:w="2445" w:type="dxa"/>
            <w:tcBorders>
              <w:top w:val="nil"/>
              <w:left w:val="nil"/>
              <w:bottom w:val="single" w:sz="4" w:space="0" w:color="auto"/>
              <w:right w:val="single" w:sz="4" w:space="0" w:color="auto"/>
            </w:tcBorders>
            <w:shd w:val="clear" w:color="auto" w:fill="auto"/>
            <w:noWrap/>
            <w:vAlign w:val="center"/>
            <w:hideMark/>
          </w:tcPr>
          <w:p w14:paraId="3FB0BC01" w14:textId="77777777" w:rsidR="00CB2594" w:rsidRPr="007434DA" w:rsidRDefault="00CB2594" w:rsidP="004A57B3">
            <w:pPr>
              <w:spacing w:line="360" w:lineRule="atLeast"/>
              <w:ind w:right="927"/>
              <w:jc w:val="right"/>
              <w:rPr>
                <w:rFonts w:cs="Times New Roman"/>
                <w:sz w:val="20"/>
                <w:szCs w:val="20"/>
                <w:lang w:val="cs-CZ"/>
              </w:rPr>
            </w:pPr>
            <w:r w:rsidRPr="007434DA">
              <w:rPr>
                <w:rFonts w:cs="Times New Roman"/>
                <w:sz w:val="20"/>
                <w:szCs w:val="20"/>
                <w:lang w:val="cs-CZ"/>
              </w:rPr>
              <w:t>2 221</w:t>
            </w:r>
          </w:p>
        </w:tc>
        <w:tc>
          <w:tcPr>
            <w:tcW w:w="2693" w:type="dxa"/>
            <w:tcBorders>
              <w:top w:val="nil"/>
              <w:left w:val="nil"/>
              <w:bottom w:val="single" w:sz="4" w:space="0" w:color="auto"/>
              <w:right w:val="single" w:sz="4" w:space="0" w:color="auto"/>
            </w:tcBorders>
            <w:shd w:val="clear" w:color="auto" w:fill="auto"/>
            <w:noWrap/>
            <w:vAlign w:val="center"/>
            <w:hideMark/>
          </w:tcPr>
          <w:p w14:paraId="7A293AD1" w14:textId="77777777" w:rsidR="00CB2594" w:rsidRPr="007434DA" w:rsidRDefault="00CB2594" w:rsidP="004A57B3">
            <w:pPr>
              <w:spacing w:line="360" w:lineRule="atLeast"/>
              <w:rPr>
                <w:rFonts w:cs="Times New Roman"/>
                <w:sz w:val="20"/>
                <w:szCs w:val="20"/>
                <w:lang w:val="cs-CZ"/>
              </w:rPr>
            </w:pPr>
            <w:r w:rsidRPr="007434DA">
              <w:rPr>
                <w:rFonts w:cs="Times New Roman"/>
                <w:sz w:val="20"/>
                <w:szCs w:val="20"/>
                <w:lang w:val="cs-CZ"/>
              </w:rPr>
              <w:t>Olomoucký kraj</w:t>
            </w:r>
          </w:p>
        </w:tc>
        <w:tc>
          <w:tcPr>
            <w:tcW w:w="1925" w:type="dxa"/>
            <w:tcBorders>
              <w:top w:val="nil"/>
              <w:left w:val="nil"/>
              <w:bottom w:val="single" w:sz="4" w:space="0" w:color="auto"/>
              <w:right w:val="single" w:sz="4" w:space="0" w:color="auto"/>
            </w:tcBorders>
            <w:shd w:val="clear" w:color="auto" w:fill="auto"/>
            <w:noWrap/>
            <w:vAlign w:val="center"/>
            <w:hideMark/>
          </w:tcPr>
          <w:p w14:paraId="1AC25692" w14:textId="77777777" w:rsidR="00CB2594" w:rsidRPr="007434DA" w:rsidRDefault="00CB2594" w:rsidP="004A57B3">
            <w:pPr>
              <w:spacing w:line="360" w:lineRule="atLeast"/>
              <w:jc w:val="center"/>
              <w:rPr>
                <w:rFonts w:cs="Times New Roman"/>
                <w:sz w:val="20"/>
                <w:szCs w:val="20"/>
                <w:lang w:val="cs-CZ"/>
              </w:rPr>
            </w:pPr>
            <w:r w:rsidRPr="007434DA">
              <w:rPr>
                <w:rFonts w:cs="Times New Roman"/>
                <w:sz w:val="20"/>
                <w:szCs w:val="20"/>
                <w:lang w:val="cs-CZ"/>
              </w:rPr>
              <w:t>2 259</w:t>
            </w:r>
          </w:p>
        </w:tc>
      </w:tr>
      <w:tr w:rsidR="00CB2594" w:rsidRPr="007434DA" w14:paraId="166F4954" w14:textId="77777777" w:rsidTr="004A57B3">
        <w:trPr>
          <w:trHeight w:val="300"/>
        </w:trPr>
        <w:tc>
          <w:tcPr>
            <w:tcW w:w="2370" w:type="dxa"/>
            <w:tcBorders>
              <w:top w:val="nil"/>
              <w:left w:val="single" w:sz="4" w:space="0" w:color="auto"/>
              <w:bottom w:val="single" w:sz="4" w:space="0" w:color="auto"/>
              <w:right w:val="single" w:sz="4" w:space="0" w:color="auto"/>
            </w:tcBorders>
            <w:shd w:val="clear" w:color="auto" w:fill="auto"/>
            <w:noWrap/>
            <w:vAlign w:val="center"/>
            <w:hideMark/>
          </w:tcPr>
          <w:p w14:paraId="3E3D6951" w14:textId="77777777" w:rsidR="00CB2594" w:rsidRPr="007434DA" w:rsidRDefault="00CB2594" w:rsidP="004A57B3">
            <w:pPr>
              <w:spacing w:line="360" w:lineRule="atLeast"/>
              <w:rPr>
                <w:rFonts w:cs="Times New Roman"/>
                <w:sz w:val="20"/>
                <w:szCs w:val="20"/>
                <w:lang w:val="cs-CZ"/>
              </w:rPr>
            </w:pPr>
            <w:r w:rsidRPr="007434DA">
              <w:rPr>
                <w:rFonts w:cs="Times New Roman"/>
                <w:sz w:val="20"/>
                <w:szCs w:val="20"/>
                <w:lang w:val="cs-CZ"/>
              </w:rPr>
              <w:t>Jihomoravský kraj</w:t>
            </w:r>
          </w:p>
        </w:tc>
        <w:tc>
          <w:tcPr>
            <w:tcW w:w="2445" w:type="dxa"/>
            <w:tcBorders>
              <w:top w:val="nil"/>
              <w:left w:val="nil"/>
              <w:bottom w:val="single" w:sz="4" w:space="0" w:color="auto"/>
              <w:right w:val="single" w:sz="4" w:space="0" w:color="auto"/>
            </w:tcBorders>
            <w:shd w:val="clear" w:color="auto" w:fill="auto"/>
            <w:noWrap/>
            <w:vAlign w:val="center"/>
            <w:hideMark/>
          </w:tcPr>
          <w:p w14:paraId="54FE1753" w14:textId="77777777" w:rsidR="00CB2594" w:rsidRPr="007434DA" w:rsidRDefault="00CB2594" w:rsidP="004A57B3">
            <w:pPr>
              <w:spacing w:line="360" w:lineRule="atLeast"/>
              <w:ind w:right="927"/>
              <w:jc w:val="right"/>
              <w:rPr>
                <w:rFonts w:cs="Times New Roman"/>
                <w:sz w:val="20"/>
                <w:szCs w:val="20"/>
                <w:lang w:val="cs-CZ"/>
              </w:rPr>
            </w:pPr>
            <w:r w:rsidRPr="007434DA">
              <w:rPr>
                <w:rFonts w:cs="Times New Roman"/>
                <w:sz w:val="20"/>
                <w:szCs w:val="20"/>
                <w:lang w:val="cs-CZ"/>
              </w:rPr>
              <w:t>12 664</w:t>
            </w:r>
          </w:p>
        </w:tc>
        <w:tc>
          <w:tcPr>
            <w:tcW w:w="2693" w:type="dxa"/>
            <w:tcBorders>
              <w:top w:val="nil"/>
              <w:left w:val="nil"/>
              <w:bottom w:val="single" w:sz="4" w:space="0" w:color="auto"/>
              <w:right w:val="single" w:sz="4" w:space="0" w:color="auto"/>
            </w:tcBorders>
            <w:shd w:val="clear" w:color="auto" w:fill="auto"/>
            <w:noWrap/>
            <w:vAlign w:val="center"/>
            <w:hideMark/>
          </w:tcPr>
          <w:p w14:paraId="32D1AF42" w14:textId="77777777" w:rsidR="00CB2594" w:rsidRPr="007434DA" w:rsidRDefault="00CB2594" w:rsidP="004A57B3">
            <w:pPr>
              <w:spacing w:line="360" w:lineRule="atLeast"/>
              <w:rPr>
                <w:rFonts w:cs="Times New Roman"/>
                <w:sz w:val="20"/>
                <w:szCs w:val="20"/>
                <w:lang w:val="cs-CZ"/>
              </w:rPr>
            </w:pPr>
            <w:r w:rsidRPr="007434DA">
              <w:rPr>
                <w:rFonts w:cs="Times New Roman"/>
                <w:sz w:val="20"/>
                <w:szCs w:val="20"/>
                <w:lang w:val="cs-CZ"/>
              </w:rPr>
              <w:t>Pardubický kraj</w:t>
            </w:r>
          </w:p>
        </w:tc>
        <w:tc>
          <w:tcPr>
            <w:tcW w:w="1925" w:type="dxa"/>
            <w:tcBorders>
              <w:top w:val="nil"/>
              <w:left w:val="nil"/>
              <w:bottom w:val="single" w:sz="4" w:space="0" w:color="auto"/>
              <w:right w:val="single" w:sz="4" w:space="0" w:color="auto"/>
            </w:tcBorders>
            <w:shd w:val="clear" w:color="auto" w:fill="auto"/>
            <w:noWrap/>
            <w:vAlign w:val="center"/>
            <w:hideMark/>
          </w:tcPr>
          <w:p w14:paraId="313D443B" w14:textId="77777777" w:rsidR="00CB2594" w:rsidRPr="007434DA" w:rsidRDefault="00CB2594" w:rsidP="004A57B3">
            <w:pPr>
              <w:spacing w:line="360" w:lineRule="atLeast"/>
              <w:jc w:val="center"/>
              <w:rPr>
                <w:rFonts w:cs="Times New Roman"/>
                <w:sz w:val="20"/>
                <w:szCs w:val="20"/>
                <w:lang w:val="cs-CZ"/>
              </w:rPr>
            </w:pPr>
            <w:r w:rsidRPr="007434DA">
              <w:rPr>
                <w:rFonts w:cs="Times New Roman"/>
                <w:sz w:val="20"/>
                <w:szCs w:val="20"/>
                <w:lang w:val="cs-CZ"/>
              </w:rPr>
              <w:t>3 310</w:t>
            </w:r>
          </w:p>
        </w:tc>
      </w:tr>
      <w:tr w:rsidR="00CB2594" w:rsidRPr="007434DA" w14:paraId="0F738295" w14:textId="77777777" w:rsidTr="004A57B3">
        <w:trPr>
          <w:trHeight w:val="300"/>
        </w:trPr>
        <w:tc>
          <w:tcPr>
            <w:tcW w:w="2370" w:type="dxa"/>
            <w:tcBorders>
              <w:top w:val="nil"/>
              <w:left w:val="single" w:sz="4" w:space="0" w:color="auto"/>
              <w:bottom w:val="single" w:sz="4" w:space="0" w:color="auto"/>
              <w:right w:val="single" w:sz="4" w:space="0" w:color="auto"/>
            </w:tcBorders>
            <w:shd w:val="clear" w:color="auto" w:fill="auto"/>
            <w:noWrap/>
            <w:vAlign w:val="center"/>
            <w:hideMark/>
          </w:tcPr>
          <w:p w14:paraId="465CD057" w14:textId="77777777" w:rsidR="00CB2594" w:rsidRPr="007434DA" w:rsidRDefault="00CB2594" w:rsidP="004A57B3">
            <w:pPr>
              <w:spacing w:line="360" w:lineRule="atLeast"/>
              <w:rPr>
                <w:rFonts w:cs="Times New Roman"/>
                <w:sz w:val="20"/>
                <w:szCs w:val="20"/>
                <w:lang w:val="cs-CZ"/>
              </w:rPr>
            </w:pPr>
            <w:r w:rsidRPr="007434DA">
              <w:rPr>
                <w:rFonts w:cs="Times New Roman"/>
                <w:sz w:val="20"/>
                <w:szCs w:val="20"/>
                <w:lang w:val="cs-CZ"/>
              </w:rPr>
              <w:t>Karlovarský kraj</w:t>
            </w:r>
          </w:p>
        </w:tc>
        <w:tc>
          <w:tcPr>
            <w:tcW w:w="2445" w:type="dxa"/>
            <w:tcBorders>
              <w:top w:val="nil"/>
              <w:left w:val="nil"/>
              <w:bottom w:val="single" w:sz="4" w:space="0" w:color="auto"/>
              <w:right w:val="single" w:sz="4" w:space="0" w:color="auto"/>
            </w:tcBorders>
            <w:shd w:val="clear" w:color="auto" w:fill="auto"/>
            <w:noWrap/>
            <w:vAlign w:val="center"/>
            <w:hideMark/>
          </w:tcPr>
          <w:p w14:paraId="71B1759D" w14:textId="77777777" w:rsidR="00CB2594" w:rsidRPr="007434DA" w:rsidRDefault="00CB2594" w:rsidP="004A57B3">
            <w:pPr>
              <w:spacing w:line="360" w:lineRule="atLeast"/>
              <w:ind w:right="927"/>
              <w:jc w:val="right"/>
              <w:rPr>
                <w:rFonts w:cs="Times New Roman"/>
                <w:sz w:val="20"/>
                <w:szCs w:val="20"/>
                <w:lang w:val="cs-CZ"/>
              </w:rPr>
            </w:pPr>
            <w:r w:rsidRPr="007434DA">
              <w:rPr>
                <w:rFonts w:cs="Times New Roman"/>
                <w:sz w:val="20"/>
                <w:szCs w:val="20"/>
                <w:lang w:val="cs-CZ"/>
              </w:rPr>
              <w:t>550</w:t>
            </w:r>
          </w:p>
        </w:tc>
        <w:tc>
          <w:tcPr>
            <w:tcW w:w="2693" w:type="dxa"/>
            <w:tcBorders>
              <w:top w:val="nil"/>
              <w:left w:val="nil"/>
              <w:bottom w:val="single" w:sz="4" w:space="0" w:color="auto"/>
              <w:right w:val="single" w:sz="4" w:space="0" w:color="auto"/>
            </w:tcBorders>
            <w:shd w:val="clear" w:color="auto" w:fill="auto"/>
            <w:noWrap/>
            <w:vAlign w:val="center"/>
            <w:hideMark/>
          </w:tcPr>
          <w:p w14:paraId="3FFA0A56" w14:textId="77777777" w:rsidR="00CB2594" w:rsidRPr="007434DA" w:rsidRDefault="00CB2594" w:rsidP="004A57B3">
            <w:pPr>
              <w:spacing w:line="360" w:lineRule="atLeast"/>
              <w:rPr>
                <w:rFonts w:cs="Times New Roman"/>
                <w:sz w:val="20"/>
                <w:szCs w:val="20"/>
                <w:lang w:val="cs-CZ"/>
              </w:rPr>
            </w:pPr>
            <w:r w:rsidRPr="007434DA">
              <w:rPr>
                <w:rFonts w:cs="Times New Roman"/>
                <w:sz w:val="20"/>
                <w:szCs w:val="20"/>
                <w:lang w:val="cs-CZ"/>
              </w:rPr>
              <w:t>Plzeňský kraj</w:t>
            </w:r>
          </w:p>
        </w:tc>
        <w:tc>
          <w:tcPr>
            <w:tcW w:w="1925" w:type="dxa"/>
            <w:tcBorders>
              <w:top w:val="nil"/>
              <w:left w:val="nil"/>
              <w:bottom w:val="single" w:sz="4" w:space="0" w:color="auto"/>
              <w:right w:val="single" w:sz="4" w:space="0" w:color="auto"/>
            </w:tcBorders>
            <w:shd w:val="clear" w:color="auto" w:fill="auto"/>
            <w:noWrap/>
            <w:vAlign w:val="center"/>
            <w:hideMark/>
          </w:tcPr>
          <w:p w14:paraId="766B5A48" w14:textId="77777777" w:rsidR="00CB2594" w:rsidRPr="007434DA" w:rsidRDefault="00CB2594" w:rsidP="004A57B3">
            <w:pPr>
              <w:spacing w:line="360" w:lineRule="atLeast"/>
              <w:jc w:val="center"/>
              <w:rPr>
                <w:rFonts w:cs="Times New Roman"/>
                <w:sz w:val="20"/>
                <w:szCs w:val="20"/>
                <w:lang w:val="cs-CZ"/>
              </w:rPr>
            </w:pPr>
            <w:r w:rsidRPr="007434DA">
              <w:rPr>
                <w:rFonts w:cs="Times New Roman"/>
                <w:sz w:val="20"/>
                <w:szCs w:val="20"/>
                <w:lang w:val="cs-CZ"/>
              </w:rPr>
              <w:t>4 160</w:t>
            </w:r>
          </w:p>
        </w:tc>
      </w:tr>
      <w:tr w:rsidR="00CB2594" w:rsidRPr="007434DA" w14:paraId="638B0626" w14:textId="77777777" w:rsidTr="004A57B3">
        <w:trPr>
          <w:trHeight w:val="300"/>
        </w:trPr>
        <w:tc>
          <w:tcPr>
            <w:tcW w:w="2370" w:type="dxa"/>
            <w:tcBorders>
              <w:top w:val="nil"/>
              <w:left w:val="single" w:sz="4" w:space="0" w:color="auto"/>
              <w:bottom w:val="single" w:sz="4" w:space="0" w:color="auto"/>
              <w:right w:val="single" w:sz="4" w:space="0" w:color="auto"/>
            </w:tcBorders>
            <w:shd w:val="clear" w:color="auto" w:fill="auto"/>
            <w:noWrap/>
            <w:vAlign w:val="center"/>
            <w:hideMark/>
          </w:tcPr>
          <w:p w14:paraId="5D653C82" w14:textId="77777777" w:rsidR="00CB2594" w:rsidRPr="007434DA" w:rsidRDefault="00CB2594" w:rsidP="004A57B3">
            <w:pPr>
              <w:spacing w:line="360" w:lineRule="atLeast"/>
              <w:rPr>
                <w:rFonts w:cs="Times New Roman"/>
                <w:sz w:val="20"/>
                <w:szCs w:val="20"/>
                <w:lang w:val="cs-CZ"/>
              </w:rPr>
            </w:pPr>
            <w:r w:rsidRPr="007434DA">
              <w:rPr>
                <w:rFonts w:cs="Times New Roman"/>
                <w:sz w:val="20"/>
                <w:szCs w:val="20"/>
                <w:lang w:val="cs-CZ"/>
              </w:rPr>
              <w:t>Kraj Vysočina</w:t>
            </w:r>
          </w:p>
        </w:tc>
        <w:tc>
          <w:tcPr>
            <w:tcW w:w="2445" w:type="dxa"/>
            <w:tcBorders>
              <w:top w:val="nil"/>
              <w:left w:val="nil"/>
              <w:bottom w:val="single" w:sz="4" w:space="0" w:color="auto"/>
              <w:right w:val="single" w:sz="4" w:space="0" w:color="auto"/>
            </w:tcBorders>
            <w:shd w:val="clear" w:color="auto" w:fill="auto"/>
            <w:noWrap/>
            <w:vAlign w:val="center"/>
            <w:hideMark/>
          </w:tcPr>
          <w:p w14:paraId="0FCF31C7" w14:textId="77777777" w:rsidR="00CB2594" w:rsidRPr="007434DA" w:rsidRDefault="00CB2594" w:rsidP="004A57B3">
            <w:pPr>
              <w:spacing w:line="360" w:lineRule="atLeast"/>
              <w:ind w:right="927"/>
              <w:jc w:val="right"/>
              <w:rPr>
                <w:rFonts w:cs="Times New Roman"/>
                <w:sz w:val="20"/>
                <w:szCs w:val="20"/>
                <w:lang w:val="cs-CZ"/>
              </w:rPr>
            </w:pPr>
            <w:r w:rsidRPr="007434DA">
              <w:rPr>
                <w:rFonts w:cs="Times New Roman"/>
                <w:sz w:val="20"/>
                <w:szCs w:val="20"/>
                <w:lang w:val="cs-CZ"/>
              </w:rPr>
              <w:t>3 472</w:t>
            </w:r>
          </w:p>
        </w:tc>
        <w:tc>
          <w:tcPr>
            <w:tcW w:w="2693" w:type="dxa"/>
            <w:tcBorders>
              <w:top w:val="nil"/>
              <w:left w:val="nil"/>
              <w:bottom w:val="single" w:sz="4" w:space="0" w:color="auto"/>
              <w:right w:val="single" w:sz="4" w:space="0" w:color="auto"/>
            </w:tcBorders>
            <w:shd w:val="clear" w:color="auto" w:fill="auto"/>
            <w:noWrap/>
            <w:vAlign w:val="center"/>
            <w:hideMark/>
          </w:tcPr>
          <w:p w14:paraId="1AB55E03" w14:textId="77777777" w:rsidR="00CB2594" w:rsidRPr="007434DA" w:rsidRDefault="00CB2594" w:rsidP="004A57B3">
            <w:pPr>
              <w:spacing w:line="360" w:lineRule="atLeast"/>
              <w:rPr>
                <w:rFonts w:cs="Times New Roman"/>
                <w:sz w:val="20"/>
                <w:szCs w:val="20"/>
                <w:lang w:val="cs-CZ"/>
              </w:rPr>
            </w:pPr>
            <w:r w:rsidRPr="007434DA">
              <w:rPr>
                <w:rFonts w:cs="Times New Roman"/>
                <w:sz w:val="20"/>
                <w:szCs w:val="20"/>
                <w:lang w:val="cs-CZ"/>
              </w:rPr>
              <w:t>Středočeský kraj</w:t>
            </w:r>
          </w:p>
        </w:tc>
        <w:tc>
          <w:tcPr>
            <w:tcW w:w="1925" w:type="dxa"/>
            <w:tcBorders>
              <w:top w:val="nil"/>
              <w:left w:val="nil"/>
              <w:bottom w:val="single" w:sz="4" w:space="0" w:color="auto"/>
              <w:right w:val="single" w:sz="4" w:space="0" w:color="auto"/>
            </w:tcBorders>
            <w:shd w:val="clear" w:color="auto" w:fill="auto"/>
            <w:noWrap/>
            <w:vAlign w:val="center"/>
            <w:hideMark/>
          </w:tcPr>
          <w:p w14:paraId="3AE44DD7" w14:textId="77777777" w:rsidR="00CB2594" w:rsidRPr="007434DA" w:rsidRDefault="00CB2594" w:rsidP="004A57B3">
            <w:pPr>
              <w:spacing w:line="360" w:lineRule="atLeast"/>
              <w:jc w:val="center"/>
              <w:rPr>
                <w:rFonts w:cs="Times New Roman"/>
                <w:sz w:val="20"/>
                <w:szCs w:val="20"/>
                <w:lang w:val="cs-CZ"/>
              </w:rPr>
            </w:pPr>
            <w:r w:rsidRPr="007434DA">
              <w:rPr>
                <w:rFonts w:cs="Times New Roman"/>
                <w:sz w:val="20"/>
                <w:szCs w:val="20"/>
                <w:lang w:val="cs-CZ"/>
              </w:rPr>
              <w:t>5 330</w:t>
            </w:r>
          </w:p>
        </w:tc>
      </w:tr>
      <w:tr w:rsidR="00CB2594" w:rsidRPr="007434DA" w14:paraId="6A0A151B" w14:textId="77777777" w:rsidTr="004A57B3">
        <w:trPr>
          <w:trHeight w:val="300"/>
        </w:trPr>
        <w:tc>
          <w:tcPr>
            <w:tcW w:w="2370" w:type="dxa"/>
            <w:tcBorders>
              <w:top w:val="nil"/>
              <w:left w:val="single" w:sz="4" w:space="0" w:color="auto"/>
              <w:bottom w:val="single" w:sz="4" w:space="0" w:color="auto"/>
              <w:right w:val="single" w:sz="4" w:space="0" w:color="auto"/>
            </w:tcBorders>
            <w:shd w:val="clear" w:color="auto" w:fill="auto"/>
            <w:noWrap/>
            <w:vAlign w:val="center"/>
            <w:hideMark/>
          </w:tcPr>
          <w:p w14:paraId="6777BFDC" w14:textId="77777777" w:rsidR="00CB2594" w:rsidRPr="007434DA" w:rsidRDefault="00CB2594" w:rsidP="004A57B3">
            <w:pPr>
              <w:spacing w:line="360" w:lineRule="atLeast"/>
              <w:rPr>
                <w:rFonts w:cs="Times New Roman"/>
                <w:sz w:val="20"/>
                <w:szCs w:val="20"/>
                <w:lang w:val="cs-CZ"/>
              </w:rPr>
            </w:pPr>
            <w:r w:rsidRPr="007434DA">
              <w:rPr>
                <w:rFonts w:cs="Times New Roman"/>
                <w:sz w:val="20"/>
                <w:szCs w:val="20"/>
                <w:lang w:val="cs-CZ"/>
              </w:rPr>
              <w:t>Královéhradecký kraj</w:t>
            </w:r>
          </w:p>
        </w:tc>
        <w:tc>
          <w:tcPr>
            <w:tcW w:w="2445" w:type="dxa"/>
            <w:tcBorders>
              <w:top w:val="nil"/>
              <w:left w:val="nil"/>
              <w:bottom w:val="single" w:sz="4" w:space="0" w:color="auto"/>
              <w:right w:val="single" w:sz="4" w:space="0" w:color="auto"/>
            </w:tcBorders>
            <w:shd w:val="clear" w:color="auto" w:fill="auto"/>
            <w:noWrap/>
            <w:vAlign w:val="center"/>
            <w:hideMark/>
          </w:tcPr>
          <w:p w14:paraId="780855E0" w14:textId="77777777" w:rsidR="00CB2594" w:rsidRPr="007434DA" w:rsidRDefault="00CB2594" w:rsidP="004A57B3">
            <w:pPr>
              <w:spacing w:line="360" w:lineRule="atLeast"/>
              <w:ind w:right="927"/>
              <w:jc w:val="right"/>
              <w:rPr>
                <w:rFonts w:cs="Times New Roman"/>
                <w:sz w:val="20"/>
                <w:szCs w:val="20"/>
                <w:lang w:val="cs-CZ"/>
              </w:rPr>
            </w:pPr>
            <w:r w:rsidRPr="007434DA">
              <w:rPr>
                <w:rFonts w:cs="Times New Roman"/>
                <w:sz w:val="20"/>
                <w:szCs w:val="20"/>
                <w:lang w:val="cs-CZ"/>
              </w:rPr>
              <w:t>3 212</w:t>
            </w:r>
          </w:p>
        </w:tc>
        <w:tc>
          <w:tcPr>
            <w:tcW w:w="2693" w:type="dxa"/>
            <w:tcBorders>
              <w:top w:val="nil"/>
              <w:left w:val="nil"/>
              <w:bottom w:val="single" w:sz="4" w:space="0" w:color="auto"/>
              <w:right w:val="single" w:sz="4" w:space="0" w:color="auto"/>
            </w:tcBorders>
            <w:shd w:val="clear" w:color="auto" w:fill="auto"/>
            <w:noWrap/>
            <w:vAlign w:val="center"/>
            <w:hideMark/>
          </w:tcPr>
          <w:p w14:paraId="72D37559" w14:textId="77777777" w:rsidR="00CB2594" w:rsidRPr="007434DA" w:rsidRDefault="00CB2594" w:rsidP="004A57B3">
            <w:pPr>
              <w:spacing w:line="360" w:lineRule="atLeast"/>
              <w:rPr>
                <w:rFonts w:cs="Times New Roman"/>
                <w:sz w:val="20"/>
                <w:szCs w:val="20"/>
                <w:lang w:val="cs-CZ"/>
              </w:rPr>
            </w:pPr>
            <w:r w:rsidRPr="007434DA">
              <w:rPr>
                <w:rFonts w:cs="Times New Roman"/>
                <w:sz w:val="20"/>
                <w:szCs w:val="20"/>
                <w:lang w:val="cs-CZ"/>
              </w:rPr>
              <w:t>Ústecký kraj</w:t>
            </w:r>
          </w:p>
        </w:tc>
        <w:tc>
          <w:tcPr>
            <w:tcW w:w="1925" w:type="dxa"/>
            <w:tcBorders>
              <w:top w:val="nil"/>
              <w:left w:val="nil"/>
              <w:bottom w:val="single" w:sz="4" w:space="0" w:color="auto"/>
              <w:right w:val="single" w:sz="4" w:space="0" w:color="auto"/>
            </w:tcBorders>
            <w:shd w:val="clear" w:color="auto" w:fill="auto"/>
            <w:noWrap/>
            <w:vAlign w:val="center"/>
            <w:hideMark/>
          </w:tcPr>
          <w:p w14:paraId="3549C4A7" w14:textId="77777777" w:rsidR="00CB2594" w:rsidRPr="007434DA" w:rsidRDefault="00CB2594" w:rsidP="004A57B3">
            <w:pPr>
              <w:spacing w:line="360" w:lineRule="atLeast"/>
              <w:jc w:val="center"/>
              <w:rPr>
                <w:rFonts w:cs="Times New Roman"/>
                <w:sz w:val="20"/>
                <w:szCs w:val="20"/>
                <w:lang w:val="cs-CZ"/>
              </w:rPr>
            </w:pPr>
            <w:r w:rsidRPr="007434DA">
              <w:rPr>
                <w:rFonts w:cs="Times New Roman"/>
                <w:sz w:val="20"/>
                <w:szCs w:val="20"/>
                <w:lang w:val="cs-CZ"/>
              </w:rPr>
              <w:t>2 038</w:t>
            </w:r>
          </w:p>
        </w:tc>
      </w:tr>
      <w:tr w:rsidR="00CB2594" w:rsidRPr="007434DA" w14:paraId="254E809C" w14:textId="77777777" w:rsidTr="004A57B3">
        <w:trPr>
          <w:trHeight w:val="300"/>
        </w:trPr>
        <w:tc>
          <w:tcPr>
            <w:tcW w:w="2370" w:type="dxa"/>
            <w:tcBorders>
              <w:top w:val="nil"/>
              <w:left w:val="single" w:sz="4" w:space="0" w:color="auto"/>
              <w:bottom w:val="single" w:sz="4" w:space="0" w:color="auto"/>
              <w:right w:val="single" w:sz="4" w:space="0" w:color="auto"/>
            </w:tcBorders>
            <w:shd w:val="clear" w:color="auto" w:fill="auto"/>
            <w:noWrap/>
            <w:vAlign w:val="center"/>
            <w:hideMark/>
          </w:tcPr>
          <w:p w14:paraId="1FD88FDE" w14:textId="77777777" w:rsidR="00CB2594" w:rsidRPr="007434DA" w:rsidRDefault="00CB2594" w:rsidP="004A57B3">
            <w:pPr>
              <w:spacing w:line="360" w:lineRule="atLeast"/>
              <w:rPr>
                <w:rFonts w:cs="Times New Roman"/>
                <w:sz w:val="20"/>
                <w:szCs w:val="20"/>
                <w:lang w:val="cs-CZ"/>
              </w:rPr>
            </w:pPr>
            <w:r w:rsidRPr="007434DA">
              <w:rPr>
                <w:rFonts w:cs="Times New Roman"/>
                <w:sz w:val="20"/>
                <w:szCs w:val="20"/>
                <w:lang w:val="cs-CZ"/>
              </w:rPr>
              <w:t>Liberecký kraj</w:t>
            </w:r>
          </w:p>
        </w:tc>
        <w:tc>
          <w:tcPr>
            <w:tcW w:w="2445" w:type="dxa"/>
            <w:tcBorders>
              <w:top w:val="nil"/>
              <w:left w:val="nil"/>
              <w:bottom w:val="single" w:sz="4" w:space="0" w:color="auto"/>
              <w:right w:val="single" w:sz="4" w:space="0" w:color="auto"/>
            </w:tcBorders>
            <w:shd w:val="clear" w:color="auto" w:fill="auto"/>
            <w:noWrap/>
            <w:vAlign w:val="center"/>
            <w:hideMark/>
          </w:tcPr>
          <w:p w14:paraId="5213F012" w14:textId="77777777" w:rsidR="00CB2594" w:rsidRPr="007434DA" w:rsidRDefault="00CB2594" w:rsidP="004A57B3">
            <w:pPr>
              <w:spacing w:line="360" w:lineRule="atLeast"/>
              <w:ind w:right="927"/>
              <w:jc w:val="right"/>
              <w:rPr>
                <w:rFonts w:cs="Times New Roman"/>
                <w:sz w:val="20"/>
                <w:szCs w:val="20"/>
                <w:lang w:val="cs-CZ"/>
              </w:rPr>
            </w:pPr>
            <w:r w:rsidRPr="007434DA">
              <w:rPr>
                <w:rFonts w:cs="Times New Roman"/>
                <w:sz w:val="20"/>
                <w:szCs w:val="20"/>
                <w:lang w:val="cs-CZ"/>
              </w:rPr>
              <w:t>961</w:t>
            </w:r>
          </w:p>
        </w:tc>
        <w:tc>
          <w:tcPr>
            <w:tcW w:w="2693" w:type="dxa"/>
            <w:tcBorders>
              <w:top w:val="nil"/>
              <w:left w:val="nil"/>
              <w:bottom w:val="single" w:sz="4" w:space="0" w:color="auto"/>
              <w:right w:val="single" w:sz="4" w:space="0" w:color="auto"/>
            </w:tcBorders>
            <w:shd w:val="clear" w:color="auto" w:fill="auto"/>
            <w:noWrap/>
            <w:vAlign w:val="center"/>
            <w:hideMark/>
          </w:tcPr>
          <w:p w14:paraId="61EDB3C2" w14:textId="77777777" w:rsidR="00CB2594" w:rsidRPr="007434DA" w:rsidRDefault="00CB2594" w:rsidP="004A57B3">
            <w:pPr>
              <w:spacing w:line="360" w:lineRule="atLeast"/>
              <w:rPr>
                <w:rFonts w:cs="Times New Roman"/>
                <w:sz w:val="20"/>
                <w:szCs w:val="20"/>
                <w:lang w:val="cs-CZ"/>
              </w:rPr>
            </w:pPr>
            <w:r w:rsidRPr="007434DA">
              <w:rPr>
                <w:rFonts w:cs="Times New Roman"/>
                <w:sz w:val="20"/>
                <w:szCs w:val="20"/>
                <w:lang w:val="cs-CZ"/>
              </w:rPr>
              <w:t>Zlínský kraj</w:t>
            </w:r>
          </w:p>
        </w:tc>
        <w:tc>
          <w:tcPr>
            <w:tcW w:w="1925" w:type="dxa"/>
            <w:tcBorders>
              <w:top w:val="nil"/>
              <w:left w:val="nil"/>
              <w:bottom w:val="single" w:sz="4" w:space="0" w:color="auto"/>
              <w:right w:val="single" w:sz="4" w:space="0" w:color="auto"/>
            </w:tcBorders>
            <w:shd w:val="clear" w:color="auto" w:fill="auto"/>
            <w:noWrap/>
            <w:vAlign w:val="center"/>
            <w:hideMark/>
          </w:tcPr>
          <w:p w14:paraId="771615C8" w14:textId="77777777" w:rsidR="00CB2594" w:rsidRPr="007434DA" w:rsidRDefault="00CB2594" w:rsidP="004A57B3">
            <w:pPr>
              <w:spacing w:line="360" w:lineRule="atLeast"/>
              <w:jc w:val="center"/>
              <w:rPr>
                <w:rFonts w:cs="Times New Roman"/>
                <w:sz w:val="20"/>
                <w:szCs w:val="20"/>
                <w:lang w:val="cs-CZ"/>
              </w:rPr>
            </w:pPr>
            <w:r w:rsidRPr="007434DA">
              <w:rPr>
                <w:rFonts w:cs="Times New Roman"/>
                <w:sz w:val="20"/>
                <w:szCs w:val="20"/>
                <w:lang w:val="cs-CZ"/>
              </w:rPr>
              <w:t>1 775</w:t>
            </w:r>
          </w:p>
        </w:tc>
      </w:tr>
      <w:tr w:rsidR="00CB2594" w:rsidRPr="007434DA" w14:paraId="1E555C59" w14:textId="77777777" w:rsidTr="004A57B3">
        <w:trPr>
          <w:trHeight w:val="300"/>
        </w:trPr>
        <w:tc>
          <w:tcPr>
            <w:tcW w:w="2370" w:type="dxa"/>
            <w:tcBorders>
              <w:top w:val="nil"/>
              <w:left w:val="single" w:sz="4" w:space="0" w:color="auto"/>
              <w:bottom w:val="single" w:sz="4" w:space="0" w:color="auto"/>
              <w:right w:val="single" w:sz="4" w:space="0" w:color="auto"/>
            </w:tcBorders>
            <w:shd w:val="clear" w:color="auto" w:fill="E2EFD9" w:themeFill="accent6" w:themeFillTint="33"/>
            <w:noWrap/>
            <w:vAlign w:val="center"/>
          </w:tcPr>
          <w:p w14:paraId="4FA8AA53" w14:textId="77777777" w:rsidR="00CB2594" w:rsidRPr="007434DA" w:rsidRDefault="00CB2594" w:rsidP="004A57B3">
            <w:pPr>
              <w:rPr>
                <w:rFonts w:eastAsia="Times New Roman" w:cs="Times New Roman"/>
                <w:b/>
                <w:bCs/>
                <w:sz w:val="20"/>
                <w:szCs w:val="20"/>
                <w:lang w:val="cs-CZ"/>
              </w:rPr>
            </w:pPr>
            <w:r w:rsidRPr="007434DA">
              <w:rPr>
                <w:rFonts w:eastAsia="Times New Roman" w:cs="Times New Roman"/>
                <w:b/>
                <w:bCs/>
                <w:sz w:val="20"/>
                <w:szCs w:val="20"/>
                <w:lang w:val="cs-CZ"/>
              </w:rPr>
              <w:t>celkem</w:t>
            </w:r>
          </w:p>
        </w:tc>
        <w:tc>
          <w:tcPr>
            <w:tcW w:w="7063" w:type="dxa"/>
            <w:gridSpan w:val="3"/>
            <w:tcBorders>
              <w:top w:val="nil"/>
              <w:left w:val="nil"/>
              <w:bottom w:val="single" w:sz="4" w:space="0" w:color="auto"/>
              <w:right w:val="single" w:sz="4" w:space="0" w:color="auto"/>
            </w:tcBorders>
            <w:shd w:val="clear" w:color="auto" w:fill="E2EFD9" w:themeFill="accent6" w:themeFillTint="33"/>
            <w:noWrap/>
            <w:vAlign w:val="center"/>
          </w:tcPr>
          <w:p w14:paraId="149B2133" w14:textId="77777777" w:rsidR="00CB2594" w:rsidRPr="007434DA" w:rsidRDefault="00CB2594" w:rsidP="004A57B3">
            <w:pPr>
              <w:spacing w:line="360" w:lineRule="atLeast"/>
              <w:jc w:val="center"/>
              <w:rPr>
                <w:rFonts w:cs="Times New Roman"/>
                <w:sz w:val="20"/>
                <w:szCs w:val="20"/>
                <w:lang w:val="cs-CZ"/>
              </w:rPr>
            </w:pPr>
            <w:r w:rsidRPr="007434DA">
              <w:rPr>
                <w:rFonts w:eastAsia="Times New Roman" w:cs="Times New Roman"/>
                <w:b/>
                <w:bCs/>
                <w:sz w:val="20"/>
                <w:szCs w:val="20"/>
                <w:lang w:val="cs-CZ"/>
              </w:rPr>
              <w:t>43 882</w:t>
            </w:r>
          </w:p>
        </w:tc>
      </w:tr>
    </w:tbl>
    <w:p w14:paraId="4BC48C5C" w14:textId="77777777" w:rsidR="00CB2594" w:rsidRPr="007434DA" w:rsidRDefault="00CB2594" w:rsidP="00CB2594">
      <w:pPr>
        <w:spacing w:line="360" w:lineRule="atLeast"/>
        <w:rPr>
          <w:rFonts w:cs="Times New Roman"/>
          <w:i/>
          <w:sz w:val="18"/>
          <w:szCs w:val="18"/>
          <w:lang w:val="cs-CZ"/>
        </w:rPr>
      </w:pPr>
      <w:r w:rsidRPr="007434DA">
        <w:rPr>
          <w:rFonts w:cs="Times New Roman"/>
          <w:sz w:val="20"/>
          <w:szCs w:val="20"/>
          <w:lang w:val="cs-CZ"/>
        </w:rPr>
        <w:fldChar w:fldCharType="end"/>
      </w:r>
      <w:r w:rsidRPr="007434DA">
        <w:rPr>
          <w:rFonts w:cs="Times New Roman"/>
          <w:i/>
          <w:sz w:val="18"/>
          <w:szCs w:val="18"/>
          <w:lang w:val="cs-CZ"/>
        </w:rPr>
        <w:t>Zdroj: LPIS 2015-2018, ČÚZK 2018, vlastní výpočty ÚZEI</w:t>
      </w:r>
    </w:p>
    <w:p w14:paraId="4E4990F2" w14:textId="77777777" w:rsidR="00CB2594" w:rsidRPr="007434DA" w:rsidRDefault="00CB2594" w:rsidP="00D424E3">
      <w:pPr>
        <w:pStyle w:val="UZEINormaln"/>
      </w:pPr>
      <w:r w:rsidRPr="007434DA">
        <w:t>Detailnější pohled na nejzatíženější plochy nabízí mapa, kde byly vybrány jen plochy, které byly v letech 2015-2018 osety nejméně třikrát po sobě kukuřicí.</w:t>
      </w:r>
    </w:p>
    <w:p w14:paraId="774A607D" w14:textId="77777777" w:rsidR="00CB2594" w:rsidRPr="007434DA" w:rsidRDefault="00CB2594" w:rsidP="00CB2594">
      <w:pPr>
        <w:spacing w:before="120" w:line="360" w:lineRule="atLeast"/>
        <w:ind w:firstLine="567"/>
        <w:rPr>
          <w:rFonts w:cs="Times New Roman"/>
          <w:sz w:val="20"/>
          <w:szCs w:val="20"/>
          <w:lang w:val="cs-CZ"/>
        </w:rPr>
      </w:pPr>
    </w:p>
    <w:p w14:paraId="5B9BFFD6" w14:textId="4720607C" w:rsidR="00CB2594" w:rsidRPr="007434DA" w:rsidRDefault="00CB2594" w:rsidP="00D424E3">
      <w:pPr>
        <w:rPr>
          <w:rFonts w:cs="Times New Roman"/>
          <w:b/>
          <w:sz w:val="20"/>
          <w:szCs w:val="20"/>
          <w:lang w:val="cs-CZ"/>
        </w:rPr>
      </w:pPr>
      <w:r w:rsidRPr="007434DA">
        <w:rPr>
          <w:rFonts w:cs="Times New Roman"/>
          <w:b/>
          <w:sz w:val="20"/>
          <w:szCs w:val="20"/>
          <w:lang w:val="cs-CZ"/>
        </w:rPr>
        <w:br w:type="page"/>
        <w:t>Obr. A 11 Přehled osetých ploch kukuřicí třikrát po sobě</w:t>
      </w:r>
    </w:p>
    <w:p w14:paraId="0AB2946E" w14:textId="77777777" w:rsidR="00CB2594" w:rsidRPr="007434DA" w:rsidRDefault="00CB2594" w:rsidP="00CB2594">
      <w:pPr>
        <w:keepNext/>
        <w:rPr>
          <w:rFonts w:cstheme="minorHAnsi"/>
          <w:lang w:val="cs-CZ"/>
        </w:rPr>
      </w:pPr>
      <w:r w:rsidRPr="007434DA">
        <w:rPr>
          <w:noProof/>
          <w:lang w:val="cs-CZ" w:eastAsia="cs-CZ"/>
        </w:rPr>
        <w:drawing>
          <wp:inline distT="0" distB="0" distL="0" distR="0" wp14:anchorId="2EFE40B2" wp14:editId="6B04AA1A">
            <wp:extent cx="5760720" cy="3943350"/>
            <wp:effectExtent l="0" t="0" r="0" b="0"/>
            <wp:docPr id="576498313" name="Obrázek 4102" descr="Obsah obrázku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498313" name="Obrázek 4102" descr="Obsah obrázku mapa&#10;&#10;Popis byl vytvořen automaticky"/>
                    <pic:cNvPicPr/>
                  </pic:nvPicPr>
                  <pic:blipFill>
                    <a:blip r:embed="rId55">
                      <a:extLst>
                        <a:ext uri="{28A0092B-C50C-407E-A947-70E740481C1C}">
                          <a14:useLocalDpi xmlns:a14="http://schemas.microsoft.com/office/drawing/2010/main" val="0"/>
                        </a:ext>
                      </a:extLst>
                    </a:blip>
                    <a:stretch>
                      <a:fillRect/>
                    </a:stretch>
                  </pic:blipFill>
                  <pic:spPr>
                    <a:xfrm>
                      <a:off x="0" y="0"/>
                      <a:ext cx="5760720" cy="3943350"/>
                    </a:xfrm>
                    <a:prstGeom prst="rect">
                      <a:avLst/>
                    </a:prstGeom>
                  </pic:spPr>
                </pic:pic>
              </a:graphicData>
            </a:graphic>
          </wp:inline>
        </w:drawing>
      </w:r>
    </w:p>
    <w:p w14:paraId="7FF4F1B6" w14:textId="77777777" w:rsidR="00CB2594" w:rsidRPr="007434DA" w:rsidRDefault="00CB2594" w:rsidP="00CB2594">
      <w:pPr>
        <w:rPr>
          <w:rFonts w:cstheme="minorHAnsi"/>
          <w:b/>
          <w:bCs/>
          <w:u w:val="single"/>
          <w:lang w:val="cs-CZ"/>
        </w:rPr>
      </w:pPr>
    </w:p>
    <w:p w14:paraId="72E9C455" w14:textId="77777777" w:rsidR="00CB2594" w:rsidRPr="007434DA" w:rsidRDefault="00CB2594" w:rsidP="00D424E3">
      <w:pPr>
        <w:pStyle w:val="UZEINormaln"/>
        <w:rPr>
          <w:rStyle w:val="Zdraznnintenzivn"/>
          <w:b/>
          <w:bCs/>
          <w:i w:val="0"/>
          <w:iCs w:val="0"/>
          <w:color w:val="auto"/>
        </w:rPr>
      </w:pPr>
      <w:r w:rsidRPr="007434DA">
        <w:rPr>
          <w:rStyle w:val="Zdraznnintenzivn"/>
          <w:b/>
          <w:bCs/>
          <w:i w:val="0"/>
          <w:iCs w:val="0"/>
          <w:color w:val="auto"/>
        </w:rPr>
        <w:t>Var. 2: Plodina (kukuřice) se opakuje 3x za sledované čtyřleté období, nemusí však jít o souvislý tříletý výskyt</w:t>
      </w:r>
    </w:p>
    <w:p w14:paraId="0D1DDC68" w14:textId="77777777" w:rsidR="00CB2594" w:rsidRPr="007434DA" w:rsidRDefault="00CB2594" w:rsidP="00D424E3">
      <w:pPr>
        <w:pStyle w:val="UZEINormaln"/>
      </w:pPr>
      <w:r w:rsidRPr="007434DA">
        <w:t xml:space="preserve">Byla vypočtena výměra ploch, které byly ve sledovaném období (2015-2018) osety kukuřicí nejméně třikrát, přičemž není podmínkou, aby byl výskyt plodiny na daném místě třikrát za sebou. Jedná se o součet veškerých výskytů, i takových, kdy kukuřice byla vyseta dva roky po sobě, pak následovala rok jiná plodina a v dalším roce byla vyseta znovu kukuřice. Přitom nebylo zjišťováno, jaká plodina byla zařazena v osevním postupu mezi kukuřice. </w:t>
      </w:r>
      <w:r w:rsidRPr="007434DA">
        <w:rPr>
          <w:b/>
        </w:rPr>
        <w:t>Tímto způsobem je obhospodařováno téměř 74 tis. ha zemědělské půdy, což představuje podíl z celkové pěstební plochy této plodiny 24,1</w:t>
      </w:r>
      <w:r w:rsidRPr="007434DA">
        <w:t xml:space="preserve"> %. </w:t>
      </w:r>
    </w:p>
    <w:p w14:paraId="4D9D2812" w14:textId="77777777" w:rsidR="00CB2594" w:rsidRPr="007434DA" w:rsidRDefault="00CB2594" w:rsidP="00D424E3">
      <w:pPr>
        <w:pStyle w:val="UZEINormaln"/>
        <w:rPr>
          <w:b/>
          <w:bCs/>
        </w:rPr>
      </w:pPr>
      <w:r w:rsidRPr="007434DA">
        <w:rPr>
          <w:b/>
          <w:bCs/>
        </w:rPr>
        <w:br w:type="page"/>
      </w:r>
    </w:p>
    <w:p w14:paraId="21170D69" w14:textId="77777777" w:rsidR="00CB2594" w:rsidRPr="007434DA" w:rsidRDefault="00CB2594" w:rsidP="00CB2594">
      <w:pPr>
        <w:rPr>
          <w:rFonts w:cs="Times New Roman"/>
          <w:b/>
          <w:sz w:val="20"/>
          <w:szCs w:val="20"/>
          <w:lang w:val="cs-CZ"/>
        </w:rPr>
      </w:pPr>
      <w:r w:rsidRPr="007434DA">
        <w:rPr>
          <w:rFonts w:cs="Times New Roman"/>
          <w:b/>
          <w:sz w:val="20"/>
          <w:szCs w:val="20"/>
          <w:lang w:val="cs-CZ"/>
        </w:rPr>
        <w:t>Tab. A 6 Výměra ploch osetých kukuřicí třikrát (nejen po sobě) nebo čtyřikrát v letech 2015</w:t>
      </w:r>
      <w:r w:rsidRPr="007434DA">
        <w:rPr>
          <w:rFonts w:cs="Times New Roman"/>
          <w:b/>
          <w:sz w:val="20"/>
          <w:szCs w:val="20"/>
          <w:lang w:val="cs-CZ"/>
        </w:rPr>
        <w:noBreakHyphen/>
        <w:t>2018 dle krajů (ha</w:t>
      </w:r>
    </w:p>
    <w:tbl>
      <w:tblPr>
        <w:tblW w:w="9433" w:type="dxa"/>
        <w:tblCellMar>
          <w:left w:w="70" w:type="dxa"/>
          <w:right w:w="70" w:type="dxa"/>
        </w:tblCellMar>
        <w:tblLook w:val="04A0" w:firstRow="1" w:lastRow="0" w:firstColumn="1" w:lastColumn="0" w:noHBand="0" w:noVBand="1"/>
      </w:tblPr>
      <w:tblGrid>
        <w:gridCol w:w="2370"/>
        <w:gridCol w:w="2161"/>
        <w:gridCol w:w="2977"/>
        <w:gridCol w:w="1925"/>
      </w:tblGrid>
      <w:tr w:rsidR="00CB2594" w:rsidRPr="007434DA" w14:paraId="2078C082" w14:textId="77777777" w:rsidTr="004A57B3">
        <w:trPr>
          <w:trHeight w:val="300"/>
        </w:trPr>
        <w:tc>
          <w:tcPr>
            <w:tcW w:w="23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6A4AF1" w14:textId="77777777" w:rsidR="00CB2594" w:rsidRPr="007434DA" w:rsidRDefault="00CB2594" w:rsidP="004A57B3">
            <w:pPr>
              <w:spacing w:line="360" w:lineRule="atLeast"/>
              <w:jc w:val="center"/>
              <w:rPr>
                <w:rFonts w:cs="Times New Roman"/>
                <w:sz w:val="20"/>
                <w:szCs w:val="20"/>
                <w:lang w:val="cs-CZ"/>
              </w:rPr>
            </w:pPr>
            <w:r w:rsidRPr="007434DA">
              <w:rPr>
                <w:rFonts w:cs="Times New Roman"/>
                <w:sz w:val="20"/>
                <w:szCs w:val="20"/>
                <w:lang w:val="cs-CZ"/>
              </w:rPr>
              <w:t>Kraj</w:t>
            </w:r>
          </w:p>
        </w:tc>
        <w:tc>
          <w:tcPr>
            <w:tcW w:w="2161" w:type="dxa"/>
            <w:tcBorders>
              <w:top w:val="single" w:sz="4" w:space="0" w:color="auto"/>
              <w:left w:val="nil"/>
              <w:bottom w:val="single" w:sz="4" w:space="0" w:color="auto"/>
              <w:right w:val="single" w:sz="4" w:space="0" w:color="auto"/>
            </w:tcBorders>
            <w:shd w:val="clear" w:color="auto" w:fill="auto"/>
            <w:noWrap/>
            <w:vAlign w:val="center"/>
            <w:hideMark/>
          </w:tcPr>
          <w:p w14:paraId="64C9B233" w14:textId="77777777" w:rsidR="00CB2594" w:rsidRPr="007434DA" w:rsidRDefault="00CB2594" w:rsidP="004A57B3">
            <w:pPr>
              <w:spacing w:line="360" w:lineRule="atLeast"/>
              <w:jc w:val="center"/>
              <w:rPr>
                <w:rFonts w:cs="Times New Roman"/>
                <w:sz w:val="20"/>
                <w:szCs w:val="20"/>
                <w:lang w:val="cs-CZ"/>
              </w:rPr>
            </w:pPr>
            <w:r w:rsidRPr="007434DA">
              <w:rPr>
                <w:rFonts w:cs="Times New Roman"/>
                <w:sz w:val="20"/>
                <w:szCs w:val="20"/>
                <w:lang w:val="cs-CZ"/>
              </w:rPr>
              <w:t>výměra (ha)</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14:paraId="28C646A4" w14:textId="77777777" w:rsidR="00CB2594" w:rsidRPr="007434DA" w:rsidRDefault="00CB2594" w:rsidP="004A57B3">
            <w:pPr>
              <w:spacing w:line="360" w:lineRule="atLeast"/>
              <w:jc w:val="center"/>
              <w:rPr>
                <w:rFonts w:cs="Times New Roman"/>
                <w:sz w:val="20"/>
                <w:szCs w:val="20"/>
                <w:lang w:val="cs-CZ"/>
              </w:rPr>
            </w:pPr>
            <w:r w:rsidRPr="007434DA">
              <w:rPr>
                <w:rFonts w:cs="Times New Roman"/>
                <w:sz w:val="20"/>
                <w:szCs w:val="20"/>
                <w:lang w:val="cs-CZ"/>
              </w:rPr>
              <w:t>kraj</w:t>
            </w:r>
          </w:p>
        </w:tc>
        <w:tc>
          <w:tcPr>
            <w:tcW w:w="1925" w:type="dxa"/>
            <w:tcBorders>
              <w:top w:val="single" w:sz="4" w:space="0" w:color="auto"/>
              <w:left w:val="nil"/>
              <w:bottom w:val="single" w:sz="4" w:space="0" w:color="auto"/>
              <w:right w:val="single" w:sz="4" w:space="0" w:color="auto"/>
            </w:tcBorders>
            <w:shd w:val="clear" w:color="auto" w:fill="auto"/>
            <w:noWrap/>
            <w:vAlign w:val="center"/>
            <w:hideMark/>
          </w:tcPr>
          <w:p w14:paraId="5990BB92" w14:textId="77777777" w:rsidR="00CB2594" w:rsidRPr="007434DA" w:rsidRDefault="00CB2594" w:rsidP="004A57B3">
            <w:pPr>
              <w:spacing w:line="360" w:lineRule="atLeast"/>
              <w:jc w:val="center"/>
              <w:rPr>
                <w:rFonts w:cs="Times New Roman"/>
                <w:sz w:val="20"/>
                <w:szCs w:val="20"/>
                <w:lang w:val="cs-CZ"/>
              </w:rPr>
            </w:pPr>
            <w:r w:rsidRPr="007434DA">
              <w:rPr>
                <w:rFonts w:cs="Times New Roman"/>
                <w:sz w:val="20"/>
                <w:szCs w:val="20"/>
                <w:lang w:val="cs-CZ"/>
              </w:rPr>
              <w:t>výměra (ha)</w:t>
            </w:r>
          </w:p>
        </w:tc>
      </w:tr>
      <w:tr w:rsidR="00CB2594" w:rsidRPr="007434DA" w14:paraId="0A63640E" w14:textId="77777777" w:rsidTr="004A57B3">
        <w:trPr>
          <w:trHeight w:val="300"/>
        </w:trPr>
        <w:tc>
          <w:tcPr>
            <w:tcW w:w="2370" w:type="dxa"/>
            <w:tcBorders>
              <w:top w:val="nil"/>
              <w:left w:val="single" w:sz="4" w:space="0" w:color="auto"/>
              <w:bottom w:val="single" w:sz="4" w:space="0" w:color="auto"/>
              <w:right w:val="single" w:sz="4" w:space="0" w:color="auto"/>
            </w:tcBorders>
            <w:shd w:val="clear" w:color="auto" w:fill="auto"/>
            <w:noWrap/>
            <w:vAlign w:val="center"/>
            <w:hideMark/>
          </w:tcPr>
          <w:p w14:paraId="537E075A" w14:textId="77777777" w:rsidR="00CB2594" w:rsidRPr="007434DA" w:rsidRDefault="00CB2594" w:rsidP="004A57B3">
            <w:pPr>
              <w:spacing w:line="360" w:lineRule="atLeast"/>
              <w:rPr>
                <w:rFonts w:cs="Times New Roman"/>
                <w:sz w:val="20"/>
                <w:szCs w:val="20"/>
                <w:lang w:val="cs-CZ"/>
              </w:rPr>
            </w:pPr>
            <w:r w:rsidRPr="007434DA">
              <w:rPr>
                <w:rFonts w:cs="Times New Roman"/>
                <w:sz w:val="20"/>
                <w:szCs w:val="20"/>
                <w:lang w:val="cs-CZ"/>
              </w:rPr>
              <w:t>Hlavní město Praha</w:t>
            </w:r>
          </w:p>
        </w:tc>
        <w:tc>
          <w:tcPr>
            <w:tcW w:w="2161" w:type="dxa"/>
            <w:tcBorders>
              <w:top w:val="nil"/>
              <w:left w:val="nil"/>
              <w:bottom w:val="single" w:sz="4" w:space="0" w:color="auto"/>
              <w:right w:val="single" w:sz="4" w:space="0" w:color="auto"/>
            </w:tcBorders>
            <w:shd w:val="clear" w:color="auto" w:fill="auto"/>
            <w:noWrap/>
            <w:vAlign w:val="center"/>
            <w:hideMark/>
          </w:tcPr>
          <w:p w14:paraId="24ECF684" w14:textId="77777777" w:rsidR="00CB2594" w:rsidRPr="007434DA" w:rsidRDefault="00CB2594" w:rsidP="00EB34AB">
            <w:pPr>
              <w:ind w:right="644"/>
              <w:jc w:val="center"/>
              <w:rPr>
                <w:rFonts w:eastAsia="Times New Roman" w:cs="Times New Roman"/>
                <w:sz w:val="20"/>
                <w:szCs w:val="20"/>
                <w:lang w:val="cs-CZ"/>
              </w:rPr>
            </w:pPr>
            <w:r w:rsidRPr="007434DA">
              <w:rPr>
                <w:rFonts w:eastAsia="Times New Roman" w:cs="Times New Roman"/>
                <w:sz w:val="20"/>
                <w:szCs w:val="20"/>
                <w:lang w:val="cs-CZ"/>
              </w:rPr>
              <w:t>127</w:t>
            </w:r>
          </w:p>
        </w:tc>
        <w:tc>
          <w:tcPr>
            <w:tcW w:w="2977" w:type="dxa"/>
            <w:tcBorders>
              <w:top w:val="nil"/>
              <w:left w:val="nil"/>
              <w:bottom w:val="single" w:sz="4" w:space="0" w:color="auto"/>
              <w:right w:val="single" w:sz="4" w:space="0" w:color="auto"/>
            </w:tcBorders>
            <w:shd w:val="clear" w:color="auto" w:fill="auto"/>
            <w:noWrap/>
            <w:vAlign w:val="center"/>
            <w:hideMark/>
          </w:tcPr>
          <w:p w14:paraId="31B9F23B" w14:textId="77777777" w:rsidR="00CB2594" w:rsidRPr="007434DA" w:rsidRDefault="00CB2594" w:rsidP="00EB34AB">
            <w:pPr>
              <w:spacing w:line="360" w:lineRule="atLeast"/>
              <w:jc w:val="center"/>
              <w:rPr>
                <w:rFonts w:cs="Times New Roman"/>
                <w:sz w:val="20"/>
                <w:szCs w:val="20"/>
                <w:lang w:val="cs-CZ"/>
              </w:rPr>
            </w:pPr>
            <w:r w:rsidRPr="007434DA">
              <w:rPr>
                <w:rFonts w:cs="Times New Roman"/>
                <w:sz w:val="20"/>
                <w:szCs w:val="20"/>
                <w:lang w:val="cs-CZ"/>
              </w:rPr>
              <w:t>Moravskoslezský kraj</w:t>
            </w:r>
          </w:p>
        </w:tc>
        <w:tc>
          <w:tcPr>
            <w:tcW w:w="1925" w:type="dxa"/>
            <w:tcBorders>
              <w:top w:val="nil"/>
              <w:left w:val="nil"/>
              <w:bottom w:val="single" w:sz="4" w:space="0" w:color="auto"/>
              <w:right w:val="single" w:sz="4" w:space="0" w:color="auto"/>
            </w:tcBorders>
            <w:shd w:val="clear" w:color="auto" w:fill="auto"/>
            <w:noWrap/>
            <w:vAlign w:val="center"/>
            <w:hideMark/>
          </w:tcPr>
          <w:p w14:paraId="458E97D3" w14:textId="77777777" w:rsidR="00CB2594" w:rsidRPr="007434DA" w:rsidRDefault="00CB2594" w:rsidP="00EB34AB">
            <w:pPr>
              <w:ind w:right="587"/>
              <w:jc w:val="center"/>
              <w:rPr>
                <w:rFonts w:eastAsia="Times New Roman" w:cs="Times New Roman"/>
                <w:sz w:val="20"/>
                <w:szCs w:val="20"/>
                <w:lang w:val="cs-CZ"/>
              </w:rPr>
            </w:pPr>
            <w:r w:rsidRPr="007434DA">
              <w:rPr>
                <w:rFonts w:eastAsia="Times New Roman" w:cs="Times New Roman"/>
                <w:sz w:val="20"/>
                <w:szCs w:val="20"/>
                <w:lang w:val="cs-CZ"/>
              </w:rPr>
              <w:t>2 888</w:t>
            </w:r>
          </w:p>
        </w:tc>
      </w:tr>
      <w:tr w:rsidR="00CB2594" w:rsidRPr="007434DA" w14:paraId="2A8C8AFA" w14:textId="77777777" w:rsidTr="004A57B3">
        <w:trPr>
          <w:trHeight w:val="300"/>
        </w:trPr>
        <w:tc>
          <w:tcPr>
            <w:tcW w:w="2370" w:type="dxa"/>
            <w:tcBorders>
              <w:top w:val="nil"/>
              <w:left w:val="single" w:sz="4" w:space="0" w:color="auto"/>
              <w:bottom w:val="single" w:sz="4" w:space="0" w:color="auto"/>
              <w:right w:val="single" w:sz="4" w:space="0" w:color="auto"/>
            </w:tcBorders>
            <w:shd w:val="clear" w:color="auto" w:fill="auto"/>
            <w:noWrap/>
            <w:vAlign w:val="center"/>
            <w:hideMark/>
          </w:tcPr>
          <w:p w14:paraId="22021DDE" w14:textId="77777777" w:rsidR="00CB2594" w:rsidRPr="007434DA" w:rsidRDefault="00CB2594" w:rsidP="004A57B3">
            <w:pPr>
              <w:spacing w:line="360" w:lineRule="atLeast"/>
              <w:rPr>
                <w:rFonts w:cs="Times New Roman"/>
                <w:sz w:val="20"/>
                <w:szCs w:val="20"/>
                <w:lang w:val="cs-CZ"/>
              </w:rPr>
            </w:pPr>
            <w:r w:rsidRPr="007434DA">
              <w:rPr>
                <w:rFonts w:cs="Times New Roman"/>
                <w:sz w:val="20"/>
                <w:szCs w:val="20"/>
                <w:lang w:val="cs-CZ"/>
              </w:rPr>
              <w:t>Jihočeský kraj</w:t>
            </w:r>
          </w:p>
        </w:tc>
        <w:tc>
          <w:tcPr>
            <w:tcW w:w="2161" w:type="dxa"/>
            <w:tcBorders>
              <w:top w:val="nil"/>
              <w:left w:val="nil"/>
              <w:bottom w:val="single" w:sz="4" w:space="0" w:color="auto"/>
              <w:right w:val="single" w:sz="4" w:space="0" w:color="auto"/>
            </w:tcBorders>
            <w:shd w:val="clear" w:color="auto" w:fill="auto"/>
            <w:noWrap/>
            <w:vAlign w:val="center"/>
            <w:hideMark/>
          </w:tcPr>
          <w:p w14:paraId="46408AA4" w14:textId="77777777" w:rsidR="00CB2594" w:rsidRPr="007434DA" w:rsidRDefault="00CB2594" w:rsidP="00EB34AB">
            <w:pPr>
              <w:ind w:right="644"/>
              <w:jc w:val="center"/>
              <w:rPr>
                <w:rFonts w:eastAsia="Times New Roman" w:cs="Times New Roman"/>
                <w:sz w:val="20"/>
                <w:szCs w:val="20"/>
                <w:lang w:val="cs-CZ"/>
              </w:rPr>
            </w:pPr>
            <w:r w:rsidRPr="007434DA">
              <w:rPr>
                <w:rFonts w:eastAsia="Times New Roman" w:cs="Times New Roman"/>
                <w:sz w:val="20"/>
                <w:szCs w:val="20"/>
                <w:lang w:val="cs-CZ"/>
              </w:rPr>
              <w:t>4 487</w:t>
            </w:r>
          </w:p>
        </w:tc>
        <w:tc>
          <w:tcPr>
            <w:tcW w:w="2977" w:type="dxa"/>
            <w:tcBorders>
              <w:top w:val="nil"/>
              <w:left w:val="nil"/>
              <w:bottom w:val="single" w:sz="4" w:space="0" w:color="auto"/>
              <w:right w:val="single" w:sz="4" w:space="0" w:color="auto"/>
            </w:tcBorders>
            <w:shd w:val="clear" w:color="auto" w:fill="auto"/>
            <w:noWrap/>
            <w:vAlign w:val="center"/>
            <w:hideMark/>
          </w:tcPr>
          <w:p w14:paraId="351389E0" w14:textId="77777777" w:rsidR="00CB2594" w:rsidRPr="007434DA" w:rsidRDefault="00CB2594" w:rsidP="00EB34AB">
            <w:pPr>
              <w:spacing w:line="360" w:lineRule="atLeast"/>
              <w:jc w:val="center"/>
              <w:rPr>
                <w:rFonts w:cs="Times New Roman"/>
                <w:sz w:val="20"/>
                <w:szCs w:val="20"/>
                <w:lang w:val="cs-CZ"/>
              </w:rPr>
            </w:pPr>
            <w:r w:rsidRPr="007434DA">
              <w:rPr>
                <w:rFonts w:cs="Times New Roman"/>
                <w:sz w:val="20"/>
                <w:szCs w:val="20"/>
                <w:lang w:val="cs-CZ"/>
              </w:rPr>
              <w:t>Olomoucký kraj</w:t>
            </w:r>
          </w:p>
        </w:tc>
        <w:tc>
          <w:tcPr>
            <w:tcW w:w="1925" w:type="dxa"/>
            <w:tcBorders>
              <w:top w:val="nil"/>
              <w:left w:val="nil"/>
              <w:bottom w:val="single" w:sz="4" w:space="0" w:color="auto"/>
              <w:right w:val="single" w:sz="4" w:space="0" w:color="auto"/>
            </w:tcBorders>
            <w:shd w:val="clear" w:color="auto" w:fill="auto"/>
            <w:noWrap/>
            <w:vAlign w:val="center"/>
            <w:hideMark/>
          </w:tcPr>
          <w:p w14:paraId="499D171D" w14:textId="77777777" w:rsidR="00CB2594" w:rsidRPr="007434DA" w:rsidRDefault="00CB2594" w:rsidP="00EB34AB">
            <w:pPr>
              <w:ind w:right="587"/>
              <w:jc w:val="center"/>
              <w:rPr>
                <w:rFonts w:eastAsia="Times New Roman" w:cs="Times New Roman"/>
                <w:sz w:val="20"/>
                <w:szCs w:val="20"/>
                <w:lang w:val="cs-CZ"/>
              </w:rPr>
            </w:pPr>
            <w:r w:rsidRPr="007434DA">
              <w:rPr>
                <w:rFonts w:eastAsia="Times New Roman" w:cs="Times New Roman"/>
                <w:sz w:val="20"/>
                <w:szCs w:val="20"/>
                <w:lang w:val="cs-CZ"/>
              </w:rPr>
              <w:t>3 811</w:t>
            </w:r>
          </w:p>
        </w:tc>
      </w:tr>
      <w:tr w:rsidR="00CB2594" w:rsidRPr="007434DA" w14:paraId="520B63C3" w14:textId="77777777" w:rsidTr="004A57B3">
        <w:trPr>
          <w:trHeight w:val="300"/>
        </w:trPr>
        <w:tc>
          <w:tcPr>
            <w:tcW w:w="2370" w:type="dxa"/>
            <w:tcBorders>
              <w:top w:val="nil"/>
              <w:left w:val="single" w:sz="4" w:space="0" w:color="auto"/>
              <w:bottom w:val="single" w:sz="4" w:space="0" w:color="auto"/>
              <w:right w:val="single" w:sz="4" w:space="0" w:color="auto"/>
            </w:tcBorders>
            <w:shd w:val="clear" w:color="auto" w:fill="auto"/>
            <w:noWrap/>
            <w:vAlign w:val="center"/>
            <w:hideMark/>
          </w:tcPr>
          <w:p w14:paraId="6CBC71AF" w14:textId="77777777" w:rsidR="00CB2594" w:rsidRPr="007434DA" w:rsidRDefault="00CB2594" w:rsidP="004A57B3">
            <w:pPr>
              <w:spacing w:line="360" w:lineRule="atLeast"/>
              <w:rPr>
                <w:rFonts w:cs="Times New Roman"/>
                <w:sz w:val="20"/>
                <w:szCs w:val="20"/>
                <w:lang w:val="cs-CZ"/>
              </w:rPr>
            </w:pPr>
            <w:r w:rsidRPr="007434DA">
              <w:rPr>
                <w:rFonts w:cs="Times New Roman"/>
                <w:sz w:val="20"/>
                <w:szCs w:val="20"/>
                <w:lang w:val="cs-CZ"/>
              </w:rPr>
              <w:t>Jihomoravský kraj</w:t>
            </w:r>
          </w:p>
        </w:tc>
        <w:tc>
          <w:tcPr>
            <w:tcW w:w="2161" w:type="dxa"/>
            <w:tcBorders>
              <w:top w:val="nil"/>
              <w:left w:val="nil"/>
              <w:bottom w:val="single" w:sz="4" w:space="0" w:color="auto"/>
              <w:right w:val="single" w:sz="4" w:space="0" w:color="auto"/>
            </w:tcBorders>
            <w:shd w:val="clear" w:color="auto" w:fill="auto"/>
            <w:noWrap/>
            <w:vAlign w:val="center"/>
            <w:hideMark/>
          </w:tcPr>
          <w:p w14:paraId="146230C0" w14:textId="77777777" w:rsidR="00CB2594" w:rsidRPr="007434DA" w:rsidRDefault="00CB2594" w:rsidP="00EB34AB">
            <w:pPr>
              <w:ind w:right="644"/>
              <w:jc w:val="center"/>
              <w:rPr>
                <w:rFonts w:eastAsia="Times New Roman" w:cs="Times New Roman"/>
                <w:sz w:val="20"/>
                <w:szCs w:val="20"/>
                <w:lang w:val="cs-CZ"/>
              </w:rPr>
            </w:pPr>
            <w:r w:rsidRPr="007434DA">
              <w:rPr>
                <w:rFonts w:eastAsia="Times New Roman" w:cs="Times New Roman"/>
                <w:sz w:val="20"/>
                <w:szCs w:val="20"/>
                <w:lang w:val="cs-CZ"/>
              </w:rPr>
              <w:t>20 803</w:t>
            </w:r>
          </w:p>
        </w:tc>
        <w:tc>
          <w:tcPr>
            <w:tcW w:w="2977" w:type="dxa"/>
            <w:tcBorders>
              <w:top w:val="nil"/>
              <w:left w:val="nil"/>
              <w:bottom w:val="single" w:sz="4" w:space="0" w:color="auto"/>
              <w:right w:val="single" w:sz="4" w:space="0" w:color="auto"/>
            </w:tcBorders>
            <w:shd w:val="clear" w:color="auto" w:fill="auto"/>
            <w:noWrap/>
            <w:vAlign w:val="center"/>
            <w:hideMark/>
          </w:tcPr>
          <w:p w14:paraId="15F4F810" w14:textId="77777777" w:rsidR="00CB2594" w:rsidRPr="007434DA" w:rsidRDefault="00CB2594" w:rsidP="00EB34AB">
            <w:pPr>
              <w:spacing w:line="360" w:lineRule="atLeast"/>
              <w:jc w:val="center"/>
              <w:rPr>
                <w:rFonts w:cs="Times New Roman"/>
                <w:sz w:val="20"/>
                <w:szCs w:val="20"/>
                <w:lang w:val="cs-CZ"/>
              </w:rPr>
            </w:pPr>
            <w:r w:rsidRPr="007434DA">
              <w:rPr>
                <w:rFonts w:cs="Times New Roman"/>
                <w:sz w:val="20"/>
                <w:szCs w:val="20"/>
                <w:lang w:val="cs-CZ"/>
              </w:rPr>
              <w:t>Pardubický kraj</w:t>
            </w:r>
          </w:p>
        </w:tc>
        <w:tc>
          <w:tcPr>
            <w:tcW w:w="1925" w:type="dxa"/>
            <w:tcBorders>
              <w:top w:val="nil"/>
              <w:left w:val="nil"/>
              <w:bottom w:val="single" w:sz="4" w:space="0" w:color="auto"/>
              <w:right w:val="single" w:sz="4" w:space="0" w:color="auto"/>
            </w:tcBorders>
            <w:shd w:val="clear" w:color="auto" w:fill="auto"/>
            <w:noWrap/>
            <w:vAlign w:val="center"/>
            <w:hideMark/>
          </w:tcPr>
          <w:p w14:paraId="71DD4E22" w14:textId="77777777" w:rsidR="00CB2594" w:rsidRPr="007434DA" w:rsidRDefault="00CB2594" w:rsidP="00EB34AB">
            <w:pPr>
              <w:ind w:right="587"/>
              <w:jc w:val="center"/>
              <w:rPr>
                <w:rFonts w:eastAsia="Times New Roman" w:cs="Times New Roman"/>
                <w:sz w:val="20"/>
                <w:szCs w:val="20"/>
                <w:lang w:val="cs-CZ"/>
              </w:rPr>
            </w:pPr>
            <w:r w:rsidRPr="007434DA">
              <w:rPr>
                <w:rFonts w:eastAsia="Times New Roman" w:cs="Times New Roman"/>
                <w:sz w:val="20"/>
                <w:szCs w:val="20"/>
                <w:lang w:val="cs-CZ"/>
              </w:rPr>
              <w:t>5 654</w:t>
            </w:r>
          </w:p>
        </w:tc>
      </w:tr>
      <w:tr w:rsidR="00CB2594" w:rsidRPr="007434DA" w14:paraId="36C3AB2E" w14:textId="77777777" w:rsidTr="004A57B3">
        <w:trPr>
          <w:trHeight w:val="300"/>
        </w:trPr>
        <w:tc>
          <w:tcPr>
            <w:tcW w:w="2370" w:type="dxa"/>
            <w:tcBorders>
              <w:top w:val="nil"/>
              <w:left w:val="single" w:sz="4" w:space="0" w:color="auto"/>
              <w:bottom w:val="single" w:sz="4" w:space="0" w:color="auto"/>
              <w:right w:val="single" w:sz="4" w:space="0" w:color="auto"/>
            </w:tcBorders>
            <w:shd w:val="clear" w:color="auto" w:fill="auto"/>
            <w:noWrap/>
            <w:vAlign w:val="center"/>
            <w:hideMark/>
          </w:tcPr>
          <w:p w14:paraId="19FF21F5" w14:textId="77777777" w:rsidR="00CB2594" w:rsidRPr="007434DA" w:rsidRDefault="00CB2594" w:rsidP="004A57B3">
            <w:pPr>
              <w:spacing w:line="360" w:lineRule="atLeast"/>
              <w:rPr>
                <w:rFonts w:cs="Times New Roman"/>
                <w:sz w:val="20"/>
                <w:szCs w:val="20"/>
                <w:lang w:val="cs-CZ"/>
              </w:rPr>
            </w:pPr>
            <w:r w:rsidRPr="007434DA">
              <w:rPr>
                <w:rFonts w:cs="Times New Roman"/>
                <w:sz w:val="20"/>
                <w:szCs w:val="20"/>
                <w:lang w:val="cs-CZ"/>
              </w:rPr>
              <w:t>Karlovarský kraj</w:t>
            </w:r>
          </w:p>
        </w:tc>
        <w:tc>
          <w:tcPr>
            <w:tcW w:w="2161" w:type="dxa"/>
            <w:tcBorders>
              <w:top w:val="nil"/>
              <w:left w:val="nil"/>
              <w:bottom w:val="single" w:sz="4" w:space="0" w:color="auto"/>
              <w:right w:val="single" w:sz="4" w:space="0" w:color="auto"/>
            </w:tcBorders>
            <w:shd w:val="clear" w:color="auto" w:fill="auto"/>
            <w:noWrap/>
            <w:vAlign w:val="center"/>
            <w:hideMark/>
          </w:tcPr>
          <w:p w14:paraId="6BC67FFB" w14:textId="77777777" w:rsidR="00CB2594" w:rsidRPr="007434DA" w:rsidRDefault="00CB2594" w:rsidP="00EB34AB">
            <w:pPr>
              <w:ind w:right="644"/>
              <w:jc w:val="center"/>
              <w:rPr>
                <w:rFonts w:eastAsia="Times New Roman" w:cs="Times New Roman"/>
                <w:sz w:val="20"/>
                <w:szCs w:val="20"/>
                <w:lang w:val="cs-CZ"/>
              </w:rPr>
            </w:pPr>
            <w:r w:rsidRPr="007434DA">
              <w:rPr>
                <w:rFonts w:eastAsia="Times New Roman" w:cs="Times New Roman"/>
                <w:sz w:val="20"/>
                <w:szCs w:val="20"/>
                <w:lang w:val="cs-CZ"/>
              </w:rPr>
              <w:t>999</w:t>
            </w:r>
          </w:p>
        </w:tc>
        <w:tc>
          <w:tcPr>
            <w:tcW w:w="2977" w:type="dxa"/>
            <w:tcBorders>
              <w:top w:val="nil"/>
              <w:left w:val="nil"/>
              <w:bottom w:val="single" w:sz="4" w:space="0" w:color="auto"/>
              <w:right w:val="single" w:sz="4" w:space="0" w:color="auto"/>
            </w:tcBorders>
            <w:shd w:val="clear" w:color="auto" w:fill="auto"/>
            <w:noWrap/>
            <w:vAlign w:val="center"/>
            <w:hideMark/>
          </w:tcPr>
          <w:p w14:paraId="3928A111" w14:textId="77777777" w:rsidR="00CB2594" w:rsidRPr="007434DA" w:rsidRDefault="00CB2594" w:rsidP="00EB34AB">
            <w:pPr>
              <w:spacing w:line="360" w:lineRule="atLeast"/>
              <w:jc w:val="center"/>
              <w:rPr>
                <w:rFonts w:cs="Times New Roman"/>
                <w:sz w:val="20"/>
                <w:szCs w:val="20"/>
                <w:lang w:val="cs-CZ"/>
              </w:rPr>
            </w:pPr>
            <w:r w:rsidRPr="007434DA">
              <w:rPr>
                <w:rFonts w:cs="Times New Roman"/>
                <w:sz w:val="20"/>
                <w:szCs w:val="20"/>
                <w:lang w:val="cs-CZ"/>
              </w:rPr>
              <w:t>Plzeňský kraj</w:t>
            </w:r>
          </w:p>
        </w:tc>
        <w:tc>
          <w:tcPr>
            <w:tcW w:w="1925" w:type="dxa"/>
            <w:tcBorders>
              <w:top w:val="nil"/>
              <w:left w:val="nil"/>
              <w:bottom w:val="single" w:sz="4" w:space="0" w:color="auto"/>
              <w:right w:val="single" w:sz="4" w:space="0" w:color="auto"/>
            </w:tcBorders>
            <w:shd w:val="clear" w:color="auto" w:fill="auto"/>
            <w:noWrap/>
            <w:vAlign w:val="center"/>
            <w:hideMark/>
          </w:tcPr>
          <w:p w14:paraId="66B7DDC5" w14:textId="77777777" w:rsidR="00CB2594" w:rsidRPr="007434DA" w:rsidRDefault="00CB2594" w:rsidP="00EB34AB">
            <w:pPr>
              <w:ind w:right="587"/>
              <w:jc w:val="center"/>
              <w:rPr>
                <w:rFonts w:eastAsia="Times New Roman" w:cs="Times New Roman"/>
                <w:sz w:val="20"/>
                <w:szCs w:val="20"/>
                <w:lang w:val="cs-CZ"/>
              </w:rPr>
            </w:pPr>
            <w:r w:rsidRPr="007434DA">
              <w:rPr>
                <w:rFonts w:eastAsia="Times New Roman" w:cs="Times New Roman"/>
                <w:sz w:val="20"/>
                <w:szCs w:val="20"/>
                <w:lang w:val="cs-CZ"/>
              </w:rPr>
              <w:t>6 991</w:t>
            </w:r>
          </w:p>
        </w:tc>
      </w:tr>
      <w:tr w:rsidR="00CB2594" w:rsidRPr="007434DA" w14:paraId="15A2E8D4" w14:textId="77777777" w:rsidTr="004A57B3">
        <w:trPr>
          <w:trHeight w:val="300"/>
        </w:trPr>
        <w:tc>
          <w:tcPr>
            <w:tcW w:w="2370" w:type="dxa"/>
            <w:tcBorders>
              <w:top w:val="nil"/>
              <w:left w:val="single" w:sz="4" w:space="0" w:color="auto"/>
              <w:bottom w:val="single" w:sz="4" w:space="0" w:color="auto"/>
              <w:right w:val="single" w:sz="4" w:space="0" w:color="auto"/>
            </w:tcBorders>
            <w:shd w:val="clear" w:color="auto" w:fill="auto"/>
            <w:noWrap/>
            <w:vAlign w:val="center"/>
            <w:hideMark/>
          </w:tcPr>
          <w:p w14:paraId="0B8ACAAC" w14:textId="77777777" w:rsidR="00CB2594" w:rsidRPr="007434DA" w:rsidRDefault="00CB2594" w:rsidP="004A57B3">
            <w:pPr>
              <w:spacing w:line="360" w:lineRule="atLeast"/>
              <w:rPr>
                <w:rFonts w:cs="Times New Roman"/>
                <w:sz w:val="20"/>
                <w:szCs w:val="20"/>
                <w:lang w:val="cs-CZ"/>
              </w:rPr>
            </w:pPr>
            <w:r w:rsidRPr="007434DA">
              <w:rPr>
                <w:rFonts w:cs="Times New Roman"/>
                <w:sz w:val="20"/>
                <w:szCs w:val="20"/>
                <w:lang w:val="cs-CZ"/>
              </w:rPr>
              <w:t>Kraj Vysočina</w:t>
            </w:r>
          </w:p>
        </w:tc>
        <w:tc>
          <w:tcPr>
            <w:tcW w:w="2161" w:type="dxa"/>
            <w:tcBorders>
              <w:top w:val="nil"/>
              <w:left w:val="nil"/>
              <w:bottom w:val="single" w:sz="4" w:space="0" w:color="auto"/>
              <w:right w:val="single" w:sz="4" w:space="0" w:color="auto"/>
            </w:tcBorders>
            <w:shd w:val="clear" w:color="auto" w:fill="auto"/>
            <w:noWrap/>
            <w:vAlign w:val="center"/>
            <w:hideMark/>
          </w:tcPr>
          <w:p w14:paraId="668DDC7C" w14:textId="77777777" w:rsidR="00CB2594" w:rsidRPr="007434DA" w:rsidRDefault="00CB2594" w:rsidP="00EB34AB">
            <w:pPr>
              <w:ind w:right="644"/>
              <w:jc w:val="center"/>
              <w:rPr>
                <w:rFonts w:eastAsia="Times New Roman" w:cs="Times New Roman"/>
                <w:sz w:val="20"/>
                <w:szCs w:val="20"/>
                <w:lang w:val="cs-CZ"/>
              </w:rPr>
            </w:pPr>
            <w:r w:rsidRPr="007434DA">
              <w:rPr>
                <w:rFonts w:eastAsia="Times New Roman" w:cs="Times New Roman"/>
                <w:sz w:val="20"/>
                <w:szCs w:val="20"/>
                <w:lang w:val="cs-CZ"/>
              </w:rPr>
              <w:t>6 872</w:t>
            </w:r>
          </w:p>
        </w:tc>
        <w:tc>
          <w:tcPr>
            <w:tcW w:w="2977" w:type="dxa"/>
            <w:tcBorders>
              <w:top w:val="nil"/>
              <w:left w:val="nil"/>
              <w:bottom w:val="single" w:sz="4" w:space="0" w:color="auto"/>
              <w:right w:val="single" w:sz="4" w:space="0" w:color="auto"/>
            </w:tcBorders>
            <w:shd w:val="clear" w:color="auto" w:fill="auto"/>
            <w:noWrap/>
            <w:vAlign w:val="center"/>
            <w:hideMark/>
          </w:tcPr>
          <w:p w14:paraId="6B505D22" w14:textId="77777777" w:rsidR="00CB2594" w:rsidRPr="007434DA" w:rsidRDefault="00CB2594" w:rsidP="00EB34AB">
            <w:pPr>
              <w:spacing w:line="360" w:lineRule="atLeast"/>
              <w:jc w:val="center"/>
              <w:rPr>
                <w:rFonts w:cs="Times New Roman"/>
                <w:sz w:val="20"/>
                <w:szCs w:val="20"/>
                <w:lang w:val="cs-CZ"/>
              </w:rPr>
            </w:pPr>
            <w:r w:rsidRPr="007434DA">
              <w:rPr>
                <w:rFonts w:cs="Times New Roman"/>
                <w:sz w:val="20"/>
                <w:szCs w:val="20"/>
                <w:lang w:val="cs-CZ"/>
              </w:rPr>
              <w:t>Středočeský kraj</w:t>
            </w:r>
          </w:p>
        </w:tc>
        <w:tc>
          <w:tcPr>
            <w:tcW w:w="1925" w:type="dxa"/>
            <w:tcBorders>
              <w:top w:val="nil"/>
              <w:left w:val="nil"/>
              <w:bottom w:val="single" w:sz="4" w:space="0" w:color="auto"/>
              <w:right w:val="single" w:sz="4" w:space="0" w:color="auto"/>
            </w:tcBorders>
            <w:shd w:val="clear" w:color="auto" w:fill="auto"/>
            <w:noWrap/>
            <w:vAlign w:val="center"/>
            <w:hideMark/>
          </w:tcPr>
          <w:p w14:paraId="0511C443" w14:textId="77777777" w:rsidR="00CB2594" w:rsidRPr="007434DA" w:rsidRDefault="00CB2594" w:rsidP="00EB34AB">
            <w:pPr>
              <w:ind w:right="587"/>
              <w:jc w:val="center"/>
              <w:rPr>
                <w:rFonts w:eastAsia="Times New Roman" w:cs="Times New Roman"/>
                <w:sz w:val="20"/>
                <w:szCs w:val="20"/>
                <w:lang w:val="cs-CZ"/>
              </w:rPr>
            </w:pPr>
            <w:r w:rsidRPr="007434DA">
              <w:rPr>
                <w:rFonts w:eastAsia="Times New Roman" w:cs="Times New Roman"/>
                <w:sz w:val="20"/>
                <w:szCs w:val="20"/>
                <w:lang w:val="cs-CZ"/>
              </w:rPr>
              <w:t>8 111</w:t>
            </w:r>
          </w:p>
        </w:tc>
      </w:tr>
      <w:tr w:rsidR="00CB2594" w:rsidRPr="007434DA" w14:paraId="0BE9F2B9" w14:textId="77777777" w:rsidTr="004A57B3">
        <w:trPr>
          <w:trHeight w:val="300"/>
        </w:trPr>
        <w:tc>
          <w:tcPr>
            <w:tcW w:w="2370" w:type="dxa"/>
            <w:tcBorders>
              <w:top w:val="nil"/>
              <w:left w:val="single" w:sz="4" w:space="0" w:color="auto"/>
              <w:bottom w:val="single" w:sz="4" w:space="0" w:color="auto"/>
              <w:right w:val="single" w:sz="4" w:space="0" w:color="auto"/>
            </w:tcBorders>
            <w:shd w:val="clear" w:color="auto" w:fill="auto"/>
            <w:noWrap/>
            <w:vAlign w:val="center"/>
            <w:hideMark/>
          </w:tcPr>
          <w:p w14:paraId="25CAC01E" w14:textId="77777777" w:rsidR="00CB2594" w:rsidRPr="007434DA" w:rsidRDefault="00CB2594" w:rsidP="004A57B3">
            <w:pPr>
              <w:spacing w:line="360" w:lineRule="atLeast"/>
              <w:rPr>
                <w:rFonts w:cs="Times New Roman"/>
                <w:sz w:val="20"/>
                <w:szCs w:val="20"/>
                <w:lang w:val="cs-CZ"/>
              </w:rPr>
            </w:pPr>
            <w:r w:rsidRPr="007434DA">
              <w:rPr>
                <w:rFonts w:cs="Times New Roman"/>
                <w:sz w:val="20"/>
                <w:szCs w:val="20"/>
                <w:lang w:val="cs-CZ"/>
              </w:rPr>
              <w:t>Královéhradecký kraj</w:t>
            </w:r>
          </w:p>
        </w:tc>
        <w:tc>
          <w:tcPr>
            <w:tcW w:w="2161" w:type="dxa"/>
            <w:tcBorders>
              <w:top w:val="nil"/>
              <w:left w:val="nil"/>
              <w:bottom w:val="single" w:sz="4" w:space="0" w:color="auto"/>
              <w:right w:val="single" w:sz="4" w:space="0" w:color="auto"/>
            </w:tcBorders>
            <w:shd w:val="clear" w:color="auto" w:fill="auto"/>
            <w:noWrap/>
            <w:vAlign w:val="center"/>
            <w:hideMark/>
          </w:tcPr>
          <w:p w14:paraId="6E391417" w14:textId="77777777" w:rsidR="00CB2594" w:rsidRPr="007434DA" w:rsidRDefault="00CB2594" w:rsidP="00EB34AB">
            <w:pPr>
              <w:ind w:right="644"/>
              <w:jc w:val="center"/>
              <w:rPr>
                <w:rFonts w:eastAsia="Times New Roman" w:cs="Times New Roman"/>
                <w:sz w:val="20"/>
                <w:szCs w:val="20"/>
                <w:lang w:val="cs-CZ"/>
              </w:rPr>
            </w:pPr>
            <w:r w:rsidRPr="007434DA">
              <w:rPr>
                <w:rFonts w:eastAsia="Times New Roman" w:cs="Times New Roman"/>
                <w:sz w:val="20"/>
                <w:szCs w:val="20"/>
                <w:lang w:val="cs-CZ"/>
              </w:rPr>
              <w:t>5 632</w:t>
            </w:r>
          </w:p>
        </w:tc>
        <w:tc>
          <w:tcPr>
            <w:tcW w:w="2977" w:type="dxa"/>
            <w:tcBorders>
              <w:top w:val="nil"/>
              <w:left w:val="nil"/>
              <w:bottom w:val="single" w:sz="4" w:space="0" w:color="auto"/>
              <w:right w:val="single" w:sz="4" w:space="0" w:color="auto"/>
            </w:tcBorders>
            <w:shd w:val="clear" w:color="auto" w:fill="auto"/>
            <w:noWrap/>
            <w:vAlign w:val="center"/>
            <w:hideMark/>
          </w:tcPr>
          <w:p w14:paraId="1EC4A45A" w14:textId="77777777" w:rsidR="00CB2594" w:rsidRPr="007434DA" w:rsidRDefault="00CB2594" w:rsidP="00EB34AB">
            <w:pPr>
              <w:spacing w:line="360" w:lineRule="atLeast"/>
              <w:jc w:val="center"/>
              <w:rPr>
                <w:rFonts w:cs="Times New Roman"/>
                <w:sz w:val="20"/>
                <w:szCs w:val="20"/>
                <w:lang w:val="cs-CZ"/>
              </w:rPr>
            </w:pPr>
            <w:r w:rsidRPr="007434DA">
              <w:rPr>
                <w:rFonts w:cs="Times New Roman"/>
                <w:sz w:val="20"/>
                <w:szCs w:val="20"/>
                <w:lang w:val="cs-CZ"/>
              </w:rPr>
              <w:t>Ústecký kraj</w:t>
            </w:r>
          </w:p>
        </w:tc>
        <w:tc>
          <w:tcPr>
            <w:tcW w:w="1925" w:type="dxa"/>
            <w:tcBorders>
              <w:top w:val="nil"/>
              <w:left w:val="nil"/>
              <w:bottom w:val="single" w:sz="4" w:space="0" w:color="auto"/>
              <w:right w:val="single" w:sz="4" w:space="0" w:color="auto"/>
            </w:tcBorders>
            <w:shd w:val="clear" w:color="auto" w:fill="auto"/>
            <w:noWrap/>
            <w:vAlign w:val="center"/>
            <w:hideMark/>
          </w:tcPr>
          <w:p w14:paraId="78E1DD0B" w14:textId="77777777" w:rsidR="00CB2594" w:rsidRPr="007434DA" w:rsidRDefault="00CB2594" w:rsidP="00EB34AB">
            <w:pPr>
              <w:ind w:right="587"/>
              <w:jc w:val="center"/>
              <w:rPr>
                <w:rFonts w:eastAsia="Times New Roman" w:cs="Times New Roman"/>
                <w:sz w:val="20"/>
                <w:szCs w:val="20"/>
                <w:lang w:val="cs-CZ"/>
              </w:rPr>
            </w:pPr>
            <w:r w:rsidRPr="007434DA">
              <w:rPr>
                <w:rFonts w:eastAsia="Times New Roman" w:cs="Times New Roman"/>
                <w:sz w:val="20"/>
                <w:szCs w:val="20"/>
                <w:lang w:val="cs-CZ"/>
              </w:rPr>
              <w:t>2 905</w:t>
            </w:r>
          </w:p>
        </w:tc>
      </w:tr>
      <w:tr w:rsidR="00CB2594" w:rsidRPr="007434DA" w14:paraId="1049D290" w14:textId="77777777" w:rsidTr="004A57B3">
        <w:trPr>
          <w:trHeight w:val="300"/>
        </w:trPr>
        <w:tc>
          <w:tcPr>
            <w:tcW w:w="2370" w:type="dxa"/>
            <w:tcBorders>
              <w:top w:val="nil"/>
              <w:left w:val="single" w:sz="4" w:space="0" w:color="auto"/>
              <w:bottom w:val="single" w:sz="4" w:space="0" w:color="auto"/>
              <w:right w:val="single" w:sz="4" w:space="0" w:color="auto"/>
            </w:tcBorders>
            <w:shd w:val="clear" w:color="auto" w:fill="auto"/>
            <w:noWrap/>
            <w:vAlign w:val="center"/>
            <w:hideMark/>
          </w:tcPr>
          <w:p w14:paraId="29116346" w14:textId="77777777" w:rsidR="00CB2594" w:rsidRPr="007434DA" w:rsidRDefault="00CB2594" w:rsidP="004A57B3">
            <w:pPr>
              <w:spacing w:line="360" w:lineRule="atLeast"/>
              <w:rPr>
                <w:rFonts w:cs="Times New Roman"/>
                <w:sz w:val="20"/>
                <w:szCs w:val="20"/>
                <w:lang w:val="cs-CZ"/>
              </w:rPr>
            </w:pPr>
            <w:r w:rsidRPr="007434DA">
              <w:rPr>
                <w:rFonts w:cs="Times New Roman"/>
                <w:sz w:val="20"/>
                <w:szCs w:val="20"/>
                <w:lang w:val="cs-CZ"/>
              </w:rPr>
              <w:t>Liberecký kraj</w:t>
            </w:r>
          </w:p>
        </w:tc>
        <w:tc>
          <w:tcPr>
            <w:tcW w:w="2161" w:type="dxa"/>
            <w:tcBorders>
              <w:top w:val="nil"/>
              <w:left w:val="nil"/>
              <w:bottom w:val="single" w:sz="4" w:space="0" w:color="auto"/>
              <w:right w:val="single" w:sz="4" w:space="0" w:color="auto"/>
            </w:tcBorders>
            <w:shd w:val="clear" w:color="auto" w:fill="auto"/>
            <w:noWrap/>
            <w:vAlign w:val="center"/>
            <w:hideMark/>
          </w:tcPr>
          <w:p w14:paraId="1B1A3386" w14:textId="77777777" w:rsidR="00CB2594" w:rsidRPr="007434DA" w:rsidRDefault="00CB2594" w:rsidP="00EB34AB">
            <w:pPr>
              <w:ind w:right="644"/>
              <w:jc w:val="center"/>
              <w:rPr>
                <w:rFonts w:eastAsia="Times New Roman" w:cs="Times New Roman"/>
                <w:sz w:val="20"/>
                <w:szCs w:val="20"/>
                <w:lang w:val="cs-CZ"/>
              </w:rPr>
            </w:pPr>
            <w:r w:rsidRPr="007434DA">
              <w:rPr>
                <w:rFonts w:eastAsia="Times New Roman" w:cs="Times New Roman"/>
                <w:sz w:val="20"/>
                <w:szCs w:val="20"/>
                <w:lang w:val="cs-CZ"/>
              </w:rPr>
              <w:t>1227</w:t>
            </w:r>
          </w:p>
        </w:tc>
        <w:tc>
          <w:tcPr>
            <w:tcW w:w="2977" w:type="dxa"/>
            <w:tcBorders>
              <w:top w:val="nil"/>
              <w:left w:val="nil"/>
              <w:bottom w:val="single" w:sz="4" w:space="0" w:color="auto"/>
              <w:right w:val="single" w:sz="4" w:space="0" w:color="auto"/>
            </w:tcBorders>
            <w:shd w:val="clear" w:color="auto" w:fill="auto"/>
            <w:noWrap/>
            <w:vAlign w:val="center"/>
            <w:hideMark/>
          </w:tcPr>
          <w:p w14:paraId="57374CE8" w14:textId="77777777" w:rsidR="00CB2594" w:rsidRPr="007434DA" w:rsidRDefault="00CB2594" w:rsidP="00EB34AB">
            <w:pPr>
              <w:spacing w:line="360" w:lineRule="atLeast"/>
              <w:jc w:val="center"/>
              <w:rPr>
                <w:rFonts w:cs="Times New Roman"/>
                <w:sz w:val="20"/>
                <w:szCs w:val="20"/>
                <w:lang w:val="cs-CZ"/>
              </w:rPr>
            </w:pPr>
            <w:r w:rsidRPr="007434DA">
              <w:rPr>
                <w:rFonts w:cs="Times New Roman"/>
                <w:sz w:val="20"/>
                <w:szCs w:val="20"/>
                <w:lang w:val="cs-CZ"/>
              </w:rPr>
              <w:t>Zlínský kraj</w:t>
            </w:r>
          </w:p>
        </w:tc>
        <w:tc>
          <w:tcPr>
            <w:tcW w:w="1925" w:type="dxa"/>
            <w:tcBorders>
              <w:top w:val="nil"/>
              <w:left w:val="nil"/>
              <w:bottom w:val="single" w:sz="4" w:space="0" w:color="auto"/>
              <w:right w:val="single" w:sz="4" w:space="0" w:color="auto"/>
            </w:tcBorders>
            <w:shd w:val="clear" w:color="auto" w:fill="auto"/>
            <w:noWrap/>
            <w:vAlign w:val="center"/>
            <w:hideMark/>
          </w:tcPr>
          <w:p w14:paraId="7F8E4714" w14:textId="77777777" w:rsidR="00CB2594" w:rsidRPr="007434DA" w:rsidRDefault="00CB2594" w:rsidP="00EB34AB">
            <w:pPr>
              <w:ind w:right="587"/>
              <w:jc w:val="center"/>
              <w:rPr>
                <w:rFonts w:eastAsia="Times New Roman" w:cs="Times New Roman"/>
                <w:sz w:val="20"/>
                <w:szCs w:val="20"/>
                <w:lang w:val="cs-CZ"/>
              </w:rPr>
            </w:pPr>
            <w:r w:rsidRPr="007434DA">
              <w:rPr>
                <w:rFonts w:eastAsia="Times New Roman" w:cs="Times New Roman"/>
                <w:sz w:val="20"/>
                <w:szCs w:val="20"/>
                <w:lang w:val="cs-CZ"/>
              </w:rPr>
              <w:t>3 438</w:t>
            </w:r>
          </w:p>
        </w:tc>
      </w:tr>
      <w:tr w:rsidR="00CB2594" w:rsidRPr="007434DA" w14:paraId="212C2FE3" w14:textId="77777777" w:rsidTr="004A57B3">
        <w:trPr>
          <w:trHeight w:val="300"/>
        </w:trPr>
        <w:tc>
          <w:tcPr>
            <w:tcW w:w="2370" w:type="dxa"/>
            <w:tcBorders>
              <w:top w:val="nil"/>
              <w:left w:val="single" w:sz="4" w:space="0" w:color="auto"/>
              <w:bottom w:val="single" w:sz="4" w:space="0" w:color="auto"/>
              <w:right w:val="single" w:sz="4" w:space="0" w:color="auto"/>
            </w:tcBorders>
            <w:shd w:val="clear" w:color="auto" w:fill="E2EFD9" w:themeFill="accent6" w:themeFillTint="33"/>
            <w:noWrap/>
            <w:vAlign w:val="center"/>
          </w:tcPr>
          <w:p w14:paraId="7B1FA15F" w14:textId="77777777" w:rsidR="00CB2594" w:rsidRPr="007434DA" w:rsidRDefault="00CB2594" w:rsidP="004A57B3">
            <w:pPr>
              <w:rPr>
                <w:rFonts w:eastAsia="Times New Roman" w:cs="Times New Roman"/>
                <w:b/>
                <w:bCs/>
                <w:sz w:val="20"/>
                <w:szCs w:val="20"/>
                <w:lang w:val="cs-CZ"/>
              </w:rPr>
            </w:pPr>
            <w:r w:rsidRPr="007434DA">
              <w:rPr>
                <w:rFonts w:eastAsia="Times New Roman" w:cs="Times New Roman"/>
                <w:b/>
                <w:bCs/>
                <w:sz w:val="20"/>
                <w:szCs w:val="20"/>
                <w:lang w:val="cs-CZ"/>
              </w:rPr>
              <w:t>celkem</w:t>
            </w:r>
          </w:p>
        </w:tc>
        <w:tc>
          <w:tcPr>
            <w:tcW w:w="7063" w:type="dxa"/>
            <w:gridSpan w:val="3"/>
            <w:tcBorders>
              <w:top w:val="nil"/>
              <w:left w:val="nil"/>
              <w:bottom w:val="single" w:sz="4" w:space="0" w:color="auto"/>
              <w:right w:val="single" w:sz="4" w:space="0" w:color="auto"/>
            </w:tcBorders>
            <w:shd w:val="clear" w:color="auto" w:fill="E2EFD9" w:themeFill="accent6" w:themeFillTint="33"/>
            <w:noWrap/>
            <w:vAlign w:val="center"/>
          </w:tcPr>
          <w:p w14:paraId="077EA929" w14:textId="77777777" w:rsidR="00CB2594" w:rsidRPr="007434DA" w:rsidRDefault="00CB2594" w:rsidP="004A57B3">
            <w:pPr>
              <w:spacing w:line="360" w:lineRule="atLeast"/>
              <w:jc w:val="center"/>
              <w:rPr>
                <w:rFonts w:cs="Times New Roman"/>
                <w:b/>
                <w:sz w:val="20"/>
                <w:szCs w:val="20"/>
                <w:lang w:val="cs-CZ"/>
              </w:rPr>
            </w:pPr>
            <w:r w:rsidRPr="007434DA">
              <w:rPr>
                <w:rFonts w:eastAsia="Times New Roman" w:cs="Times New Roman"/>
                <w:b/>
                <w:bCs/>
                <w:sz w:val="20"/>
                <w:szCs w:val="20"/>
                <w:lang w:val="cs-CZ"/>
              </w:rPr>
              <w:t>73 947</w:t>
            </w:r>
          </w:p>
        </w:tc>
      </w:tr>
    </w:tbl>
    <w:p w14:paraId="3735CE77" w14:textId="77777777" w:rsidR="00CB2594" w:rsidRPr="007434DA" w:rsidRDefault="00CB2594" w:rsidP="00CB2594">
      <w:pPr>
        <w:rPr>
          <w:rFonts w:cstheme="minorHAnsi"/>
          <w:i/>
          <w:sz w:val="18"/>
          <w:szCs w:val="18"/>
          <w:lang w:val="cs-CZ"/>
        </w:rPr>
      </w:pPr>
      <w:r w:rsidRPr="007434DA">
        <w:rPr>
          <w:rFonts w:cstheme="minorHAnsi"/>
          <w:i/>
          <w:sz w:val="18"/>
          <w:szCs w:val="18"/>
          <w:lang w:val="cs-CZ"/>
        </w:rPr>
        <w:t>Zdroj: LPIS 2015-2018, ČÚZK 2018, vlastní výpočty ÚZEI</w:t>
      </w:r>
    </w:p>
    <w:p w14:paraId="263E6B25" w14:textId="77777777" w:rsidR="00CB2594" w:rsidRPr="007434DA" w:rsidRDefault="00CB2594" w:rsidP="00EB34AB">
      <w:pPr>
        <w:pStyle w:val="UZEINormaln"/>
        <w:rPr>
          <w:rStyle w:val="Zdraznnintenzivn"/>
          <w:b/>
          <w:bCs/>
          <w:i w:val="0"/>
          <w:iCs w:val="0"/>
          <w:color w:val="auto"/>
        </w:rPr>
      </w:pPr>
      <w:r w:rsidRPr="007434DA">
        <w:rPr>
          <w:rStyle w:val="Zdraznnintenzivn"/>
          <w:b/>
          <w:bCs/>
          <w:i w:val="0"/>
          <w:iCs w:val="0"/>
          <w:color w:val="auto"/>
        </w:rPr>
        <w:t>Var. 1 Výskyt řepky 2 roky po sobě na stejné lokalitě</w:t>
      </w:r>
    </w:p>
    <w:p w14:paraId="43A141F5" w14:textId="77777777" w:rsidR="00CB2594" w:rsidRPr="007434DA" w:rsidRDefault="00CB2594" w:rsidP="00EB34AB">
      <w:pPr>
        <w:pStyle w:val="UZEINormaln"/>
      </w:pPr>
      <w:r w:rsidRPr="007434DA">
        <w:t xml:space="preserve">V tabulce je vyčíslena výměra ploch na úrovni krajů, na kterých se řepka (ozimá nebo jarní) vyskytovala mezi lety 2015–2018 dvakrát po sobě. Z celkové výměry 395 125 ha, která byla v roce 2017 oseta touto plodinou, byl opakovaný výskyt na 3,6 % ploch. </w:t>
      </w:r>
    </w:p>
    <w:p w14:paraId="1C6C33D7" w14:textId="77777777" w:rsidR="00CB2594" w:rsidRPr="007434DA" w:rsidRDefault="00CB2594" w:rsidP="00CB2594">
      <w:pPr>
        <w:spacing w:before="240"/>
        <w:rPr>
          <w:rFonts w:eastAsia="Times New Roman" w:cs="Times New Roman"/>
          <w:b/>
          <w:bCs/>
          <w:sz w:val="20"/>
          <w:szCs w:val="20"/>
          <w:lang w:val="cs-CZ"/>
        </w:rPr>
      </w:pPr>
      <w:r w:rsidRPr="007434DA">
        <w:rPr>
          <w:rFonts w:eastAsia="Times New Roman" w:cs="Times New Roman"/>
          <w:b/>
          <w:bCs/>
          <w:sz w:val="20"/>
          <w:szCs w:val="20"/>
          <w:lang w:val="cs-CZ"/>
        </w:rPr>
        <w:t>Tab. A 7 Výměra ploch osetých řepkou dvakrát po sobě v letech 2015-2018 dle krajů (ha)</w:t>
      </w:r>
    </w:p>
    <w:tbl>
      <w:tblPr>
        <w:tblW w:w="9433" w:type="dxa"/>
        <w:tblCellMar>
          <w:left w:w="70" w:type="dxa"/>
          <w:right w:w="70" w:type="dxa"/>
        </w:tblCellMar>
        <w:tblLook w:val="04A0" w:firstRow="1" w:lastRow="0" w:firstColumn="1" w:lastColumn="0" w:noHBand="0" w:noVBand="1"/>
      </w:tblPr>
      <w:tblGrid>
        <w:gridCol w:w="2370"/>
        <w:gridCol w:w="2161"/>
        <w:gridCol w:w="2977"/>
        <w:gridCol w:w="1925"/>
      </w:tblGrid>
      <w:tr w:rsidR="00CB2594" w:rsidRPr="007434DA" w14:paraId="2E385861" w14:textId="77777777" w:rsidTr="004A57B3">
        <w:trPr>
          <w:trHeight w:val="300"/>
        </w:trPr>
        <w:tc>
          <w:tcPr>
            <w:tcW w:w="23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0D7ECB" w14:textId="77777777" w:rsidR="00CB2594" w:rsidRPr="007434DA" w:rsidRDefault="00CB2594" w:rsidP="006848E5">
            <w:pPr>
              <w:spacing w:line="360" w:lineRule="atLeast"/>
              <w:jc w:val="center"/>
              <w:rPr>
                <w:rFonts w:cs="Times New Roman"/>
                <w:sz w:val="20"/>
                <w:szCs w:val="20"/>
                <w:lang w:val="cs-CZ"/>
              </w:rPr>
            </w:pPr>
            <w:r w:rsidRPr="007434DA">
              <w:rPr>
                <w:rFonts w:cs="Times New Roman"/>
                <w:sz w:val="20"/>
                <w:szCs w:val="20"/>
                <w:lang w:val="cs-CZ"/>
              </w:rPr>
              <w:t>Kraj</w:t>
            </w:r>
          </w:p>
        </w:tc>
        <w:tc>
          <w:tcPr>
            <w:tcW w:w="2161" w:type="dxa"/>
            <w:tcBorders>
              <w:top w:val="single" w:sz="4" w:space="0" w:color="auto"/>
              <w:left w:val="nil"/>
              <w:bottom w:val="single" w:sz="4" w:space="0" w:color="auto"/>
              <w:right w:val="single" w:sz="4" w:space="0" w:color="auto"/>
            </w:tcBorders>
            <w:shd w:val="clear" w:color="auto" w:fill="auto"/>
            <w:noWrap/>
            <w:vAlign w:val="center"/>
            <w:hideMark/>
          </w:tcPr>
          <w:p w14:paraId="66C61AB8" w14:textId="77777777" w:rsidR="00CB2594" w:rsidRPr="007434DA" w:rsidRDefault="00CB2594" w:rsidP="006848E5">
            <w:pPr>
              <w:spacing w:line="360" w:lineRule="atLeast"/>
              <w:jc w:val="center"/>
              <w:rPr>
                <w:rFonts w:cs="Times New Roman"/>
                <w:sz w:val="20"/>
                <w:szCs w:val="20"/>
                <w:lang w:val="cs-CZ"/>
              </w:rPr>
            </w:pPr>
            <w:r w:rsidRPr="007434DA">
              <w:rPr>
                <w:rFonts w:cs="Times New Roman"/>
                <w:sz w:val="20"/>
                <w:szCs w:val="20"/>
                <w:lang w:val="cs-CZ"/>
              </w:rPr>
              <w:t>výměra (ha)</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14:paraId="58FBF11D" w14:textId="77777777" w:rsidR="00CB2594" w:rsidRPr="007434DA" w:rsidRDefault="00CB2594" w:rsidP="006848E5">
            <w:pPr>
              <w:spacing w:line="360" w:lineRule="atLeast"/>
              <w:jc w:val="center"/>
              <w:rPr>
                <w:rFonts w:cs="Times New Roman"/>
                <w:sz w:val="20"/>
                <w:szCs w:val="20"/>
                <w:lang w:val="cs-CZ"/>
              </w:rPr>
            </w:pPr>
            <w:r w:rsidRPr="007434DA">
              <w:rPr>
                <w:rFonts w:cs="Times New Roman"/>
                <w:sz w:val="20"/>
                <w:szCs w:val="20"/>
                <w:lang w:val="cs-CZ"/>
              </w:rPr>
              <w:t>kraj</w:t>
            </w:r>
          </w:p>
        </w:tc>
        <w:tc>
          <w:tcPr>
            <w:tcW w:w="1925" w:type="dxa"/>
            <w:tcBorders>
              <w:top w:val="single" w:sz="4" w:space="0" w:color="auto"/>
              <w:left w:val="nil"/>
              <w:bottom w:val="single" w:sz="4" w:space="0" w:color="auto"/>
              <w:right w:val="single" w:sz="4" w:space="0" w:color="auto"/>
            </w:tcBorders>
            <w:shd w:val="clear" w:color="auto" w:fill="auto"/>
            <w:noWrap/>
            <w:vAlign w:val="center"/>
            <w:hideMark/>
          </w:tcPr>
          <w:p w14:paraId="545DD16E" w14:textId="77777777" w:rsidR="00CB2594" w:rsidRPr="007434DA" w:rsidRDefault="00CB2594" w:rsidP="006848E5">
            <w:pPr>
              <w:spacing w:line="360" w:lineRule="atLeast"/>
              <w:jc w:val="center"/>
              <w:rPr>
                <w:rFonts w:cs="Times New Roman"/>
                <w:sz w:val="20"/>
                <w:szCs w:val="20"/>
                <w:lang w:val="cs-CZ"/>
              </w:rPr>
            </w:pPr>
            <w:r w:rsidRPr="007434DA">
              <w:rPr>
                <w:rFonts w:cs="Times New Roman"/>
                <w:sz w:val="20"/>
                <w:szCs w:val="20"/>
                <w:lang w:val="cs-CZ"/>
              </w:rPr>
              <w:t>výměra (ha)</w:t>
            </w:r>
          </w:p>
        </w:tc>
      </w:tr>
      <w:tr w:rsidR="00CB2594" w:rsidRPr="007434DA" w14:paraId="5FE19DD8" w14:textId="77777777" w:rsidTr="004A57B3">
        <w:trPr>
          <w:trHeight w:val="300"/>
        </w:trPr>
        <w:tc>
          <w:tcPr>
            <w:tcW w:w="2370" w:type="dxa"/>
            <w:tcBorders>
              <w:top w:val="nil"/>
              <w:left w:val="single" w:sz="4" w:space="0" w:color="auto"/>
              <w:bottom w:val="single" w:sz="4" w:space="0" w:color="auto"/>
              <w:right w:val="single" w:sz="4" w:space="0" w:color="auto"/>
            </w:tcBorders>
            <w:shd w:val="clear" w:color="auto" w:fill="auto"/>
            <w:noWrap/>
            <w:vAlign w:val="center"/>
            <w:hideMark/>
          </w:tcPr>
          <w:p w14:paraId="42A35EE6" w14:textId="77777777" w:rsidR="00CB2594" w:rsidRPr="007434DA" w:rsidRDefault="00CB2594" w:rsidP="006848E5">
            <w:pPr>
              <w:spacing w:line="360" w:lineRule="atLeast"/>
              <w:jc w:val="center"/>
              <w:rPr>
                <w:rFonts w:cs="Times New Roman"/>
                <w:sz w:val="20"/>
                <w:szCs w:val="20"/>
                <w:lang w:val="cs-CZ"/>
              </w:rPr>
            </w:pPr>
            <w:r w:rsidRPr="007434DA">
              <w:rPr>
                <w:rFonts w:cs="Times New Roman"/>
                <w:sz w:val="20"/>
                <w:szCs w:val="20"/>
                <w:lang w:val="cs-CZ"/>
              </w:rPr>
              <w:t>Hlavní město Praha</w:t>
            </w:r>
          </w:p>
        </w:tc>
        <w:tc>
          <w:tcPr>
            <w:tcW w:w="2161" w:type="dxa"/>
            <w:tcBorders>
              <w:top w:val="nil"/>
              <w:left w:val="nil"/>
              <w:bottom w:val="single" w:sz="4" w:space="0" w:color="auto"/>
              <w:right w:val="single" w:sz="4" w:space="0" w:color="auto"/>
            </w:tcBorders>
            <w:shd w:val="clear" w:color="auto" w:fill="auto"/>
            <w:noWrap/>
            <w:hideMark/>
          </w:tcPr>
          <w:p w14:paraId="107C7958" w14:textId="77777777" w:rsidR="00CB2594" w:rsidRPr="007434DA" w:rsidRDefault="00CB2594" w:rsidP="006848E5">
            <w:pPr>
              <w:ind w:right="642"/>
              <w:jc w:val="center"/>
              <w:rPr>
                <w:rFonts w:cs="Times New Roman"/>
                <w:sz w:val="20"/>
                <w:szCs w:val="20"/>
                <w:lang w:val="cs-CZ"/>
              </w:rPr>
            </w:pPr>
            <w:r w:rsidRPr="007434DA">
              <w:rPr>
                <w:rFonts w:cs="Times New Roman"/>
                <w:sz w:val="20"/>
                <w:szCs w:val="20"/>
                <w:lang w:val="cs-CZ"/>
              </w:rPr>
              <w:t>12</w:t>
            </w:r>
          </w:p>
        </w:tc>
        <w:tc>
          <w:tcPr>
            <w:tcW w:w="2977" w:type="dxa"/>
            <w:tcBorders>
              <w:top w:val="nil"/>
              <w:left w:val="nil"/>
              <w:bottom w:val="single" w:sz="4" w:space="0" w:color="auto"/>
              <w:right w:val="single" w:sz="4" w:space="0" w:color="auto"/>
            </w:tcBorders>
            <w:shd w:val="clear" w:color="auto" w:fill="auto"/>
            <w:noWrap/>
            <w:vAlign w:val="center"/>
            <w:hideMark/>
          </w:tcPr>
          <w:p w14:paraId="1247EC01" w14:textId="77777777" w:rsidR="00CB2594" w:rsidRPr="007434DA" w:rsidRDefault="00CB2594" w:rsidP="006848E5">
            <w:pPr>
              <w:spacing w:line="360" w:lineRule="atLeast"/>
              <w:jc w:val="center"/>
              <w:rPr>
                <w:rFonts w:cs="Times New Roman"/>
                <w:sz w:val="20"/>
                <w:szCs w:val="20"/>
                <w:lang w:val="cs-CZ"/>
              </w:rPr>
            </w:pPr>
            <w:r w:rsidRPr="007434DA">
              <w:rPr>
                <w:rFonts w:cs="Times New Roman"/>
                <w:sz w:val="20"/>
                <w:szCs w:val="20"/>
                <w:lang w:val="cs-CZ"/>
              </w:rPr>
              <w:t>Moravskoslezský kraj</w:t>
            </w:r>
          </w:p>
        </w:tc>
        <w:tc>
          <w:tcPr>
            <w:tcW w:w="1925" w:type="dxa"/>
            <w:tcBorders>
              <w:top w:val="nil"/>
              <w:left w:val="nil"/>
              <w:bottom w:val="single" w:sz="4" w:space="0" w:color="auto"/>
              <w:right w:val="single" w:sz="4" w:space="0" w:color="auto"/>
            </w:tcBorders>
            <w:shd w:val="clear" w:color="auto" w:fill="auto"/>
            <w:noWrap/>
            <w:hideMark/>
          </w:tcPr>
          <w:p w14:paraId="6C359D54" w14:textId="77777777" w:rsidR="00CB2594" w:rsidRPr="007434DA" w:rsidRDefault="00CB2594" w:rsidP="006848E5">
            <w:pPr>
              <w:ind w:right="642"/>
              <w:jc w:val="center"/>
              <w:rPr>
                <w:rFonts w:cs="Times New Roman"/>
                <w:sz w:val="20"/>
                <w:szCs w:val="20"/>
                <w:lang w:val="cs-CZ"/>
              </w:rPr>
            </w:pPr>
            <w:r w:rsidRPr="007434DA">
              <w:rPr>
                <w:rFonts w:cs="Times New Roman"/>
                <w:sz w:val="20"/>
                <w:szCs w:val="20"/>
                <w:lang w:val="cs-CZ"/>
              </w:rPr>
              <w:t>768</w:t>
            </w:r>
          </w:p>
        </w:tc>
      </w:tr>
      <w:tr w:rsidR="00CB2594" w:rsidRPr="007434DA" w14:paraId="7169EC34" w14:textId="77777777" w:rsidTr="004A57B3">
        <w:trPr>
          <w:trHeight w:val="300"/>
        </w:trPr>
        <w:tc>
          <w:tcPr>
            <w:tcW w:w="2370" w:type="dxa"/>
            <w:tcBorders>
              <w:top w:val="nil"/>
              <w:left w:val="single" w:sz="4" w:space="0" w:color="auto"/>
              <w:bottom w:val="single" w:sz="4" w:space="0" w:color="auto"/>
              <w:right w:val="single" w:sz="4" w:space="0" w:color="auto"/>
            </w:tcBorders>
            <w:shd w:val="clear" w:color="auto" w:fill="auto"/>
            <w:noWrap/>
            <w:vAlign w:val="center"/>
            <w:hideMark/>
          </w:tcPr>
          <w:p w14:paraId="6D714AE5" w14:textId="77777777" w:rsidR="00CB2594" w:rsidRPr="007434DA" w:rsidRDefault="00CB2594" w:rsidP="006848E5">
            <w:pPr>
              <w:spacing w:line="360" w:lineRule="atLeast"/>
              <w:jc w:val="center"/>
              <w:rPr>
                <w:rFonts w:cs="Times New Roman"/>
                <w:sz w:val="20"/>
                <w:szCs w:val="20"/>
                <w:lang w:val="cs-CZ"/>
              </w:rPr>
            </w:pPr>
            <w:r w:rsidRPr="007434DA">
              <w:rPr>
                <w:rFonts w:cs="Times New Roman"/>
                <w:sz w:val="20"/>
                <w:szCs w:val="20"/>
                <w:lang w:val="cs-CZ"/>
              </w:rPr>
              <w:t>Jihočeský kraj</w:t>
            </w:r>
          </w:p>
        </w:tc>
        <w:tc>
          <w:tcPr>
            <w:tcW w:w="2161" w:type="dxa"/>
            <w:tcBorders>
              <w:top w:val="nil"/>
              <w:left w:val="nil"/>
              <w:bottom w:val="single" w:sz="4" w:space="0" w:color="auto"/>
              <w:right w:val="single" w:sz="4" w:space="0" w:color="auto"/>
            </w:tcBorders>
            <w:shd w:val="clear" w:color="auto" w:fill="auto"/>
            <w:noWrap/>
            <w:hideMark/>
          </w:tcPr>
          <w:p w14:paraId="2E5334D2" w14:textId="77777777" w:rsidR="00CB2594" w:rsidRPr="007434DA" w:rsidRDefault="00CB2594" w:rsidP="006848E5">
            <w:pPr>
              <w:ind w:right="642"/>
              <w:jc w:val="center"/>
              <w:rPr>
                <w:rFonts w:cs="Times New Roman"/>
                <w:sz w:val="20"/>
                <w:szCs w:val="20"/>
                <w:lang w:val="cs-CZ"/>
              </w:rPr>
            </w:pPr>
            <w:r w:rsidRPr="007434DA">
              <w:rPr>
                <w:rFonts w:cs="Times New Roman"/>
                <w:sz w:val="20"/>
                <w:szCs w:val="20"/>
                <w:lang w:val="cs-CZ"/>
              </w:rPr>
              <w:t>973</w:t>
            </w:r>
          </w:p>
        </w:tc>
        <w:tc>
          <w:tcPr>
            <w:tcW w:w="2977" w:type="dxa"/>
            <w:tcBorders>
              <w:top w:val="nil"/>
              <w:left w:val="nil"/>
              <w:bottom w:val="single" w:sz="4" w:space="0" w:color="auto"/>
              <w:right w:val="single" w:sz="4" w:space="0" w:color="auto"/>
            </w:tcBorders>
            <w:shd w:val="clear" w:color="auto" w:fill="auto"/>
            <w:noWrap/>
            <w:vAlign w:val="center"/>
            <w:hideMark/>
          </w:tcPr>
          <w:p w14:paraId="491E190E" w14:textId="77777777" w:rsidR="00CB2594" w:rsidRPr="007434DA" w:rsidRDefault="00CB2594" w:rsidP="006848E5">
            <w:pPr>
              <w:spacing w:line="360" w:lineRule="atLeast"/>
              <w:jc w:val="center"/>
              <w:rPr>
                <w:rFonts w:cs="Times New Roman"/>
                <w:sz w:val="20"/>
                <w:szCs w:val="20"/>
                <w:lang w:val="cs-CZ"/>
              </w:rPr>
            </w:pPr>
            <w:r w:rsidRPr="007434DA">
              <w:rPr>
                <w:rFonts w:cs="Times New Roman"/>
                <w:sz w:val="20"/>
                <w:szCs w:val="20"/>
                <w:lang w:val="cs-CZ"/>
              </w:rPr>
              <w:t>Olomoucký kraj</w:t>
            </w:r>
          </w:p>
        </w:tc>
        <w:tc>
          <w:tcPr>
            <w:tcW w:w="1925" w:type="dxa"/>
            <w:tcBorders>
              <w:top w:val="nil"/>
              <w:left w:val="nil"/>
              <w:bottom w:val="single" w:sz="4" w:space="0" w:color="auto"/>
              <w:right w:val="single" w:sz="4" w:space="0" w:color="auto"/>
            </w:tcBorders>
            <w:shd w:val="clear" w:color="auto" w:fill="auto"/>
            <w:noWrap/>
            <w:hideMark/>
          </w:tcPr>
          <w:p w14:paraId="22B413D7" w14:textId="77777777" w:rsidR="00CB2594" w:rsidRPr="007434DA" w:rsidRDefault="00CB2594" w:rsidP="006848E5">
            <w:pPr>
              <w:ind w:right="642"/>
              <w:jc w:val="center"/>
              <w:rPr>
                <w:rFonts w:cs="Times New Roman"/>
                <w:sz w:val="20"/>
                <w:szCs w:val="20"/>
                <w:lang w:val="cs-CZ"/>
              </w:rPr>
            </w:pPr>
            <w:r w:rsidRPr="007434DA">
              <w:rPr>
                <w:rFonts w:cs="Times New Roman"/>
                <w:sz w:val="20"/>
                <w:szCs w:val="20"/>
                <w:lang w:val="cs-CZ"/>
              </w:rPr>
              <w:t>635</w:t>
            </w:r>
          </w:p>
        </w:tc>
      </w:tr>
      <w:tr w:rsidR="00CB2594" w:rsidRPr="007434DA" w14:paraId="41DCB6F3" w14:textId="77777777" w:rsidTr="004A57B3">
        <w:trPr>
          <w:trHeight w:val="300"/>
        </w:trPr>
        <w:tc>
          <w:tcPr>
            <w:tcW w:w="2370" w:type="dxa"/>
            <w:tcBorders>
              <w:top w:val="nil"/>
              <w:left w:val="single" w:sz="4" w:space="0" w:color="auto"/>
              <w:bottom w:val="single" w:sz="4" w:space="0" w:color="auto"/>
              <w:right w:val="single" w:sz="4" w:space="0" w:color="auto"/>
            </w:tcBorders>
            <w:shd w:val="clear" w:color="auto" w:fill="auto"/>
            <w:noWrap/>
            <w:vAlign w:val="center"/>
            <w:hideMark/>
          </w:tcPr>
          <w:p w14:paraId="07978393" w14:textId="77777777" w:rsidR="00CB2594" w:rsidRPr="007434DA" w:rsidRDefault="00CB2594" w:rsidP="006848E5">
            <w:pPr>
              <w:spacing w:line="360" w:lineRule="atLeast"/>
              <w:jc w:val="center"/>
              <w:rPr>
                <w:rFonts w:cs="Times New Roman"/>
                <w:sz w:val="20"/>
                <w:szCs w:val="20"/>
                <w:lang w:val="cs-CZ"/>
              </w:rPr>
            </w:pPr>
            <w:r w:rsidRPr="007434DA">
              <w:rPr>
                <w:rFonts w:cs="Times New Roman"/>
                <w:sz w:val="20"/>
                <w:szCs w:val="20"/>
                <w:lang w:val="cs-CZ"/>
              </w:rPr>
              <w:t>Jihomoravský kraj</w:t>
            </w:r>
          </w:p>
        </w:tc>
        <w:tc>
          <w:tcPr>
            <w:tcW w:w="2161" w:type="dxa"/>
            <w:tcBorders>
              <w:top w:val="nil"/>
              <w:left w:val="nil"/>
              <w:bottom w:val="single" w:sz="4" w:space="0" w:color="auto"/>
              <w:right w:val="single" w:sz="4" w:space="0" w:color="auto"/>
            </w:tcBorders>
            <w:shd w:val="clear" w:color="auto" w:fill="auto"/>
            <w:noWrap/>
            <w:hideMark/>
          </w:tcPr>
          <w:p w14:paraId="5A9F5B78" w14:textId="77777777" w:rsidR="00CB2594" w:rsidRPr="007434DA" w:rsidRDefault="00CB2594" w:rsidP="006848E5">
            <w:pPr>
              <w:ind w:right="642"/>
              <w:jc w:val="center"/>
              <w:rPr>
                <w:rFonts w:cs="Times New Roman"/>
                <w:sz w:val="20"/>
                <w:szCs w:val="20"/>
                <w:lang w:val="cs-CZ"/>
              </w:rPr>
            </w:pPr>
            <w:r w:rsidRPr="007434DA">
              <w:rPr>
                <w:rFonts w:cs="Times New Roman"/>
                <w:sz w:val="20"/>
                <w:szCs w:val="20"/>
                <w:lang w:val="cs-CZ"/>
              </w:rPr>
              <w:t>1 233</w:t>
            </w:r>
          </w:p>
        </w:tc>
        <w:tc>
          <w:tcPr>
            <w:tcW w:w="2977" w:type="dxa"/>
            <w:tcBorders>
              <w:top w:val="nil"/>
              <w:left w:val="nil"/>
              <w:bottom w:val="single" w:sz="4" w:space="0" w:color="auto"/>
              <w:right w:val="single" w:sz="4" w:space="0" w:color="auto"/>
            </w:tcBorders>
            <w:shd w:val="clear" w:color="auto" w:fill="auto"/>
            <w:noWrap/>
            <w:vAlign w:val="center"/>
            <w:hideMark/>
          </w:tcPr>
          <w:p w14:paraId="2E84E5DC" w14:textId="77777777" w:rsidR="00CB2594" w:rsidRPr="007434DA" w:rsidRDefault="00CB2594" w:rsidP="006848E5">
            <w:pPr>
              <w:spacing w:line="360" w:lineRule="atLeast"/>
              <w:jc w:val="center"/>
              <w:rPr>
                <w:rFonts w:cs="Times New Roman"/>
                <w:sz w:val="20"/>
                <w:szCs w:val="20"/>
                <w:lang w:val="cs-CZ"/>
              </w:rPr>
            </w:pPr>
            <w:r w:rsidRPr="007434DA">
              <w:rPr>
                <w:rFonts w:cs="Times New Roman"/>
                <w:sz w:val="20"/>
                <w:szCs w:val="20"/>
                <w:lang w:val="cs-CZ"/>
              </w:rPr>
              <w:t>Pardubický kraj</w:t>
            </w:r>
          </w:p>
        </w:tc>
        <w:tc>
          <w:tcPr>
            <w:tcW w:w="1925" w:type="dxa"/>
            <w:tcBorders>
              <w:top w:val="nil"/>
              <w:left w:val="nil"/>
              <w:bottom w:val="single" w:sz="4" w:space="0" w:color="auto"/>
              <w:right w:val="single" w:sz="4" w:space="0" w:color="auto"/>
            </w:tcBorders>
            <w:shd w:val="clear" w:color="auto" w:fill="auto"/>
            <w:noWrap/>
            <w:hideMark/>
          </w:tcPr>
          <w:p w14:paraId="3B72E58A" w14:textId="77777777" w:rsidR="00CB2594" w:rsidRPr="007434DA" w:rsidRDefault="00CB2594" w:rsidP="006848E5">
            <w:pPr>
              <w:ind w:right="642"/>
              <w:jc w:val="center"/>
              <w:rPr>
                <w:rFonts w:cs="Times New Roman"/>
                <w:sz w:val="20"/>
                <w:szCs w:val="20"/>
                <w:lang w:val="cs-CZ"/>
              </w:rPr>
            </w:pPr>
            <w:r w:rsidRPr="007434DA">
              <w:rPr>
                <w:rFonts w:cs="Times New Roman"/>
                <w:sz w:val="20"/>
                <w:szCs w:val="20"/>
                <w:lang w:val="cs-CZ"/>
              </w:rPr>
              <w:t>543</w:t>
            </w:r>
          </w:p>
        </w:tc>
      </w:tr>
      <w:tr w:rsidR="00CB2594" w:rsidRPr="007434DA" w14:paraId="3DFF010D" w14:textId="77777777" w:rsidTr="004A57B3">
        <w:trPr>
          <w:trHeight w:val="300"/>
        </w:trPr>
        <w:tc>
          <w:tcPr>
            <w:tcW w:w="2370" w:type="dxa"/>
            <w:tcBorders>
              <w:top w:val="nil"/>
              <w:left w:val="single" w:sz="4" w:space="0" w:color="auto"/>
              <w:bottom w:val="single" w:sz="4" w:space="0" w:color="auto"/>
              <w:right w:val="single" w:sz="4" w:space="0" w:color="auto"/>
            </w:tcBorders>
            <w:shd w:val="clear" w:color="auto" w:fill="auto"/>
            <w:noWrap/>
            <w:vAlign w:val="center"/>
            <w:hideMark/>
          </w:tcPr>
          <w:p w14:paraId="4B635D9F" w14:textId="77777777" w:rsidR="00CB2594" w:rsidRPr="007434DA" w:rsidRDefault="00CB2594" w:rsidP="006848E5">
            <w:pPr>
              <w:spacing w:line="360" w:lineRule="atLeast"/>
              <w:jc w:val="center"/>
              <w:rPr>
                <w:rFonts w:cs="Times New Roman"/>
                <w:sz w:val="20"/>
                <w:szCs w:val="20"/>
                <w:lang w:val="cs-CZ"/>
              </w:rPr>
            </w:pPr>
            <w:r w:rsidRPr="007434DA">
              <w:rPr>
                <w:rFonts w:cs="Times New Roman"/>
                <w:sz w:val="20"/>
                <w:szCs w:val="20"/>
                <w:lang w:val="cs-CZ"/>
              </w:rPr>
              <w:t>Karlovarský kraj</w:t>
            </w:r>
          </w:p>
        </w:tc>
        <w:tc>
          <w:tcPr>
            <w:tcW w:w="2161" w:type="dxa"/>
            <w:tcBorders>
              <w:top w:val="nil"/>
              <w:left w:val="nil"/>
              <w:bottom w:val="single" w:sz="4" w:space="0" w:color="auto"/>
              <w:right w:val="single" w:sz="4" w:space="0" w:color="auto"/>
            </w:tcBorders>
            <w:shd w:val="clear" w:color="auto" w:fill="auto"/>
            <w:noWrap/>
            <w:hideMark/>
          </w:tcPr>
          <w:p w14:paraId="3E0B7255" w14:textId="77777777" w:rsidR="00CB2594" w:rsidRPr="007434DA" w:rsidRDefault="00CB2594" w:rsidP="006848E5">
            <w:pPr>
              <w:ind w:right="642"/>
              <w:jc w:val="center"/>
              <w:rPr>
                <w:rFonts w:cs="Times New Roman"/>
                <w:sz w:val="20"/>
                <w:szCs w:val="20"/>
                <w:lang w:val="cs-CZ"/>
              </w:rPr>
            </w:pPr>
            <w:r w:rsidRPr="007434DA">
              <w:rPr>
                <w:rFonts w:cs="Times New Roman"/>
                <w:sz w:val="20"/>
                <w:szCs w:val="20"/>
                <w:lang w:val="cs-CZ"/>
              </w:rPr>
              <w:t>159</w:t>
            </w:r>
          </w:p>
        </w:tc>
        <w:tc>
          <w:tcPr>
            <w:tcW w:w="2977" w:type="dxa"/>
            <w:tcBorders>
              <w:top w:val="nil"/>
              <w:left w:val="nil"/>
              <w:bottom w:val="single" w:sz="4" w:space="0" w:color="auto"/>
              <w:right w:val="single" w:sz="4" w:space="0" w:color="auto"/>
            </w:tcBorders>
            <w:shd w:val="clear" w:color="auto" w:fill="auto"/>
            <w:noWrap/>
            <w:vAlign w:val="center"/>
            <w:hideMark/>
          </w:tcPr>
          <w:p w14:paraId="582DEAFD" w14:textId="77777777" w:rsidR="00CB2594" w:rsidRPr="007434DA" w:rsidRDefault="00CB2594" w:rsidP="006848E5">
            <w:pPr>
              <w:spacing w:line="360" w:lineRule="atLeast"/>
              <w:jc w:val="center"/>
              <w:rPr>
                <w:rFonts w:cs="Times New Roman"/>
                <w:sz w:val="20"/>
                <w:szCs w:val="20"/>
                <w:lang w:val="cs-CZ"/>
              </w:rPr>
            </w:pPr>
            <w:r w:rsidRPr="007434DA">
              <w:rPr>
                <w:rFonts w:cs="Times New Roman"/>
                <w:sz w:val="20"/>
                <w:szCs w:val="20"/>
                <w:lang w:val="cs-CZ"/>
              </w:rPr>
              <w:t>Plzeňský kraj</w:t>
            </w:r>
          </w:p>
        </w:tc>
        <w:tc>
          <w:tcPr>
            <w:tcW w:w="1925" w:type="dxa"/>
            <w:tcBorders>
              <w:top w:val="nil"/>
              <w:left w:val="nil"/>
              <w:bottom w:val="single" w:sz="4" w:space="0" w:color="auto"/>
              <w:right w:val="single" w:sz="4" w:space="0" w:color="auto"/>
            </w:tcBorders>
            <w:shd w:val="clear" w:color="auto" w:fill="auto"/>
            <w:noWrap/>
            <w:hideMark/>
          </w:tcPr>
          <w:p w14:paraId="749CCA04" w14:textId="77777777" w:rsidR="00CB2594" w:rsidRPr="007434DA" w:rsidRDefault="00CB2594" w:rsidP="006848E5">
            <w:pPr>
              <w:ind w:right="642"/>
              <w:jc w:val="center"/>
              <w:rPr>
                <w:rFonts w:cs="Times New Roman"/>
                <w:sz w:val="20"/>
                <w:szCs w:val="20"/>
                <w:lang w:val="cs-CZ"/>
              </w:rPr>
            </w:pPr>
            <w:r w:rsidRPr="007434DA">
              <w:rPr>
                <w:rFonts w:cs="Times New Roman"/>
                <w:sz w:val="20"/>
                <w:szCs w:val="20"/>
                <w:lang w:val="cs-CZ"/>
              </w:rPr>
              <w:t>1 457</w:t>
            </w:r>
          </w:p>
        </w:tc>
      </w:tr>
      <w:tr w:rsidR="00CB2594" w:rsidRPr="007434DA" w14:paraId="775ACBF2" w14:textId="77777777" w:rsidTr="004A57B3">
        <w:trPr>
          <w:trHeight w:val="300"/>
        </w:trPr>
        <w:tc>
          <w:tcPr>
            <w:tcW w:w="2370" w:type="dxa"/>
            <w:tcBorders>
              <w:top w:val="nil"/>
              <w:left w:val="single" w:sz="4" w:space="0" w:color="auto"/>
              <w:bottom w:val="single" w:sz="4" w:space="0" w:color="auto"/>
              <w:right w:val="single" w:sz="4" w:space="0" w:color="auto"/>
            </w:tcBorders>
            <w:shd w:val="clear" w:color="auto" w:fill="auto"/>
            <w:noWrap/>
            <w:vAlign w:val="center"/>
            <w:hideMark/>
          </w:tcPr>
          <w:p w14:paraId="7AD82477" w14:textId="77777777" w:rsidR="00CB2594" w:rsidRPr="007434DA" w:rsidRDefault="00CB2594" w:rsidP="006848E5">
            <w:pPr>
              <w:spacing w:line="360" w:lineRule="atLeast"/>
              <w:jc w:val="center"/>
              <w:rPr>
                <w:rFonts w:cs="Times New Roman"/>
                <w:sz w:val="20"/>
                <w:szCs w:val="20"/>
                <w:lang w:val="cs-CZ"/>
              </w:rPr>
            </w:pPr>
            <w:r w:rsidRPr="007434DA">
              <w:rPr>
                <w:rFonts w:cs="Times New Roman"/>
                <w:sz w:val="20"/>
                <w:szCs w:val="20"/>
                <w:lang w:val="cs-CZ"/>
              </w:rPr>
              <w:t>Kraj Vysočina</w:t>
            </w:r>
          </w:p>
        </w:tc>
        <w:tc>
          <w:tcPr>
            <w:tcW w:w="2161" w:type="dxa"/>
            <w:tcBorders>
              <w:top w:val="nil"/>
              <w:left w:val="nil"/>
              <w:bottom w:val="single" w:sz="4" w:space="0" w:color="auto"/>
              <w:right w:val="single" w:sz="4" w:space="0" w:color="auto"/>
            </w:tcBorders>
            <w:shd w:val="clear" w:color="auto" w:fill="auto"/>
            <w:noWrap/>
            <w:hideMark/>
          </w:tcPr>
          <w:p w14:paraId="50FBD3C7" w14:textId="77777777" w:rsidR="00CB2594" w:rsidRPr="007434DA" w:rsidRDefault="00CB2594" w:rsidP="006848E5">
            <w:pPr>
              <w:ind w:right="642"/>
              <w:jc w:val="center"/>
              <w:rPr>
                <w:rFonts w:cs="Times New Roman"/>
                <w:sz w:val="20"/>
                <w:szCs w:val="20"/>
                <w:lang w:val="cs-CZ"/>
              </w:rPr>
            </w:pPr>
            <w:r w:rsidRPr="007434DA">
              <w:rPr>
                <w:rFonts w:cs="Times New Roman"/>
                <w:sz w:val="20"/>
                <w:szCs w:val="20"/>
                <w:lang w:val="cs-CZ"/>
              </w:rPr>
              <w:t>1 283</w:t>
            </w:r>
          </w:p>
        </w:tc>
        <w:tc>
          <w:tcPr>
            <w:tcW w:w="2977" w:type="dxa"/>
            <w:tcBorders>
              <w:top w:val="nil"/>
              <w:left w:val="nil"/>
              <w:bottom w:val="single" w:sz="4" w:space="0" w:color="auto"/>
              <w:right w:val="single" w:sz="4" w:space="0" w:color="auto"/>
            </w:tcBorders>
            <w:shd w:val="clear" w:color="auto" w:fill="auto"/>
            <w:noWrap/>
            <w:vAlign w:val="center"/>
            <w:hideMark/>
          </w:tcPr>
          <w:p w14:paraId="67F85E85" w14:textId="77777777" w:rsidR="00CB2594" w:rsidRPr="007434DA" w:rsidRDefault="00CB2594" w:rsidP="006848E5">
            <w:pPr>
              <w:spacing w:line="360" w:lineRule="atLeast"/>
              <w:jc w:val="center"/>
              <w:rPr>
                <w:rFonts w:cs="Times New Roman"/>
                <w:sz w:val="20"/>
                <w:szCs w:val="20"/>
                <w:lang w:val="cs-CZ"/>
              </w:rPr>
            </w:pPr>
            <w:r w:rsidRPr="007434DA">
              <w:rPr>
                <w:rFonts w:cs="Times New Roman"/>
                <w:sz w:val="20"/>
                <w:szCs w:val="20"/>
                <w:lang w:val="cs-CZ"/>
              </w:rPr>
              <w:t>Středočeský kraj</w:t>
            </w:r>
          </w:p>
        </w:tc>
        <w:tc>
          <w:tcPr>
            <w:tcW w:w="1925" w:type="dxa"/>
            <w:tcBorders>
              <w:top w:val="nil"/>
              <w:left w:val="nil"/>
              <w:bottom w:val="single" w:sz="4" w:space="0" w:color="auto"/>
              <w:right w:val="single" w:sz="4" w:space="0" w:color="auto"/>
            </w:tcBorders>
            <w:shd w:val="clear" w:color="auto" w:fill="auto"/>
            <w:noWrap/>
            <w:hideMark/>
          </w:tcPr>
          <w:p w14:paraId="3E4EFD5E" w14:textId="77777777" w:rsidR="00CB2594" w:rsidRPr="007434DA" w:rsidRDefault="00CB2594" w:rsidP="006848E5">
            <w:pPr>
              <w:ind w:right="642"/>
              <w:jc w:val="center"/>
              <w:rPr>
                <w:rFonts w:cs="Times New Roman"/>
                <w:sz w:val="20"/>
                <w:szCs w:val="20"/>
                <w:lang w:val="cs-CZ"/>
              </w:rPr>
            </w:pPr>
            <w:r w:rsidRPr="007434DA">
              <w:rPr>
                <w:rFonts w:cs="Times New Roman"/>
                <w:sz w:val="20"/>
                <w:szCs w:val="20"/>
                <w:lang w:val="cs-CZ"/>
              </w:rPr>
              <w:t>4 812</w:t>
            </w:r>
          </w:p>
        </w:tc>
      </w:tr>
      <w:tr w:rsidR="00CB2594" w:rsidRPr="007434DA" w14:paraId="058BA1CA" w14:textId="77777777" w:rsidTr="004A57B3">
        <w:trPr>
          <w:trHeight w:val="300"/>
        </w:trPr>
        <w:tc>
          <w:tcPr>
            <w:tcW w:w="2370" w:type="dxa"/>
            <w:tcBorders>
              <w:top w:val="nil"/>
              <w:left w:val="single" w:sz="4" w:space="0" w:color="auto"/>
              <w:bottom w:val="single" w:sz="4" w:space="0" w:color="auto"/>
              <w:right w:val="single" w:sz="4" w:space="0" w:color="auto"/>
            </w:tcBorders>
            <w:shd w:val="clear" w:color="auto" w:fill="auto"/>
            <w:noWrap/>
            <w:vAlign w:val="center"/>
            <w:hideMark/>
          </w:tcPr>
          <w:p w14:paraId="714F0A15" w14:textId="77777777" w:rsidR="00CB2594" w:rsidRPr="007434DA" w:rsidRDefault="00CB2594" w:rsidP="006848E5">
            <w:pPr>
              <w:spacing w:line="360" w:lineRule="atLeast"/>
              <w:jc w:val="center"/>
              <w:rPr>
                <w:rFonts w:cs="Times New Roman"/>
                <w:sz w:val="20"/>
                <w:szCs w:val="20"/>
                <w:lang w:val="cs-CZ"/>
              </w:rPr>
            </w:pPr>
            <w:r w:rsidRPr="007434DA">
              <w:rPr>
                <w:rFonts w:cs="Times New Roman"/>
                <w:sz w:val="20"/>
                <w:szCs w:val="20"/>
                <w:lang w:val="cs-CZ"/>
              </w:rPr>
              <w:t>Královéhradecký kraj</w:t>
            </w:r>
          </w:p>
        </w:tc>
        <w:tc>
          <w:tcPr>
            <w:tcW w:w="2161" w:type="dxa"/>
            <w:tcBorders>
              <w:top w:val="nil"/>
              <w:left w:val="nil"/>
              <w:bottom w:val="single" w:sz="4" w:space="0" w:color="auto"/>
              <w:right w:val="single" w:sz="4" w:space="0" w:color="auto"/>
            </w:tcBorders>
            <w:shd w:val="clear" w:color="auto" w:fill="auto"/>
            <w:noWrap/>
            <w:hideMark/>
          </w:tcPr>
          <w:p w14:paraId="0042BB8C" w14:textId="77777777" w:rsidR="00CB2594" w:rsidRPr="007434DA" w:rsidRDefault="00CB2594" w:rsidP="006848E5">
            <w:pPr>
              <w:ind w:right="642"/>
              <w:jc w:val="center"/>
              <w:rPr>
                <w:rFonts w:cs="Times New Roman"/>
                <w:sz w:val="20"/>
                <w:szCs w:val="20"/>
                <w:lang w:val="cs-CZ"/>
              </w:rPr>
            </w:pPr>
            <w:r w:rsidRPr="007434DA">
              <w:rPr>
                <w:rFonts w:cs="Times New Roman"/>
                <w:sz w:val="20"/>
                <w:szCs w:val="20"/>
                <w:lang w:val="cs-CZ"/>
              </w:rPr>
              <w:t>871</w:t>
            </w:r>
          </w:p>
        </w:tc>
        <w:tc>
          <w:tcPr>
            <w:tcW w:w="2977" w:type="dxa"/>
            <w:tcBorders>
              <w:top w:val="nil"/>
              <w:left w:val="nil"/>
              <w:bottom w:val="single" w:sz="4" w:space="0" w:color="auto"/>
              <w:right w:val="single" w:sz="4" w:space="0" w:color="auto"/>
            </w:tcBorders>
            <w:shd w:val="clear" w:color="auto" w:fill="auto"/>
            <w:noWrap/>
            <w:vAlign w:val="center"/>
            <w:hideMark/>
          </w:tcPr>
          <w:p w14:paraId="1B219D56" w14:textId="77777777" w:rsidR="00CB2594" w:rsidRPr="007434DA" w:rsidRDefault="00CB2594" w:rsidP="006848E5">
            <w:pPr>
              <w:spacing w:line="360" w:lineRule="atLeast"/>
              <w:jc w:val="center"/>
              <w:rPr>
                <w:rFonts w:cs="Times New Roman"/>
                <w:sz w:val="20"/>
                <w:szCs w:val="20"/>
                <w:lang w:val="cs-CZ"/>
              </w:rPr>
            </w:pPr>
            <w:r w:rsidRPr="007434DA">
              <w:rPr>
                <w:rFonts w:cs="Times New Roman"/>
                <w:sz w:val="20"/>
                <w:szCs w:val="20"/>
                <w:lang w:val="cs-CZ"/>
              </w:rPr>
              <w:t>Ústecký kraj</w:t>
            </w:r>
          </w:p>
        </w:tc>
        <w:tc>
          <w:tcPr>
            <w:tcW w:w="1925" w:type="dxa"/>
            <w:tcBorders>
              <w:top w:val="nil"/>
              <w:left w:val="nil"/>
              <w:bottom w:val="single" w:sz="4" w:space="0" w:color="auto"/>
              <w:right w:val="single" w:sz="4" w:space="0" w:color="auto"/>
            </w:tcBorders>
            <w:shd w:val="clear" w:color="auto" w:fill="auto"/>
            <w:noWrap/>
            <w:hideMark/>
          </w:tcPr>
          <w:p w14:paraId="739DBDEA" w14:textId="77777777" w:rsidR="00CB2594" w:rsidRPr="007434DA" w:rsidRDefault="00CB2594" w:rsidP="006848E5">
            <w:pPr>
              <w:ind w:right="642"/>
              <w:jc w:val="center"/>
              <w:rPr>
                <w:rFonts w:cs="Times New Roman"/>
                <w:sz w:val="20"/>
                <w:szCs w:val="20"/>
                <w:lang w:val="cs-CZ"/>
              </w:rPr>
            </w:pPr>
            <w:r w:rsidRPr="007434DA">
              <w:rPr>
                <w:rFonts w:cs="Times New Roman"/>
                <w:sz w:val="20"/>
                <w:szCs w:val="20"/>
                <w:lang w:val="cs-CZ"/>
              </w:rPr>
              <w:t>974</w:t>
            </w:r>
          </w:p>
        </w:tc>
      </w:tr>
      <w:tr w:rsidR="00CB2594" w:rsidRPr="007434DA" w14:paraId="3792A4DE" w14:textId="77777777" w:rsidTr="004A57B3">
        <w:trPr>
          <w:trHeight w:val="300"/>
        </w:trPr>
        <w:tc>
          <w:tcPr>
            <w:tcW w:w="2370" w:type="dxa"/>
            <w:tcBorders>
              <w:top w:val="nil"/>
              <w:left w:val="single" w:sz="4" w:space="0" w:color="auto"/>
              <w:bottom w:val="single" w:sz="4" w:space="0" w:color="auto"/>
              <w:right w:val="single" w:sz="4" w:space="0" w:color="auto"/>
            </w:tcBorders>
            <w:shd w:val="clear" w:color="auto" w:fill="auto"/>
            <w:noWrap/>
            <w:vAlign w:val="center"/>
            <w:hideMark/>
          </w:tcPr>
          <w:p w14:paraId="58CA6586" w14:textId="77777777" w:rsidR="00CB2594" w:rsidRPr="007434DA" w:rsidRDefault="00CB2594" w:rsidP="006848E5">
            <w:pPr>
              <w:spacing w:line="360" w:lineRule="atLeast"/>
              <w:jc w:val="center"/>
              <w:rPr>
                <w:rFonts w:cs="Times New Roman"/>
                <w:sz w:val="20"/>
                <w:szCs w:val="20"/>
                <w:lang w:val="cs-CZ"/>
              </w:rPr>
            </w:pPr>
            <w:r w:rsidRPr="007434DA">
              <w:rPr>
                <w:rFonts w:cs="Times New Roman"/>
                <w:sz w:val="20"/>
                <w:szCs w:val="20"/>
                <w:lang w:val="cs-CZ"/>
              </w:rPr>
              <w:t>Liberecký kraj</w:t>
            </w:r>
          </w:p>
        </w:tc>
        <w:tc>
          <w:tcPr>
            <w:tcW w:w="2161" w:type="dxa"/>
            <w:tcBorders>
              <w:top w:val="nil"/>
              <w:left w:val="nil"/>
              <w:bottom w:val="single" w:sz="4" w:space="0" w:color="auto"/>
              <w:right w:val="single" w:sz="4" w:space="0" w:color="auto"/>
            </w:tcBorders>
            <w:shd w:val="clear" w:color="auto" w:fill="auto"/>
            <w:noWrap/>
            <w:hideMark/>
          </w:tcPr>
          <w:p w14:paraId="67A5A6C9" w14:textId="77777777" w:rsidR="00CB2594" w:rsidRPr="007434DA" w:rsidRDefault="00CB2594" w:rsidP="006848E5">
            <w:pPr>
              <w:ind w:right="642"/>
              <w:jc w:val="center"/>
              <w:rPr>
                <w:rFonts w:cs="Times New Roman"/>
                <w:sz w:val="20"/>
                <w:szCs w:val="20"/>
                <w:lang w:val="cs-CZ"/>
              </w:rPr>
            </w:pPr>
            <w:r w:rsidRPr="007434DA">
              <w:rPr>
                <w:rFonts w:cs="Times New Roman"/>
                <w:sz w:val="20"/>
                <w:szCs w:val="20"/>
                <w:lang w:val="cs-CZ"/>
              </w:rPr>
              <w:t>363</w:t>
            </w:r>
          </w:p>
        </w:tc>
        <w:tc>
          <w:tcPr>
            <w:tcW w:w="2977" w:type="dxa"/>
            <w:tcBorders>
              <w:top w:val="nil"/>
              <w:left w:val="nil"/>
              <w:bottom w:val="single" w:sz="4" w:space="0" w:color="auto"/>
              <w:right w:val="single" w:sz="4" w:space="0" w:color="auto"/>
            </w:tcBorders>
            <w:shd w:val="clear" w:color="auto" w:fill="auto"/>
            <w:noWrap/>
            <w:vAlign w:val="center"/>
            <w:hideMark/>
          </w:tcPr>
          <w:p w14:paraId="58FC5671" w14:textId="77777777" w:rsidR="00CB2594" w:rsidRPr="007434DA" w:rsidRDefault="00CB2594" w:rsidP="006848E5">
            <w:pPr>
              <w:spacing w:line="360" w:lineRule="atLeast"/>
              <w:jc w:val="center"/>
              <w:rPr>
                <w:rFonts w:cs="Times New Roman"/>
                <w:sz w:val="20"/>
                <w:szCs w:val="20"/>
                <w:lang w:val="cs-CZ"/>
              </w:rPr>
            </w:pPr>
            <w:r w:rsidRPr="007434DA">
              <w:rPr>
                <w:rFonts w:cs="Times New Roman"/>
                <w:sz w:val="20"/>
                <w:szCs w:val="20"/>
                <w:lang w:val="cs-CZ"/>
              </w:rPr>
              <w:t>Zlínský kraj</w:t>
            </w:r>
          </w:p>
        </w:tc>
        <w:tc>
          <w:tcPr>
            <w:tcW w:w="1925" w:type="dxa"/>
            <w:tcBorders>
              <w:top w:val="nil"/>
              <w:left w:val="nil"/>
              <w:bottom w:val="single" w:sz="4" w:space="0" w:color="auto"/>
              <w:right w:val="single" w:sz="4" w:space="0" w:color="auto"/>
            </w:tcBorders>
            <w:shd w:val="clear" w:color="auto" w:fill="auto"/>
            <w:noWrap/>
            <w:hideMark/>
          </w:tcPr>
          <w:p w14:paraId="638D1CB1" w14:textId="77777777" w:rsidR="00CB2594" w:rsidRPr="007434DA" w:rsidRDefault="00CB2594" w:rsidP="006848E5">
            <w:pPr>
              <w:ind w:right="642"/>
              <w:jc w:val="center"/>
              <w:rPr>
                <w:rFonts w:cs="Times New Roman"/>
                <w:sz w:val="20"/>
                <w:szCs w:val="20"/>
                <w:lang w:val="cs-CZ"/>
              </w:rPr>
            </w:pPr>
            <w:r w:rsidRPr="007434DA">
              <w:rPr>
                <w:rFonts w:cs="Times New Roman"/>
                <w:sz w:val="20"/>
                <w:szCs w:val="20"/>
                <w:lang w:val="cs-CZ"/>
              </w:rPr>
              <w:t>337</w:t>
            </w:r>
          </w:p>
        </w:tc>
      </w:tr>
      <w:tr w:rsidR="00CB2594" w:rsidRPr="007434DA" w14:paraId="5B917B37" w14:textId="77777777" w:rsidTr="004A57B3">
        <w:trPr>
          <w:trHeight w:val="300"/>
        </w:trPr>
        <w:tc>
          <w:tcPr>
            <w:tcW w:w="2370" w:type="dxa"/>
            <w:tcBorders>
              <w:top w:val="nil"/>
              <w:left w:val="single" w:sz="4" w:space="0" w:color="auto"/>
              <w:bottom w:val="single" w:sz="4" w:space="0" w:color="auto"/>
              <w:right w:val="single" w:sz="4" w:space="0" w:color="auto"/>
            </w:tcBorders>
            <w:shd w:val="clear" w:color="auto" w:fill="E2EFD9" w:themeFill="accent6" w:themeFillTint="33"/>
            <w:noWrap/>
            <w:vAlign w:val="center"/>
          </w:tcPr>
          <w:p w14:paraId="0FCBA813" w14:textId="77777777" w:rsidR="00CB2594" w:rsidRPr="007434DA" w:rsidRDefault="00CB2594" w:rsidP="006848E5">
            <w:pPr>
              <w:jc w:val="center"/>
              <w:rPr>
                <w:rFonts w:eastAsia="Times New Roman" w:cs="Times New Roman"/>
                <w:b/>
                <w:bCs/>
                <w:sz w:val="20"/>
                <w:szCs w:val="20"/>
                <w:lang w:val="cs-CZ"/>
              </w:rPr>
            </w:pPr>
            <w:r w:rsidRPr="007434DA">
              <w:rPr>
                <w:rFonts w:eastAsia="Times New Roman" w:cs="Times New Roman"/>
                <w:b/>
                <w:bCs/>
                <w:sz w:val="20"/>
                <w:szCs w:val="20"/>
                <w:lang w:val="cs-CZ"/>
              </w:rPr>
              <w:t>celkem</w:t>
            </w:r>
          </w:p>
        </w:tc>
        <w:tc>
          <w:tcPr>
            <w:tcW w:w="7063" w:type="dxa"/>
            <w:gridSpan w:val="3"/>
            <w:tcBorders>
              <w:top w:val="nil"/>
              <w:left w:val="nil"/>
              <w:bottom w:val="single" w:sz="4" w:space="0" w:color="auto"/>
              <w:right w:val="single" w:sz="4" w:space="0" w:color="auto"/>
            </w:tcBorders>
            <w:shd w:val="clear" w:color="auto" w:fill="E2EFD9" w:themeFill="accent6" w:themeFillTint="33"/>
            <w:noWrap/>
            <w:vAlign w:val="center"/>
          </w:tcPr>
          <w:p w14:paraId="12FBA910" w14:textId="77777777" w:rsidR="00CB2594" w:rsidRPr="007434DA" w:rsidRDefault="00CB2594" w:rsidP="006848E5">
            <w:pPr>
              <w:spacing w:line="360" w:lineRule="atLeast"/>
              <w:jc w:val="center"/>
              <w:rPr>
                <w:rFonts w:cs="Times New Roman"/>
                <w:b/>
                <w:sz w:val="20"/>
                <w:szCs w:val="20"/>
                <w:lang w:val="cs-CZ"/>
              </w:rPr>
            </w:pPr>
            <w:r w:rsidRPr="007434DA">
              <w:rPr>
                <w:rFonts w:cs="Times New Roman"/>
                <w:b/>
                <w:sz w:val="20"/>
                <w:szCs w:val="20"/>
                <w:lang w:val="cs-CZ"/>
              </w:rPr>
              <w:t>14 421</w:t>
            </w:r>
          </w:p>
        </w:tc>
      </w:tr>
    </w:tbl>
    <w:p w14:paraId="5273AABB" w14:textId="494F298C" w:rsidR="00CB2594" w:rsidRPr="007434DA" w:rsidRDefault="00CB2594" w:rsidP="00CB2594">
      <w:pPr>
        <w:rPr>
          <w:rFonts w:cstheme="minorHAnsi"/>
          <w:i/>
          <w:sz w:val="18"/>
          <w:szCs w:val="18"/>
          <w:lang w:val="cs-CZ"/>
        </w:rPr>
      </w:pPr>
      <w:r w:rsidRPr="007434DA">
        <w:rPr>
          <w:rFonts w:cstheme="minorHAnsi"/>
          <w:i/>
          <w:sz w:val="18"/>
          <w:szCs w:val="18"/>
          <w:lang w:val="cs-CZ"/>
        </w:rPr>
        <w:t>Zdroj: LPIS 2015-2018, ČÚZK 2018, vlastní výpočty ÚZEI</w:t>
      </w:r>
    </w:p>
    <w:p w14:paraId="156F6185" w14:textId="77777777" w:rsidR="006848E5" w:rsidRPr="007434DA" w:rsidRDefault="006848E5" w:rsidP="006848E5">
      <w:pPr>
        <w:pStyle w:val="UZEINormaln"/>
      </w:pPr>
    </w:p>
    <w:p w14:paraId="3B6C29E3" w14:textId="77777777" w:rsidR="006848E5" w:rsidRPr="007434DA" w:rsidRDefault="006848E5" w:rsidP="006848E5">
      <w:pPr>
        <w:pStyle w:val="UZEINormaln"/>
      </w:pPr>
    </w:p>
    <w:p w14:paraId="0595836E" w14:textId="77777777" w:rsidR="006848E5" w:rsidRPr="007434DA" w:rsidRDefault="006848E5" w:rsidP="006848E5">
      <w:pPr>
        <w:pStyle w:val="UZEINormaln"/>
      </w:pPr>
    </w:p>
    <w:p w14:paraId="4C14399E" w14:textId="77777777" w:rsidR="006848E5" w:rsidRPr="007434DA" w:rsidRDefault="006848E5" w:rsidP="006848E5">
      <w:pPr>
        <w:pStyle w:val="UZEINormaln"/>
      </w:pPr>
    </w:p>
    <w:p w14:paraId="12DF52E8" w14:textId="77777777" w:rsidR="006848E5" w:rsidRPr="007434DA" w:rsidRDefault="006848E5" w:rsidP="006848E5">
      <w:pPr>
        <w:pStyle w:val="UZEINormaln"/>
      </w:pPr>
    </w:p>
    <w:p w14:paraId="66EAB606" w14:textId="77777777" w:rsidR="006848E5" w:rsidRPr="007434DA" w:rsidRDefault="006848E5" w:rsidP="006848E5">
      <w:pPr>
        <w:pStyle w:val="UZEINormaln"/>
      </w:pPr>
    </w:p>
    <w:p w14:paraId="5E8305D3" w14:textId="77777777" w:rsidR="006848E5" w:rsidRPr="007434DA" w:rsidRDefault="006848E5" w:rsidP="006848E5">
      <w:pPr>
        <w:pStyle w:val="UZEINormaln"/>
      </w:pPr>
    </w:p>
    <w:p w14:paraId="42E5C78F" w14:textId="77777777" w:rsidR="006848E5" w:rsidRPr="007434DA" w:rsidRDefault="006848E5" w:rsidP="006848E5">
      <w:pPr>
        <w:pStyle w:val="UZEINormaln"/>
      </w:pPr>
    </w:p>
    <w:p w14:paraId="32B087B5" w14:textId="77777777" w:rsidR="006848E5" w:rsidRPr="007434DA" w:rsidRDefault="006848E5" w:rsidP="006848E5">
      <w:pPr>
        <w:pStyle w:val="UZEINormaln"/>
      </w:pPr>
    </w:p>
    <w:p w14:paraId="4082514A" w14:textId="77777777" w:rsidR="006848E5" w:rsidRPr="007434DA" w:rsidRDefault="006848E5" w:rsidP="006848E5">
      <w:pPr>
        <w:pStyle w:val="UZEINormaln"/>
      </w:pPr>
    </w:p>
    <w:p w14:paraId="49886BAD" w14:textId="77777777" w:rsidR="006848E5" w:rsidRPr="007434DA" w:rsidRDefault="006848E5" w:rsidP="006848E5">
      <w:pPr>
        <w:pStyle w:val="UZEINormaln"/>
      </w:pPr>
    </w:p>
    <w:p w14:paraId="3A69B0FC" w14:textId="62754FEF" w:rsidR="00CB2594" w:rsidRPr="007434DA" w:rsidRDefault="00CB2594" w:rsidP="006848E5">
      <w:pPr>
        <w:pStyle w:val="UZEINormaln"/>
      </w:pPr>
      <w:r w:rsidRPr="007434DA">
        <w:t>V mapce Obr. A12 jsou podrobněji zobrazeny lokality, kde k opakovanému výskytu řepky došlo.</w:t>
      </w:r>
    </w:p>
    <w:p w14:paraId="31C3B724" w14:textId="62E075D6" w:rsidR="00CB2594" w:rsidRPr="007434DA" w:rsidRDefault="00CB2594" w:rsidP="006848E5">
      <w:pPr>
        <w:spacing w:line="360" w:lineRule="atLeast"/>
        <w:rPr>
          <w:rFonts w:cs="Times New Roman"/>
          <w:b/>
          <w:sz w:val="20"/>
          <w:szCs w:val="20"/>
          <w:lang w:val="cs-CZ"/>
        </w:rPr>
      </w:pPr>
      <w:r w:rsidRPr="007434DA">
        <w:rPr>
          <w:rFonts w:cs="Times New Roman"/>
          <w:b/>
          <w:sz w:val="20"/>
          <w:szCs w:val="20"/>
          <w:lang w:val="cs-CZ"/>
        </w:rPr>
        <w:t>Obr. A 12 Přehled osetých ploch řepkou dvakrát po sobě</w:t>
      </w:r>
      <w:r w:rsidRPr="007434DA">
        <w:rPr>
          <w:rFonts w:cstheme="minorHAnsi"/>
          <w:noProof/>
          <w:lang w:val="cs-CZ" w:eastAsia="cs-CZ"/>
        </w:rPr>
        <w:drawing>
          <wp:anchor distT="0" distB="0" distL="114300" distR="114300" simplePos="0" relativeHeight="251659264" behindDoc="0" locked="0" layoutInCell="1" allowOverlap="1" wp14:anchorId="2CFEA58D" wp14:editId="4021E0AC">
            <wp:simplePos x="0" y="0"/>
            <wp:positionH relativeFrom="margin">
              <wp:align>right</wp:align>
            </wp:positionH>
            <wp:positionV relativeFrom="page">
              <wp:posOffset>1647825</wp:posOffset>
            </wp:positionV>
            <wp:extent cx="5759450" cy="4074795"/>
            <wp:effectExtent l="0" t="0" r="0" b="1905"/>
            <wp:wrapTopAndBottom/>
            <wp:docPr id="4103" name="Obrázek 4103" descr="Obsah obrázku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3" name="Obrázek 4103" descr="Obsah obrázku mapa&#10;&#10;Popis byl vytvořen automaticky"/>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759450" cy="4074795"/>
                    </a:xfrm>
                    <a:prstGeom prst="rect">
                      <a:avLst/>
                    </a:prstGeom>
                  </pic:spPr>
                </pic:pic>
              </a:graphicData>
            </a:graphic>
            <wp14:sizeRelH relativeFrom="margin">
              <wp14:pctWidth>0</wp14:pctWidth>
            </wp14:sizeRelH>
            <wp14:sizeRelV relativeFrom="margin">
              <wp14:pctHeight>0</wp14:pctHeight>
            </wp14:sizeRelV>
          </wp:anchor>
        </w:drawing>
      </w:r>
    </w:p>
    <w:p w14:paraId="3C55ADA1" w14:textId="77777777" w:rsidR="00CB2594" w:rsidRPr="007434DA" w:rsidRDefault="00CB2594" w:rsidP="006848E5">
      <w:pPr>
        <w:pStyle w:val="UZEINormaln"/>
        <w:rPr>
          <w:rStyle w:val="Zdraznnintenzivn"/>
          <w:b/>
          <w:bCs/>
          <w:i w:val="0"/>
          <w:iCs w:val="0"/>
          <w:color w:val="auto"/>
        </w:rPr>
      </w:pPr>
      <w:r w:rsidRPr="007434DA">
        <w:rPr>
          <w:rStyle w:val="Zdraznnintenzivn"/>
          <w:b/>
          <w:bCs/>
          <w:i w:val="0"/>
          <w:iCs w:val="0"/>
          <w:color w:val="auto"/>
        </w:rPr>
        <w:t>Var. 2 Výskyt řepky alespoň 2x za sledované čtyřleté období, nemusí jít o souvislý dvouletý výskyt</w:t>
      </w:r>
    </w:p>
    <w:p w14:paraId="3DF2D341" w14:textId="77777777" w:rsidR="00CB2594" w:rsidRPr="007434DA" w:rsidRDefault="00CB2594" w:rsidP="006848E5">
      <w:pPr>
        <w:pStyle w:val="UZEINormaln"/>
      </w:pPr>
      <w:r w:rsidRPr="007434DA">
        <w:t>Další varianta výpočtu udává plochy oseté řepkou nejméně dvakrát ale i vícekrát v letech 2015</w:t>
      </w:r>
      <w:r w:rsidRPr="007434DA">
        <w:noBreakHyphen/>
        <w:t xml:space="preserve">2018, přičemž nebylo podmínkou, aby byl výskyt plodiny na daném místě dvakrát za sebou. Jedná se o součet veškerých výskytů, i takových, kdy řepka byla vyseta jeden rok, pak následovala další rok jiná plodina a v dalším roce byla vyseta znovu řepka. Nebo pokud byla mezi vysetím řepky dva roky jiná plodina. Celková výměra těchto ploch činí 171 927 ha, což reprezentuje podíl z celkové plochy řepky téměř 44 %. </w:t>
      </w:r>
    </w:p>
    <w:p w14:paraId="279F2F52" w14:textId="77777777" w:rsidR="00CB2594" w:rsidRPr="007434DA" w:rsidRDefault="00CB2594" w:rsidP="006848E5">
      <w:pPr>
        <w:pStyle w:val="UZEINormaln"/>
        <w:rPr>
          <w:b/>
          <w:bCs/>
          <w:sz w:val="20"/>
          <w:szCs w:val="20"/>
        </w:rPr>
      </w:pPr>
      <w:r w:rsidRPr="007434DA">
        <w:rPr>
          <w:b/>
          <w:bCs/>
        </w:rPr>
        <w:br w:type="column"/>
      </w:r>
      <w:r w:rsidRPr="007434DA">
        <w:rPr>
          <w:b/>
          <w:bCs/>
          <w:sz w:val="20"/>
          <w:szCs w:val="20"/>
        </w:rPr>
        <w:t>Tab. A 8 Výměra ploch osetých řepkou alespoň dvakrát (nejen po sobě) za sledované období v letech 2015-2018 dle krajů (ha)</w:t>
      </w:r>
    </w:p>
    <w:tbl>
      <w:tblPr>
        <w:tblW w:w="9433" w:type="dxa"/>
        <w:tblCellMar>
          <w:left w:w="70" w:type="dxa"/>
          <w:right w:w="70" w:type="dxa"/>
        </w:tblCellMar>
        <w:tblLook w:val="04A0" w:firstRow="1" w:lastRow="0" w:firstColumn="1" w:lastColumn="0" w:noHBand="0" w:noVBand="1"/>
      </w:tblPr>
      <w:tblGrid>
        <w:gridCol w:w="2370"/>
        <w:gridCol w:w="2161"/>
        <w:gridCol w:w="2977"/>
        <w:gridCol w:w="1925"/>
      </w:tblGrid>
      <w:tr w:rsidR="00CB2594" w:rsidRPr="007434DA" w14:paraId="43CD2B4B" w14:textId="77777777" w:rsidTr="004A57B3">
        <w:trPr>
          <w:trHeight w:val="300"/>
        </w:trPr>
        <w:tc>
          <w:tcPr>
            <w:tcW w:w="23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E713F0" w14:textId="77777777" w:rsidR="00CB2594" w:rsidRPr="007434DA" w:rsidRDefault="00CB2594" w:rsidP="004A57B3">
            <w:pPr>
              <w:spacing w:line="360" w:lineRule="atLeast"/>
              <w:jc w:val="center"/>
              <w:rPr>
                <w:rFonts w:cs="Times New Roman"/>
                <w:sz w:val="20"/>
                <w:szCs w:val="20"/>
                <w:lang w:val="cs-CZ"/>
              </w:rPr>
            </w:pPr>
            <w:r w:rsidRPr="007434DA">
              <w:rPr>
                <w:rFonts w:cs="Times New Roman"/>
                <w:sz w:val="20"/>
                <w:szCs w:val="20"/>
                <w:lang w:val="cs-CZ"/>
              </w:rPr>
              <w:t>Kraj</w:t>
            </w:r>
          </w:p>
        </w:tc>
        <w:tc>
          <w:tcPr>
            <w:tcW w:w="2161" w:type="dxa"/>
            <w:tcBorders>
              <w:top w:val="single" w:sz="4" w:space="0" w:color="auto"/>
              <w:left w:val="nil"/>
              <w:bottom w:val="single" w:sz="4" w:space="0" w:color="auto"/>
              <w:right w:val="single" w:sz="4" w:space="0" w:color="auto"/>
            </w:tcBorders>
            <w:shd w:val="clear" w:color="auto" w:fill="auto"/>
            <w:noWrap/>
            <w:vAlign w:val="center"/>
            <w:hideMark/>
          </w:tcPr>
          <w:p w14:paraId="5BF4AC09" w14:textId="77777777" w:rsidR="00CB2594" w:rsidRPr="007434DA" w:rsidRDefault="00CB2594" w:rsidP="004A57B3">
            <w:pPr>
              <w:spacing w:line="360" w:lineRule="atLeast"/>
              <w:jc w:val="center"/>
              <w:rPr>
                <w:rFonts w:cs="Times New Roman"/>
                <w:sz w:val="20"/>
                <w:szCs w:val="20"/>
                <w:lang w:val="cs-CZ"/>
              </w:rPr>
            </w:pPr>
            <w:r w:rsidRPr="007434DA">
              <w:rPr>
                <w:rFonts w:cs="Times New Roman"/>
                <w:sz w:val="20"/>
                <w:szCs w:val="20"/>
                <w:lang w:val="cs-CZ"/>
              </w:rPr>
              <w:t>výměra (ha)</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14:paraId="5478CAE8" w14:textId="77777777" w:rsidR="00CB2594" w:rsidRPr="007434DA" w:rsidRDefault="00CB2594" w:rsidP="004A57B3">
            <w:pPr>
              <w:spacing w:line="360" w:lineRule="atLeast"/>
              <w:jc w:val="center"/>
              <w:rPr>
                <w:rFonts w:cs="Times New Roman"/>
                <w:sz w:val="20"/>
                <w:szCs w:val="20"/>
                <w:lang w:val="cs-CZ"/>
              </w:rPr>
            </w:pPr>
            <w:r w:rsidRPr="007434DA">
              <w:rPr>
                <w:rFonts w:cs="Times New Roman"/>
                <w:sz w:val="20"/>
                <w:szCs w:val="20"/>
                <w:lang w:val="cs-CZ"/>
              </w:rPr>
              <w:t>kraj</w:t>
            </w:r>
          </w:p>
        </w:tc>
        <w:tc>
          <w:tcPr>
            <w:tcW w:w="1925" w:type="dxa"/>
            <w:tcBorders>
              <w:top w:val="single" w:sz="4" w:space="0" w:color="auto"/>
              <w:left w:val="nil"/>
              <w:bottom w:val="single" w:sz="4" w:space="0" w:color="auto"/>
              <w:right w:val="single" w:sz="4" w:space="0" w:color="auto"/>
            </w:tcBorders>
            <w:shd w:val="clear" w:color="auto" w:fill="auto"/>
            <w:noWrap/>
            <w:vAlign w:val="center"/>
            <w:hideMark/>
          </w:tcPr>
          <w:p w14:paraId="390D06DD" w14:textId="77777777" w:rsidR="00CB2594" w:rsidRPr="007434DA" w:rsidRDefault="00CB2594" w:rsidP="004A57B3">
            <w:pPr>
              <w:spacing w:line="360" w:lineRule="atLeast"/>
              <w:jc w:val="center"/>
              <w:rPr>
                <w:rFonts w:cs="Times New Roman"/>
                <w:sz w:val="20"/>
                <w:szCs w:val="20"/>
                <w:lang w:val="cs-CZ"/>
              </w:rPr>
            </w:pPr>
            <w:r w:rsidRPr="007434DA">
              <w:rPr>
                <w:rFonts w:cs="Times New Roman"/>
                <w:sz w:val="20"/>
                <w:szCs w:val="20"/>
                <w:lang w:val="cs-CZ"/>
              </w:rPr>
              <w:t>výměra (ha)</w:t>
            </w:r>
          </w:p>
        </w:tc>
      </w:tr>
      <w:tr w:rsidR="00CB2594" w:rsidRPr="007434DA" w14:paraId="5797C92C" w14:textId="77777777" w:rsidTr="004A57B3">
        <w:trPr>
          <w:trHeight w:val="300"/>
        </w:trPr>
        <w:tc>
          <w:tcPr>
            <w:tcW w:w="2370" w:type="dxa"/>
            <w:tcBorders>
              <w:top w:val="nil"/>
              <w:left w:val="single" w:sz="4" w:space="0" w:color="auto"/>
              <w:bottom w:val="single" w:sz="4" w:space="0" w:color="auto"/>
              <w:right w:val="single" w:sz="4" w:space="0" w:color="auto"/>
            </w:tcBorders>
            <w:shd w:val="clear" w:color="auto" w:fill="auto"/>
            <w:noWrap/>
            <w:vAlign w:val="center"/>
            <w:hideMark/>
          </w:tcPr>
          <w:p w14:paraId="3102C260" w14:textId="77777777" w:rsidR="00CB2594" w:rsidRPr="007434DA" w:rsidRDefault="00CB2594" w:rsidP="004A57B3">
            <w:pPr>
              <w:spacing w:line="360" w:lineRule="atLeast"/>
              <w:rPr>
                <w:rFonts w:cs="Times New Roman"/>
                <w:sz w:val="20"/>
                <w:szCs w:val="20"/>
                <w:lang w:val="cs-CZ"/>
              </w:rPr>
            </w:pPr>
            <w:r w:rsidRPr="007434DA">
              <w:rPr>
                <w:rFonts w:cs="Times New Roman"/>
                <w:sz w:val="20"/>
                <w:szCs w:val="20"/>
                <w:lang w:val="cs-CZ"/>
              </w:rPr>
              <w:t>Hlavní město Praha</w:t>
            </w:r>
          </w:p>
        </w:tc>
        <w:tc>
          <w:tcPr>
            <w:tcW w:w="2161" w:type="dxa"/>
            <w:tcBorders>
              <w:top w:val="nil"/>
              <w:left w:val="nil"/>
              <w:bottom w:val="single" w:sz="4" w:space="0" w:color="auto"/>
              <w:right w:val="single" w:sz="4" w:space="0" w:color="auto"/>
            </w:tcBorders>
            <w:shd w:val="clear" w:color="auto" w:fill="auto"/>
            <w:noWrap/>
            <w:hideMark/>
          </w:tcPr>
          <w:p w14:paraId="51E7A674" w14:textId="77777777" w:rsidR="00CB2594" w:rsidRPr="007434DA" w:rsidRDefault="00CB2594" w:rsidP="004A57B3">
            <w:pPr>
              <w:ind w:right="642"/>
              <w:jc w:val="right"/>
              <w:rPr>
                <w:rFonts w:cs="Times New Roman"/>
                <w:sz w:val="20"/>
                <w:szCs w:val="20"/>
                <w:lang w:val="cs-CZ"/>
              </w:rPr>
            </w:pPr>
            <w:r w:rsidRPr="007434DA">
              <w:rPr>
                <w:rFonts w:cs="Times New Roman"/>
                <w:sz w:val="20"/>
                <w:szCs w:val="20"/>
                <w:lang w:val="cs-CZ"/>
              </w:rPr>
              <w:t>860</w:t>
            </w:r>
          </w:p>
        </w:tc>
        <w:tc>
          <w:tcPr>
            <w:tcW w:w="2977" w:type="dxa"/>
            <w:tcBorders>
              <w:top w:val="nil"/>
              <w:left w:val="nil"/>
              <w:bottom w:val="single" w:sz="4" w:space="0" w:color="auto"/>
              <w:right w:val="single" w:sz="4" w:space="0" w:color="auto"/>
            </w:tcBorders>
            <w:shd w:val="clear" w:color="auto" w:fill="auto"/>
            <w:noWrap/>
            <w:vAlign w:val="center"/>
            <w:hideMark/>
          </w:tcPr>
          <w:p w14:paraId="3EE99837" w14:textId="77777777" w:rsidR="00CB2594" w:rsidRPr="007434DA" w:rsidRDefault="00CB2594" w:rsidP="004A57B3">
            <w:pPr>
              <w:spacing w:line="360" w:lineRule="atLeast"/>
              <w:rPr>
                <w:rFonts w:cs="Times New Roman"/>
                <w:sz w:val="20"/>
                <w:szCs w:val="20"/>
                <w:lang w:val="cs-CZ"/>
              </w:rPr>
            </w:pPr>
            <w:r w:rsidRPr="007434DA">
              <w:rPr>
                <w:rFonts w:cs="Times New Roman"/>
                <w:sz w:val="20"/>
                <w:szCs w:val="20"/>
                <w:lang w:val="cs-CZ"/>
              </w:rPr>
              <w:t>Moravskoslezský kraj</w:t>
            </w:r>
          </w:p>
        </w:tc>
        <w:tc>
          <w:tcPr>
            <w:tcW w:w="1925" w:type="dxa"/>
            <w:tcBorders>
              <w:top w:val="nil"/>
              <w:left w:val="nil"/>
              <w:bottom w:val="single" w:sz="4" w:space="0" w:color="auto"/>
              <w:right w:val="single" w:sz="4" w:space="0" w:color="auto"/>
            </w:tcBorders>
            <w:shd w:val="clear" w:color="auto" w:fill="auto"/>
            <w:noWrap/>
            <w:hideMark/>
          </w:tcPr>
          <w:p w14:paraId="22815B49" w14:textId="77777777" w:rsidR="00CB2594" w:rsidRPr="007434DA" w:rsidRDefault="00CB2594" w:rsidP="004A57B3">
            <w:pPr>
              <w:ind w:right="642"/>
              <w:jc w:val="right"/>
              <w:rPr>
                <w:rFonts w:cs="Times New Roman"/>
                <w:sz w:val="20"/>
                <w:szCs w:val="20"/>
                <w:lang w:val="cs-CZ"/>
              </w:rPr>
            </w:pPr>
            <w:r w:rsidRPr="007434DA">
              <w:rPr>
                <w:rFonts w:cs="Times New Roman"/>
                <w:sz w:val="20"/>
                <w:szCs w:val="20"/>
                <w:lang w:val="cs-CZ"/>
              </w:rPr>
              <w:t>7 269</w:t>
            </w:r>
          </w:p>
        </w:tc>
      </w:tr>
      <w:tr w:rsidR="00CB2594" w:rsidRPr="007434DA" w14:paraId="6915B546" w14:textId="77777777" w:rsidTr="004A57B3">
        <w:trPr>
          <w:trHeight w:val="300"/>
        </w:trPr>
        <w:tc>
          <w:tcPr>
            <w:tcW w:w="2370" w:type="dxa"/>
            <w:tcBorders>
              <w:top w:val="nil"/>
              <w:left w:val="single" w:sz="4" w:space="0" w:color="auto"/>
              <w:bottom w:val="single" w:sz="4" w:space="0" w:color="auto"/>
              <w:right w:val="single" w:sz="4" w:space="0" w:color="auto"/>
            </w:tcBorders>
            <w:shd w:val="clear" w:color="auto" w:fill="auto"/>
            <w:noWrap/>
            <w:vAlign w:val="center"/>
            <w:hideMark/>
          </w:tcPr>
          <w:p w14:paraId="750D8C06" w14:textId="77777777" w:rsidR="00CB2594" w:rsidRPr="007434DA" w:rsidRDefault="00CB2594" w:rsidP="004A57B3">
            <w:pPr>
              <w:spacing w:line="360" w:lineRule="atLeast"/>
              <w:rPr>
                <w:rFonts w:cs="Times New Roman"/>
                <w:sz w:val="20"/>
                <w:szCs w:val="20"/>
                <w:lang w:val="cs-CZ"/>
              </w:rPr>
            </w:pPr>
            <w:r w:rsidRPr="007434DA">
              <w:rPr>
                <w:rFonts w:cs="Times New Roman"/>
                <w:sz w:val="20"/>
                <w:szCs w:val="20"/>
                <w:lang w:val="cs-CZ"/>
              </w:rPr>
              <w:t>Jihočeský kraj</w:t>
            </w:r>
          </w:p>
        </w:tc>
        <w:tc>
          <w:tcPr>
            <w:tcW w:w="2161" w:type="dxa"/>
            <w:tcBorders>
              <w:top w:val="nil"/>
              <w:left w:val="nil"/>
              <w:bottom w:val="single" w:sz="4" w:space="0" w:color="auto"/>
              <w:right w:val="single" w:sz="4" w:space="0" w:color="auto"/>
            </w:tcBorders>
            <w:shd w:val="clear" w:color="auto" w:fill="auto"/>
            <w:noWrap/>
            <w:hideMark/>
          </w:tcPr>
          <w:p w14:paraId="23C1C9BA" w14:textId="77777777" w:rsidR="00CB2594" w:rsidRPr="007434DA" w:rsidRDefault="00CB2594" w:rsidP="004A57B3">
            <w:pPr>
              <w:ind w:right="642"/>
              <w:jc w:val="right"/>
              <w:rPr>
                <w:rFonts w:cs="Times New Roman"/>
                <w:sz w:val="20"/>
                <w:szCs w:val="20"/>
                <w:lang w:val="cs-CZ"/>
              </w:rPr>
            </w:pPr>
            <w:r w:rsidRPr="007434DA">
              <w:rPr>
                <w:rFonts w:cs="Times New Roman"/>
                <w:sz w:val="20"/>
                <w:szCs w:val="20"/>
                <w:lang w:val="cs-CZ"/>
              </w:rPr>
              <w:t>14 730</w:t>
            </w:r>
          </w:p>
        </w:tc>
        <w:tc>
          <w:tcPr>
            <w:tcW w:w="2977" w:type="dxa"/>
            <w:tcBorders>
              <w:top w:val="nil"/>
              <w:left w:val="nil"/>
              <w:bottom w:val="single" w:sz="4" w:space="0" w:color="auto"/>
              <w:right w:val="single" w:sz="4" w:space="0" w:color="auto"/>
            </w:tcBorders>
            <w:shd w:val="clear" w:color="auto" w:fill="auto"/>
            <w:noWrap/>
            <w:vAlign w:val="center"/>
            <w:hideMark/>
          </w:tcPr>
          <w:p w14:paraId="5C64AEAC" w14:textId="77777777" w:rsidR="00CB2594" w:rsidRPr="007434DA" w:rsidRDefault="00CB2594" w:rsidP="004A57B3">
            <w:pPr>
              <w:spacing w:line="360" w:lineRule="atLeast"/>
              <w:rPr>
                <w:rFonts w:cs="Times New Roman"/>
                <w:sz w:val="20"/>
                <w:szCs w:val="20"/>
                <w:lang w:val="cs-CZ"/>
              </w:rPr>
            </w:pPr>
            <w:r w:rsidRPr="007434DA">
              <w:rPr>
                <w:rFonts w:cs="Times New Roman"/>
                <w:sz w:val="20"/>
                <w:szCs w:val="20"/>
                <w:lang w:val="cs-CZ"/>
              </w:rPr>
              <w:t>Olomoucký kraj</w:t>
            </w:r>
          </w:p>
        </w:tc>
        <w:tc>
          <w:tcPr>
            <w:tcW w:w="1925" w:type="dxa"/>
            <w:tcBorders>
              <w:top w:val="nil"/>
              <w:left w:val="nil"/>
              <w:bottom w:val="single" w:sz="4" w:space="0" w:color="auto"/>
              <w:right w:val="single" w:sz="4" w:space="0" w:color="auto"/>
            </w:tcBorders>
            <w:shd w:val="clear" w:color="auto" w:fill="auto"/>
            <w:noWrap/>
            <w:hideMark/>
          </w:tcPr>
          <w:p w14:paraId="1D8DEEFA" w14:textId="77777777" w:rsidR="00CB2594" w:rsidRPr="007434DA" w:rsidRDefault="00CB2594" w:rsidP="004A57B3">
            <w:pPr>
              <w:ind w:right="642"/>
              <w:jc w:val="right"/>
              <w:rPr>
                <w:rFonts w:cs="Times New Roman"/>
                <w:sz w:val="20"/>
                <w:szCs w:val="20"/>
                <w:lang w:val="cs-CZ"/>
              </w:rPr>
            </w:pPr>
            <w:r w:rsidRPr="007434DA">
              <w:rPr>
                <w:rFonts w:cs="Times New Roman"/>
                <w:sz w:val="20"/>
                <w:szCs w:val="20"/>
                <w:lang w:val="cs-CZ"/>
              </w:rPr>
              <w:t>9 198</w:t>
            </w:r>
          </w:p>
        </w:tc>
      </w:tr>
      <w:tr w:rsidR="00CB2594" w:rsidRPr="007434DA" w14:paraId="79537E4F" w14:textId="77777777" w:rsidTr="004A57B3">
        <w:trPr>
          <w:trHeight w:val="300"/>
        </w:trPr>
        <w:tc>
          <w:tcPr>
            <w:tcW w:w="2370" w:type="dxa"/>
            <w:tcBorders>
              <w:top w:val="nil"/>
              <w:left w:val="single" w:sz="4" w:space="0" w:color="auto"/>
              <w:bottom w:val="single" w:sz="4" w:space="0" w:color="auto"/>
              <w:right w:val="single" w:sz="4" w:space="0" w:color="auto"/>
            </w:tcBorders>
            <w:shd w:val="clear" w:color="auto" w:fill="auto"/>
            <w:noWrap/>
            <w:vAlign w:val="center"/>
            <w:hideMark/>
          </w:tcPr>
          <w:p w14:paraId="00D83113" w14:textId="77777777" w:rsidR="00CB2594" w:rsidRPr="007434DA" w:rsidRDefault="00CB2594" w:rsidP="004A57B3">
            <w:pPr>
              <w:spacing w:line="360" w:lineRule="atLeast"/>
              <w:rPr>
                <w:rFonts w:cs="Times New Roman"/>
                <w:sz w:val="20"/>
                <w:szCs w:val="20"/>
                <w:lang w:val="cs-CZ"/>
              </w:rPr>
            </w:pPr>
            <w:r w:rsidRPr="007434DA">
              <w:rPr>
                <w:rFonts w:cs="Times New Roman"/>
                <w:sz w:val="20"/>
                <w:szCs w:val="20"/>
                <w:lang w:val="cs-CZ"/>
              </w:rPr>
              <w:t>Jihomoravský kraj</w:t>
            </w:r>
          </w:p>
        </w:tc>
        <w:tc>
          <w:tcPr>
            <w:tcW w:w="2161" w:type="dxa"/>
            <w:tcBorders>
              <w:top w:val="nil"/>
              <w:left w:val="nil"/>
              <w:bottom w:val="single" w:sz="4" w:space="0" w:color="auto"/>
              <w:right w:val="single" w:sz="4" w:space="0" w:color="auto"/>
            </w:tcBorders>
            <w:shd w:val="clear" w:color="auto" w:fill="auto"/>
            <w:noWrap/>
            <w:hideMark/>
          </w:tcPr>
          <w:p w14:paraId="00DF55F0" w14:textId="77777777" w:rsidR="00CB2594" w:rsidRPr="007434DA" w:rsidRDefault="00CB2594" w:rsidP="004A57B3">
            <w:pPr>
              <w:ind w:right="642"/>
              <w:jc w:val="right"/>
              <w:rPr>
                <w:rFonts w:cs="Times New Roman"/>
                <w:sz w:val="20"/>
                <w:szCs w:val="20"/>
                <w:lang w:val="cs-CZ"/>
              </w:rPr>
            </w:pPr>
            <w:r w:rsidRPr="007434DA">
              <w:rPr>
                <w:rFonts w:cs="Times New Roman"/>
                <w:sz w:val="20"/>
                <w:szCs w:val="20"/>
                <w:lang w:val="cs-CZ"/>
              </w:rPr>
              <w:t>15 921</w:t>
            </w:r>
          </w:p>
        </w:tc>
        <w:tc>
          <w:tcPr>
            <w:tcW w:w="2977" w:type="dxa"/>
            <w:tcBorders>
              <w:top w:val="nil"/>
              <w:left w:val="nil"/>
              <w:bottom w:val="single" w:sz="4" w:space="0" w:color="auto"/>
              <w:right w:val="single" w:sz="4" w:space="0" w:color="auto"/>
            </w:tcBorders>
            <w:shd w:val="clear" w:color="auto" w:fill="auto"/>
            <w:noWrap/>
            <w:vAlign w:val="center"/>
            <w:hideMark/>
          </w:tcPr>
          <w:p w14:paraId="12F075DD" w14:textId="77777777" w:rsidR="00CB2594" w:rsidRPr="007434DA" w:rsidRDefault="00CB2594" w:rsidP="004A57B3">
            <w:pPr>
              <w:spacing w:line="360" w:lineRule="atLeast"/>
              <w:rPr>
                <w:rFonts w:cs="Times New Roman"/>
                <w:sz w:val="20"/>
                <w:szCs w:val="20"/>
                <w:lang w:val="cs-CZ"/>
              </w:rPr>
            </w:pPr>
            <w:r w:rsidRPr="007434DA">
              <w:rPr>
                <w:rFonts w:cs="Times New Roman"/>
                <w:sz w:val="20"/>
                <w:szCs w:val="20"/>
                <w:lang w:val="cs-CZ"/>
              </w:rPr>
              <w:t>Pardubický kraj</w:t>
            </w:r>
          </w:p>
        </w:tc>
        <w:tc>
          <w:tcPr>
            <w:tcW w:w="1925" w:type="dxa"/>
            <w:tcBorders>
              <w:top w:val="nil"/>
              <w:left w:val="nil"/>
              <w:bottom w:val="single" w:sz="4" w:space="0" w:color="auto"/>
              <w:right w:val="single" w:sz="4" w:space="0" w:color="auto"/>
            </w:tcBorders>
            <w:shd w:val="clear" w:color="auto" w:fill="auto"/>
            <w:noWrap/>
            <w:hideMark/>
          </w:tcPr>
          <w:p w14:paraId="2DE65B90" w14:textId="77777777" w:rsidR="00CB2594" w:rsidRPr="007434DA" w:rsidRDefault="00CB2594" w:rsidP="004A57B3">
            <w:pPr>
              <w:ind w:right="642"/>
              <w:jc w:val="right"/>
              <w:rPr>
                <w:rFonts w:cs="Times New Roman"/>
                <w:sz w:val="20"/>
                <w:szCs w:val="20"/>
                <w:lang w:val="cs-CZ"/>
              </w:rPr>
            </w:pPr>
            <w:r w:rsidRPr="007434DA">
              <w:rPr>
                <w:rFonts w:cs="Times New Roman"/>
                <w:sz w:val="20"/>
                <w:szCs w:val="20"/>
                <w:lang w:val="cs-CZ"/>
              </w:rPr>
              <w:t>9 610</w:t>
            </w:r>
          </w:p>
        </w:tc>
      </w:tr>
      <w:tr w:rsidR="00CB2594" w:rsidRPr="007434DA" w14:paraId="1AE8AB44" w14:textId="77777777" w:rsidTr="004A57B3">
        <w:trPr>
          <w:trHeight w:val="300"/>
        </w:trPr>
        <w:tc>
          <w:tcPr>
            <w:tcW w:w="2370" w:type="dxa"/>
            <w:tcBorders>
              <w:top w:val="nil"/>
              <w:left w:val="single" w:sz="4" w:space="0" w:color="auto"/>
              <w:bottom w:val="single" w:sz="4" w:space="0" w:color="auto"/>
              <w:right w:val="single" w:sz="4" w:space="0" w:color="auto"/>
            </w:tcBorders>
            <w:shd w:val="clear" w:color="auto" w:fill="auto"/>
            <w:noWrap/>
            <w:vAlign w:val="center"/>
            <w:hideMark/>
          </w:tcPr>
          <w:p w14:paraId="1321A0D7" w14:textId="77777777" w:rsidR="00CB2594" w:rsidRPr="007434DA" w:rsidRDefault="00CB2594" w:rsidP="004A57B3">
            <w:pPr>
              <w:spacing w:line="360" w:lineRule="atLeast"/>
              <w:rPr>
                <w:rFonts w:cs="Times New Roman"/>
                <w:sz w:val="20"/>
                <w:szCs w:val="20"/>
                <w:lang w:val="cs-CZ"/>
              </w:rPr>
            </w:pPr>
            <w:r w:rsidRPr="007434DA">
              <w:rPr>
                <w:rFonts w:cs="Times New Roman"/>
                <w:sz w:val="20"/>
                <w:szCs w:val="20"/>
                <w:lang w:val="cs-CZ"/>
              </w:rPr>
              <w:t>Karlovarský kraj</w:t>
            </w:r>
          </w:p>
        </w:tc>
        <w:tc>
          <w:tcPr>
            <w:tcW w:w="2161" w:type="dxa"/>
            <w:tcBorders>
              <w:top w:val="nil"/>
              <w:left w:val="nil"/>
              <w:bottom w:val="single" w:sz="4" w:space="0" w:color="auto"/>
              <w:right w:val="single" w:sz="4" w:space="0" w:color="auto"/>
            </w:tcBorders>
            <w:shd w:val="clear" w:color="auto" w:fill="auto"/>
            <w:noWrap/>
            <w:hideMark/>
          </w:tcPr>
          <w:p w14:paraId="0C2404D7" w14:textId="77777777" w:rsidR="00CB2594" w:rsidRPr="007434DA" w:rsidRDefault="00CB2594" w:rsidP="004A57B3">
            <w:pPr>
              <w:ind w:right="642"/>
              <w:jc w:val="right"/>
              <w:rPr>
                <w:rFonts w:cs="Times New Roman"/>
                <w:sz w:val="20"/>
                <w:szCs w:val="20"/>
                <w:lang w:val="cs-CZ"/>
              </w:rPr>
            </w:pPr>
            <w:r w:rsidRPr="007434DA">
              <w:rPr>
                <w:rFonts w:cs="Times New Roman"/>
                <w:sz w:val="20"/>
                <w:szCs w:val="20"/>
                <w:lang w:val="cs-CZ"/>
              </w:rPr>
              <w:t>2 460</w:t>
            </w:r>
          </w:p>
        </w:tc>
        <w:tc>
          <w:tcPr>
            <w:tcW w:w="2977" w:type="dxa"/>
            <w:tcBorders>
              <w:top w:val="nil"/>
              <w:left w:val="nil"/>
              <w:bottom w:val="single" w:sz="4" w:space="0" w:color="auto"/>
              <w:right w:val="single" w:sz="4" w:space="0" w:color="auto"/>
            </w:tcBorders>
            <w:shd w:val="clear" w:color="auto" w:fill="auto"/>
            <w:noWrap/>
            <w:vAlign w:val="center"/>
            <w:hideMark/>
          </w:tcPr>
          <w:p w14:paraId="5CDA7070" w14:textId="77777777" w:rsidR="00CB2594" w:rsidRPr="007434DA" w:rsidRDefault="00CB2594" w:rsidP="004A57B3">
            <w:pPr>
              <w:spacing w:line="360" w:lineRule="atLeast"/>
              <w:rPr>
                <w:rFonts w:cs="Times New Roman"/>
                <w:sz w:val="20"/>
                <w:szCs w:val="20"/>
                <w:lang w:val="cs-CZ"/>
              </w:rPr>
            </w:pPr>
            <w:r w:rsidRPr="007434DA">
              <w:rPr>
                <w:rFonts w:cs="Times New Roman"/>
                <w:sz w:val="20"/>
                <w:szCs w:val="20"/>
                <w:lang w:val="cs-CZ"/>
              </w:rPr>
              <w:t>Plzeňský kraj</w:t>
            </w:r>
          </w:p>
        </w:tc>
        <w:tc>
          <w:tcPr>
            <w:tcW w:w="1925" w:type="dxa"/>
            <w:tcBorders>
              <w:top w:val="nil"/>
              <w:left w:val="nil"/>
              <w:bottom w:val="single" w:sz="4" w:space="0" w:color="auto"/>
              <w:right w:val="single" w:sz="4" w:space="0" w:color="auto"/>
            </w:tcBorders>
            <w:shd w:val="clear" w:color="auto" w:fill="auto"/>
            <w:noWrap/>
            <w:hideMark/>
          </w:tcPr>
          <w:p w14:paraId="43186BB4" w14:textId="77777777" w:rsidR="00CB2594" w:rsidRPr="007434DA" w:rsidRDefault="00CB2594" w:rsidP="004A57B3">
            <w:pPr>
              <w:ind w:right="642"/>
              <w:jc w:val="right"/>
              <w:rPr>
                <w:rFonts w:cs="Times New Roman"/>
                <w:sz w:val="20"/>
                <w:szCs w:val="20"/>
                <w:lang w:val="cs-CZ"/>
              </w:rPr>
            </w:pPr>
            <w:r w:rsidRPr="007434DA">
              <w:rPr>
                <w:rFonts w:cs="Times New Roman"/>
                <w:sz w:val="20"/>
                <w:szCs w:val="20"/>
                <w:lang w:val="cs-CZ"/>
              </w:rPr>
              <w:t>16 852</w:t>
            </w:r>
          </w:p>
        </w:tc>
      </w:tr>
      <w:tr w:rsidR="00CB2594" w:rsidRPr="007434DA" w14:paraId="7B9FFB53" w14:textId="77777777" w:rsidTr="004A57B3">
        <w:trPr>
          <w:trHeight w:val="300"/>
        </w:trPr>
        <w:tc>
          <w:tcPr>
            <w:tcW w:w="2370" w:type="dxa"/>
            <w:tcBorders>
              <w:top w:val="nil"/>
              <w:left w:val="single" w:sz="4" w:space="0" w:color="auto"/>
              <w:bottom w:val="single" w:sz="4" w:space="0" w:color="auto"/>
              <w:right w:val="single" w:sz="4" w:space="0" w:color="auto"/>
            </w:tcBorders>
            <w:shd w:val="clear" w:color="auto" w:fill="auto"/>
            <w:noWrap/>
            <w:vAlign w:val="center"/>
            <w:hideMark/>
          </w:tcPr>
          <w:p w14:paraId="6AFEFF21" w14:textId="77777777" w:rsidR="00CB2594" w:rsidRPr="007434DA" w:rsidRDefault="00CB2594" w:rsidP="004A57B3">
            <w:pPr>
              <w:spacing w:line="360" w:lineRule="atLeast"/>
              <w:rPr>
                <w:rFonts w:cs="Times New Roman"/>
                <w:sz w:val="20"/>
                <w:szCs w:val="20"/>
                <w:lang w:val="cs-CZ"/>
              </w:rPr>
            </w:pPr>
            <w:r w:rsidRPr="007434DA">
              <w:rPr>
                <w:rFonts w:cs="Times New Roman"/>
                <w:sz w:val="20"/>
                <w:szCs w:val="20"/>
                <w:lang w:val="cs-CZ"/>
              </w:rPr>
              <w:t>Kraj Vysočina</w:t>
            </w:r>
          </w:p>
        </w:tc>
        <w:tc>
          <w:tcPr>
            <w:tcW w:w="2161" w:type="dxa"/>
            <w:tcBorders>
              <w:top w:val="nil"/>
              <w:left w:val="nil"/>
              <w:bottom w:val="single" w:sz="4" w:space="0" w:color="auto"/>
              <w:right w:val="single" w:sz="4" w:space="0" w:color="auto"/>
            </w:tcBorders>
            <w:shd w:val="clear" w:color="auto" w:fill="auto"/>
            <w:noWrap/>
            <w:hideMark/>
          </w:tcPr>
          <w:p w14:paraId="538E945E" w14:textId="77777777" w:rsidR="00CB2594" w:rsidRPr="007434DA" w:rsidRDefault="00CB2594" w:rsidP="004A57B3">
            <w:pPr>
              <w:ind w:right="642"/>
              <w:jc w:val="right"/>
              <w:rPr>
                <w:rFonts w:cs="Times New Roman"/>
                <w:sz w:val="20"/>
                <w:szCs w:val="20"/>
                <w:lang w:val="cs-CZ"/>
              </w:rPr>
            </w:pPr>
            <w:r w:rsidRPr="007434DA">
              <w:rPr>
                <w:rFonts w:cs="Times New Roman"/>
                <w:sz w:val="20"/>
                <w:szCs w:val="20"/>
                <w:lang w:val="cs-CZ"/>
              </w:rPr>
              <w:t>12 543</w:t>
            </w:r>
          </w:p>
        </w:tc>
        <w:tc>
          <w:tcPr>
            <w:tcW w:w="2977" w:type="dxa"/>
            <w:tcBorders>
              <w:top w:val="nil"/>
              <w:left w:val="nil"/>
              <w:bottom w:val="single" w:sz="4" w:space="0" w:color="auto"/>
              <w:right w:val="single" w:sz="4" w:space="0" w:color="auto"/>
            </w:tcBorders>
            <w:shd w:val="clear" w:color="auto" w:fill="auto"/>
            <w:noWrap/>
            <w:vAlign w:val="center"/>
            <w:hideMark/>
          </w:tcPr>
          <w:p w14:paraId="1FDEABE6" w14:textId="77777777" w:rsidR="00CB2594" w:rsidRPr="007434DA" w:rsidRDefault="00CB2594" w:rsidP="004A57B3">
            <w:pPr>
              <w:spacing w:line="360" w:lineRule="atLeast"/>
              <w:rPr>
                <w:rFonts w:cs="Times New Roman"/>
                <w:sz w:val="20"/>
                <w:szCs w:val="20"/>
                <w:lang w:val="cs-CZ"/>
              </w:rPr>
            </w:pPr>
            <w:r w:rsidRPr="007434DA">
              <w:rPr>
                <w:rFonts w:cs="Times New Roman"/>
                <w:sz w:val="20"/>
                <w:szCs w:val="20"/>
                <w:lang w:val="cs-CZ"/>
              </w:rPr>
              <w:t>Středočeský kraj</w:t>
            </w:r>
          </w:p>
        </w:tc>
        <w:tc>
          <w:tcPr>
            <w:tcW w:w="1925" w:type="dxa"/>
            <w:tcBorders>
              <w:top w:val="nil"/>
              <w:left w:val="nil"/>
              <w:bottom w:val="single" w:sz="4" w:space="0" w:color="auto"/>
              <w:right w:val="single" w:sz="4" w:space="0" w:color="auto"/>
            </w:tcBorders>
            <w:shd w:val="clear" w:color="auto" w:fill="auto"/>
            <w:noWrap/>
            <w:hideMark/>
          </w:tcPr>
          <w:p w14:paraId="3C75508D" w14:textId="77777777" w:rsidR="00CB2594" w:rsidRPr="007434DA" w:rsidRDefault="00CB2594" w:rsidP="004A57B3">
            <w:pPr>
              <w:ind w:right="642"/>
              <w:jc w:val="right"/>
              <w:rPr>
                <w:rFonts w:cs="Times New Roman"/>
                <w:sz w:val="20"/>
                <w:szCs w:val="20"/>
                <w:lang w:val="cs-CZ"/>
              </w:rPr>
            </w:pPr>
            <w:r w:rsidRPr="007434DA">
              <w:rPr>
                <w:rFonts w:cs="Times New Roman"/>
                <w:sz w:val="20"/>
                <w:szCs w:val="20"/>
                <w:lang w:val="cs-CZ"/>
              </w:rPr>
              <w:t>48 033</w:t>
            </w:r>
          </w:p>
        </w:tc>
      </w:tr>
      <w:tr w:rsidR="00CB2594" w:rsidRPr="007434DA" w14:paraId="09A3108B" w14:textId="77777777" w:rsidTr="004A57B3">
        <w:trPr>
          <w:trHeight w:val="300"/>
        </w:trPr>
        <w:tc>
          <w:tcPr>
            <w:tcW w:w="2370" w:type="dxa"/>
            <w:tcBorders>
              <w:top w:val="nil"/>
              <w:left w:val="single" w:sz="4" w:space="0" w:color="auto"/>
              <w:bottom w:val="single" w:sz="4" w:space="0" w:color="auto"/>
              <w:right w:val="single" w:sz="4" w:space="0" w:color="auto"/>
            </w:tcBorders>
            <w:shd w:val="clear" w:color="auto" w:fill="auto"/>
            <w:noWrap/>
            <w:vAlign w:val="center"/>
            <w:hideMark/>
          </w:tcPr>
          <w:p w14:paraId="437991A5" w14:textId="77777777" w:rsidR="00CB2594" w:rsidRPr="007434DA" w:rsidRDefault="00CB2594" w:rsidP="004A57B3">
            <w:pPr>
              <w:spacing w:line="360" w:lineRule="atLeast"/>
              <w:rPr>
                <w:rFonts w:cs="Times New Roman"/>
                <w:sz w:val="20"/>
                <w:szCs w:val="20"/>
                <w:lang w:val="cs-CZ"/>
              </w:rPr>
            </w:pPr>
            <w:r w:rsidRPr="007434DA">
              <w:rPr>
                <w:rFonts w:cs="Times New Roman"/>
                <w:sz w:val="20"/>
                <w:szCs w:val="20"/>
                <w:lang w:val="cs-CZ"/>
              </w:rPr>
              <w:t>Královéhradecký kraj</w:t>
            </w:r>
          </w:p>
        </w:tc>
        <w:tc>
          <w:tcPr>
            <w:tcW w:w="2161" w:type="dxa"/>
            <w:tcBorders>
              <w:top w:val="nil"/>
              <w:left w:val="nil"/>
              <w:bottom w:val="single" w:sz="4" w:space="0" w:color="auto"/>
              <w:right w:val="single" w:sz="4" w:space="0" w:color="auto"/>
            </w:tcBorders>
            <w:shd w:val="clear" w:color="auto" w:fill="auto"/>
            <w:noWrap/>
            <w:hideMark/>
          </w:tcPr>
          <w:p w14:paraId="29D52F66" w14:textId="77777777" w:rsidR="00CB2594" w:rsidRPr="007434DA" w:rsidRDefault="00CB2594" w:rsidP="004A57B3">
            <w:pPr>
              <w:ind w:right="642"/>
              <w:jc w:val="right"/>
              <w:rPr>
                <w:rFonts w:cs="Times New Roman"/>
                <w:sz w:val="20"/>
                <w:szCs w:val="20"/>
                <w:lang w:val="cs-CZ"/>
              </w:rPr>
            </w:pPr>
            <w:r w:rsidRPr="007434DA">
              <w:rPr>
                <w:rFonts w:cs="Times New Roman"/>
                <w:sz w:val="20"/>
                <w:szCs w:val="20"/>
                <w:lang w:val="cs-CZ"/>
              </w:rPr>
              <w:t>9 514</w:t>
            </w:r>
          </w:p>
        </w:tc>
        <w:tc>
          <w:tcPr>
            <w:tcW w:w="2977" w:type="dxa"/>
            <w:tcBorders>
              <w:top w:val="nil"/>
              <w:left w:val="nil"/>
              <w:bottom w:val="single" w:sz="4" w:space="0" w:color="auto"/>
              <w:right w:val="single" w:sz="4" w:space="0" w:color="auto"/>
            </w:tcBorders>
            <w:shd w:val="clear" w:color="auto" w:fill="auto"/>
            <w:noWrap/>
            <w:vAlign w:val="center"/>
            <w:hideMark/>
          </w:tcPr>
          <w:p w14:paraId="72882854" w14:textId="77777777" w:rsidR="00CB2594" w:rsidRPr="007434DA" w:rsidRDefault="00CB2594" w:rsidP="004A57B3">
            <w:pPr>
              <w:spacing w:line="360" w:lineRule="atLeast"/>
              <w:rPr>
                <w:rFonts w:cs="Times New Roman"/>
                <w:sz w:val="20"/>
                <w:szCs w:val="20"/>
                <w:lang w:val="cs-CZ"/>
              </w:rPr>
            </w:pPr>
            <w:r w:rsidRPr="007434DA">
              <w:rPr>
                <w:rFonts w:cs="Times New Roman"/>
                <w:sz w:val="20"/>
                <w:szCs w:val="20"/>
                <w:lang w:val="cs-CZ"/>
              </w:rPr>
              <w:t>Ústecký kraj</w:t>
            </w:r>
          </w:p>
        </w:tc>
        <w:tc>
          <w:tcPr>
            <w:tcW w:w="1925" w:type="dxa"/>
            <w:tcBorders>
              <w:top w:val="nil"/>
              <w:left w:val="nil"/>
              <w:bottom w:val="single" w:sz="4" w:space="0" w:color="auto"/>
              <w:right w:val="single" w:sz="4" w:space="0" w:color="auto"/>
            </w:tcBorders>
            <w:shd w:val="clear" w:color="auto" w:fill="auto"/>
            <w:noWrap/>
            <w:hideMark/>
          </w:tcPr>
          <w:p w14:paraId="6C801B45" w14:textId="77777777" w:rsidR="00CB2594" w:rsidRPr="007434DA" w:rsidRDefault="00CB2594" w:rsidP="004A57B3">
            <w:pPr>
              <w:ind w:right="642"/>
              <w:jc w:val="right"/>
              <w:rPr>
                <w:rFonts w:cs="Times New Roman"/>
                <w:sz w:val="20"/>
                <w:szCs w:val="20"/>
                <w:lang w:val="cs-CZ"/>
              </w:rPr>
            </w:pPr>
            <w:r w:rsidRPr="007434DA">
              <w:rPr>
                <w:rFonts w:cs="Times New Roman"/>
                <w:sz w:val="20"/>
                <w:szCs w:val="20"/>
                <w:lang w:val="cs-CZ"/>
              </w:rPr>
              <w:t>15 498</w:t>
            </w:r>
          </w:p>
        </w:tc>
      </w:tr>
      <w:tr w:rsidR="00CB2594" w:rsidRPr="007434DA" w14:paraId="24301B89" w14:textId="77777777" w:rsidTr="004A57B3">
        <w:trPr>
          <w:trHeight w:val="300"/>
        </w:trPr>
        <w:tc>
          <w:tcPr>
            <w:tcW w:w="2370" w:type="dxa"/>
            <w:tcBorders>
              <w:top w:val="nil"/>
              <w:left w:val="single" w:sz="4" w:space="0" w:color="auto"/>
              <w:bottom w:val="single" w:sz="4" w:space="0" w:color="auto"/>
              <w:right w:val="single" w:sz="4" w:space="0" w:color="auto"/>
            </w:tcBorders>
            <w:shd w:val="clear" w:color="auto" w:fill="auto"/>
            <w:noWrap/>
            <w:vAlign w:val="center"/>
            <w:hideMark/>
          </w:tcPr>
          <w:p w14:paraId="4FBE5C51" w14:textId="77777777" w:rsidR="00CB2594" w:rsidRPr="007434DA" w:rsidRDefault="00CB2594" w:rsidP="004A57B3">
            <w:pPr>
              <w:spacing w:line="360" w:lineRule="atLeast"/>
              <w:rPr>
                <w:rFonts w:cs="Times New Roman"/>
                <w:sz w:val="20"/>
                <w:szCs w:val="20"/>
                <w:lang w:val="cs-CZ"/>
              </w:rPr>
            </w:pPr>
            <w:r w:rsidRPr="007434DA">
              <w:rPr>
                <w:rFonts w:cs="Times New Roman"/>
                <w:sz w:val="20"/>
                <w:szCs w:val="20"/>
                <w:lang w:val="cs-CZ"/>
              </w:rPr>
              <w:t>Liberecký kraj</w:t>
            </w:r>
          </w:p>
        </w:tc>
        <w:tc>
          <w:tcPr>
            <w:tcW w:w="2161" w:type="dxa"/>
            <w:tcBorders>
              <w:top w:val="nil"/>
              <w:left w:val="nil"/>
              <w:bottom w:val="single" w:sz="4" w:space="0" w:color="auto"/>
              <w:right w:val="single" w:sz="4" w:space="0" w:color="auto"/>
            </w:tcBorders>
            <w:shd w:val="clear" w:color="auto" w:fill="auto"/>
            <w:noWrap/>
            <w:hideMark/>
          </w:tcPr>
          <w:p w14:paraId="54E875A1" w14:textId="77777777" w:rsidR="00CB2594" w:rsidRPr="007434DA" w:rsidRDefault="00CB2594" w:rsidP="004A57B3">
            <w:pPr>
              <w:ind w:right="642"/>
              <w:jc w:val="right"/>
              <w:rPr>
                <w:rFonts w:cs="Times New Roman"/>
                <w:sz w:val="20"/>
                <w:szCs w:val="20"/>
                <w:lang w:val="cs-CZ"/>
              </w:rPr>
            </w:pPr>
            <w:r w:rsidRPr="007434DA">
              <w:rPr>
                <w:rFonts w:cs="Times New Roman"/>
                <w:sz w:val="20"/>
                <w:szCs w:val="20"/>
                <w:lang w:val="cs-CZ"/>
              </w:rPr>
              <w:t>2 792</w:t>
            </w:r>
          </w:p>
        </w:tc>
        <w:tc>
          <w:tcPr>
            <w:tcW w:w="2977" w:type="dxa"/>
            <w:tcBorders>
              <w:top w:val="nil"/>
              <w:left w:val="nil"/>
              <w:bottom w:val="single" w:sz="4" w:space="0" w:color="auto"/>
              <w:right w:val="single" w:sz="4" w:space="0" w:color="auto"/>
            </w:tcBorders>
            <w:shd w:val="clear" w:color="auto" w:fill="auto"/>
            <w:noWrap/>
            <w:vAlign w:val="center"/>
            <w:hideMark/>
          </w:tcPr>
          <w:p w14:paraId="74F57209" w14:textId="77777777" w:rsidR="00CB2594" w:rsidRPr="007434DA" w:rsidRDefault="00CB2594" w:rsidP="004A57B3">
            <w:pPr>
              <w:spacing w:line="360" w:lineRule="atLeast"/>
              <w:rPr>
                <w:rFonts w:cs="Times New Roman"/>
                <w:sz w:val="20"/>
                <w:szCs w:val="20"/>
                <w:lang w:val="cs-CZ"/>
              </w:rPr>
            </w:pPr>
            <w:r w:rsidRPr="007434DA">
              <w:rPr>
                <w:rFonts w:cs="Times New Roman"/>
                <w:sz w:val="20"/>
                <w:szCs w:val="20"/>
                <w:lang w:val="cs-CZ"/>
              </w:rPr>
              <w:t>Zlínský kraj</w:t>
            </w:r>
          </w:p>
        </w:tc>
        <w:tc>
          <w:tcPr>
            <w:tcW w:w="1925" w:type="dxa"/>
            <w:tcBorders>
              <w:top w:val="nil"/>
              <w:left w:val="nil"/>
              <w:bottom w:val="single" w:sz="4" w:space="0" w:color="auto"/>
              <w:right w:val="single" w:sz="4" w:space="0" w:color="auto"/>
            </w:tcBorders>
            <w:shd w:val="clear" w:color="auto" w:fill="auto"/>
            <w:noWrap/>
            <w:hideMark/>
          </w:tcPr>
          <w:p w14:paraId="0724A73A" w14:textId="77777777" w:rsidR="00CB2594" w:rsidRPr="007434DA" w:rsidRDefault="00CB2594" w:rsidP="004A57B3">
            <w:pPr>
              <w:ind w:right="642"/>
              <w:jc w:val="right"/>
              <w:rPr>
                <w:rFonts w:cs="Times New Roman"/>
                <w:sz w:val="20"/>
                <w:szCs w:val="20"/>
                <w:lang w:val="cs-CZ"/>
              </w:rPr>
            </w:pPr>
            <w:r w:rsidRPr="007434DA">
              <w:rPr>
                <w:rFonts w:cs="Times New Roman"/>
                <w:sz w:val="20"/>
                <w:szCs w:val="20"/>
                <w:lang w:val="cs-CZ"/>
              </w:rPr>
              <w:t>6 647</w:t>
            </w:r>
          </w:p>
        </w:tc>
      </w:tr>
      <w:tr w:rsidR="00CB2594" w:rsidRPr="007434DA" w14:paraId="075909C8" w14:textId="77777777" w:rsidTr="004A57B3">
        <w:trPr>
          <w:trHeight w:val="300"/>
        </w:trPr>
        <w:tc>
          <w:tcPr>
            <w:tcW w:w="2370" w:type="dxa"/>
            <w:tcBorders>
              <w:top w:val="nil"/>
              <w:left w:val="single" w:sz="4" w:space="0" w:color="auto"/>
              <w:bottom w:val="single" w:sz="4" w:space="0" w:color="auto"/>
              <w:right w:val="single" w:sz="4" w:space="0" w:color="auto"/>
            </w:tcBorders>
            <w:shd w:val="clear" w:color="auto" w:fill="E2EFD9" w:themeFill="accent6" w:themeFillTint="33"/>
            <w:noWrap/>
            <w:vAlign w:val="center"/>
          </w:tcPr>
          <w:p w14:paraId="649D2AD6" w14:textId="77777777" w:rsidR="00CB2594" w:rsidRPr="007434DA" w:rsidRDefault="00CB2594" w:rsidP="004A57B3">
            <w:pPr>
              <w:rPr>
                <w:rFonts w:eastAsia="Times New Roman" w:cs="Times New Roman"/>
                <w:b/>
                <w:bCs/>
                <w:sz w:val="20"/>
                <w:szCs w:val="20"/>
                <w:lang w:val="cs-CZ"/>
              </w:rPr>
            </w:pPr>
            <w:r w:rsidRPr="007434DA">
              <w:rPr>
                <w:rFonts w:eastAsia="Times New Roman" w:cs="Times New Roman"/>
                <w:b/>
                <w:bCs/>
                <w:sz w:val="20"/>
                <w:szCs w:val="20"/>
                <w:lang w:val="cs-CZ"/>
              </w:rPr>
              <w:t>celkem</w:t>
            </w:r>
          </w:p>
        </w:tc>
        <w:tc>
          <w:tcPr>
            <w:tcW w:w="7063" w:type="dxa"/>
            <w:gridSpan w:val="3"/>
            <w:tcBorders>
              <w:top w:val="nil"/>
              <w:left w:val="nil"/>
              <w:bottom w:val="single" w:sz="4" w:space="0" w:color="auto"/>
              <w:right w:val="single" w:sz="4" w:space="0" w:color="auto"/>
            </w:tcBorders>
            <w:shd w:val="clear" w:color="auto" w:fill="E2EFD9" w:themeFill="accent6" w:themeFillTint="33"/>
            <w:noWrap/>
            <w:vAlign w:val="center"/>
          </w:tcPr>
          <w:p w14:paraId="7C814C4C" w14:textId="77777777" w:rsidR="00CB2594" w:rsidRPr="007434DA" w:rsidRDefault="00CB2594" w:rsidP="004A57B3">
            <w:pPr>
              <w:spacing w:line="360" w:lineRule="atLeast"/>
              <w:jc w:val="center"/>
              <w:rPr>
                <w:rFonts w:cs="Times New Roman"/>
                <w:b/>
                <w:sz w:val="20"/>
                <w:szCs w:val="20"/>
                <w:lang w:val="cs-CZ"/>
              </w:rPr>
            </w:pPr>
            <w:r w:rsidRPr="007434DA">
              <w:rPr>
                <w:rFonts w:cs="Times New Roman"/>
                <w:b/>
                <w:bCs/>
                <w:sz w:val="20"/>
                <w:szCs w:val="20"/>
                <w:lang w:val="cs-CZ"/>
              </w:rPr>
              <w:t>171 927</w:t>
            </w:r>
          </w:p>
        </w:tc>
      </w:tr>
    </w:tbl>
    <w:p w14:paraId="7DD8EF08" w14:textId="77777777" w:rsidR="00CB2594" w:rsidRPr="007434DA" w:rsidRDefault="00CB2594" w:rsidP="00CB2594">
      <w:pPr>
        <w:rPr>
          <w:rFonts w:cstheme="minorHAnsi"/>
          <w:i/>
          <w:sz w:val="18"/>
          <w:szCs w:val="18"/>
          <w:lang w:val="cs-CZ"/>
        </w:rPr>
      </w:pPr>
      <w:r w:rsidRPr="007434DA">
        <w:rPr>
          <w:rFonts w:cstheme="minorHAnsi"/>
          <w:i/>
          <w:sz w:val="18"/>
          <w:szCs w:val="18"/>
          <w:lang w:val="cs-CZ"/>
        </w:rPr>
        <w:t>Zdroj: LPIS 2015-2018, ČÚZK 2018, vlastní výpočty ÚZEI</w:t>
      </w:r>
    </w:p>
    <w:p w14:paraId="0656FAA6" w14:textId="77777777" w:rsidR="00CB2594" w:rsidRPr="007434DA" w:rsidRDefault="00CB2594" w:rsidP="00CB2594">
      <w:pPr>
        <w:spacing w:before="120" w:after="120" w:line="360" w:lineRule="atLeast"/>
        <w:ind w:firstLine="567"/>
        <w:rPr>
          <w:rFonts w:cs="Times New Roman"/>
          <w:sz w:val="20"/>
          <w:szCs w:val="20"/>
          <w:lang w:val="cs-CZ"/>
        </w:rPr>
      </w:pPr>
    </w:p>
    <w:p w14:paraId="51DA65C8" w14:textId="77777777" w:rsidR="00CB2594" w:rsidRPr="007434DA" w:rsidRDefault="00CB2594" w:rsidP="006848E5">
      <w:pPr>
        <w:pStyle w:val="UZEINormaln"/>
        <w:rPr>
          <w:rFonts w:cs="Times New Roman"/>
        </w:rPr>
      </w:pPr>
      <w:r w:rsidRPr="007434DA">
        <w:rPr>
          <w:rFonts w:cs="Times New Roman"/>
        </w:rPr>
        <w:t xml:space="preserve">Mapa podrobněji zobrazuje přehled lokalit, na kterých se řepka vyskytla alespoň dvakrát ve sledovaném období. </w:t>
      </w:r>
    </w:p>
    <w:p w14:paraId="427F7B54" w14:textId="77777777" w:rsidR="00CB2594" w:rsidRPr="007434DA" w:rsidRDefault="00CB2594" w:rsidP="00CB2594">
      <w:pPr>
        <w:spacing w:line="360" w:lineRule="atLeast"/>
        <w:rPr>
          <w:rFonts w:cs="Times New Roman"/>
          <w:b/>
          <w:sz w:val="20"/>
          <w:szCs w:val="20"/>
          <w:lang w:val="cs-CZ"/>
        </w:rPr>
      </w:pPr>
      <w:r w:rsidRPr="007434DA">
        <w:rPr>
          <w:rFonts w:cs="Times New Roman"/>
          <w:b/>
          <w:sz w:val="20"/>
          <w:szCs w:val="20"/>
          <w:lang w:val="cs-CZ"/>
        </w:rPr>
        <w:t>Obr. A 13 Přehled osetých ploch řepkou alespoň dvakrát v letech 2015 2018</w:t>
      </w:r>
    </w:p>
    <w:p w14:paraId="2FAB1EE8" w14:textId="77777777" w:rsidR="00CB2594" w:rsidRPr="007434DA" w:rsidRDefault="00CB2594" w:rsidP="00CB2594">
      <w:pPr>
        <w:rPr>
          <w:rFonts w:cs="Times New Roman"/>
          <w:lang w:val="cs-CZ"/>
        </w:rPr>
      </w:pPr>
      <w:r w:rsidRPr="007434DA">
        <w:rPr>
          <w:rFonts w:cs="Times New Roman"/>
          <w:noProof/>
          <w:lang w:val="cs-CZ" w:eastAsia="cs-CZ"/>
        </w:rPr>
        <w:drawing>
          <wp:inline distT="0" distB="0" distL="0" distR="0" wp14:anchorId="6EB50724" wp14:editId="31DFD60F">
            <wp:extent cx="5714364" cy="4001985"/>
            <wp:effectExtent l="0" t="0" r="635" b="0"/>
            <wp:docPr id="244362982" name="Obrázek 4104" descr="Obsah obrázku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362982" name="Obrázek 4104" descr="Obsah obrázku mapa&#10;&#10;Popis byl vytvořen automaticky"/>
                    <pic:cNvPicPr/>
                  </pic:nvPicPr>
                  <pic:blipFill>
                    <a:blip r:embed="rId57">
                      <a:extLst>
                        <a:ext uri="{28A0092B-C50C-407E-A947-70E740481C1C}">
                          <a14:useLocalDpi xmlns:a14="http://schemas.microsoft.com/office/drawing/2010/main" val="0"/>
                        </a:ext>
                      </a:extLst>
                    </a:blip>
                    <a:stretch>
                      <a:fillRect/>
                    </a:stretch>
                  </pic:blipFill>
                  <pic:spPr>
                    <a:xfrm>
                      <a:off x="0" y="0"/>
                      <a:ext cx="5714364" cy="4001985"/>
                    </a:xfrm>
                    <a:prstGeom prst="rect">
                      <a:avLst/>
                    </a:prstGeom>
                  </pic:spPr>
                </pic:pic>
              </a:graphicData>
            </a:graphic>
          </wp:inline>
        </w:drawing>
      </w:r>
    </w:p>
    <w:p w14:paraId="52CD7881" w14:textId="77777777" w:rsidR="00CB2594" w:rsidRPr="007434DA" w:rsidRDefault="00CB2594" w:rsidP="006848E5">
      <w:pPr>
        <w:pStyle w:val="UZEINormaln"/>
        <w:rPr>
          <w:rStyle w:val="Zdraznnintenzivn"/>
          <w:b/>
          <w:bCs/>
          <w:i w:val="0"/>
          <w:iCs w:val="0"/>
          <w:color w:val="auto"/>
        </w:rPr>
      </w:pPr>
      <w:r w:rsidRPr="007434DA">
        <w:rPr>
          <w:rStyle w:val="Zdraznnintenzivn"/>
          <w:b/>
          <w:bCs/>
          <w:i w:val="0"/>
          <w:iCs w:val="0"/>
          <w:color w:val="auto"/>
        </w:rPr>
        <w:t>Výskyt řepky a kukuřice ve zranitelných oblastech dusíkem ve čtyřletém období</w:t>
      </w:r>
    </w:p>
    <w:p w14:paraId="2F94DEFB" w14:textId="77777777" w:rsidR="00CB2594" w:rsidRPr="007434DA" w:rsidRDefault="00CB2594" w:rsidP="006848E5">
      <w:pPr>
        <w:pStyle w:val="UZEINormaln"/>
      </w:pPr>
      <w:r w:rsidRPr="007434DA">
        <w:t xml:space="preserve">Na základě požadavků MZe byly vyčísleny opakované výskyty řepky (řepka ozimá, řepka jarní) a kukuřice (kukuřice na siláž, kukuřice na zrno, cukrová kukuřice) na jednom půdním bloku v průběhu čtyřletého období (20015-2018) pouze ve zranitelných oblastech dusíkem (ZOD). Zdrojem pro vymezení hranic ZOD byl export mapy z portálu LPIS platný od 1.8.2016. </w:t>
      </w:r>
    </w:p>
    <w:p w14:paraId="7D3B0F28" w14:textId="77777777" w:rsidR="00CB2594" w:rsidRPr="007434DA" w:rsidRDefault="00CB2594" w:rsidP="006848E5">
      <w:pPr>
        <w:pStyle w:val="UZEINormaln"/>
      </w:pPr>
      <w:r w:rsidRPr="007434DA">
        <w:t>Byly vybrány jen díly půdních bloků ležící v ZOD a vyhodnocena četnost výskytů vybraných plodin na každém dílu půdního bloku za čtyři roky. Výsledkem je celková bilance půdních bloků, na nichž byla plodina pěstována s rozlišením toho, kolikrát se na daném bloku během čtyř let plodina vyskytla (tabulka níže). Bylo zjištěno, že na 8 923 ha zemědělské půdy zařazené v ZOD byla pěstována kukuřice čtyřikrát za čtyřleté období, třikrát se vyskytla kukuřice na stejném místě na 40 tisících hektarů zemědělské půdy v ZOD. Naopak v případě řepky se čtyřleté opakování na jednom místě v podstatě nepotvrdilo, tři opakování řepky po sobě se vyskytly jen na necelých 1200 ha zemědělské půdy v ZOD.</w:t>
      </w:r>
    </w:p>
    <w:p w14:paraId="5DC178C6" w14:textId="77777777" w:rsidR="00CB2594" w:rsidRPr="007434DA" w:rsidRDefault="00CB2594" w:rsidP="00CB2594">
      <w:pPr>
        <w:spacing w:before="240"/>
        <w:rPr>
          <w:rFonts w:eastAsia="Times New Roman" w:cs="Times New Roman"/>
          <w:b/>
          <w:bCs/>
          <w:sz w:val="20"/>
          <w:szCs w:val="20"/>
          <w:lang w:val="cs-CZ"/>
        </w:rPr>
      </w:pPr>
      <w:r w:rsidRPr="007434DA">
        <w:rPr>
          <w:rFonts w:eastAsia="Times New Roman" w:cs="Times New Roman"/>
          <w:b/>
          <w:bCs/>
          <w:sz w:val="20"/>
          <w:szCs w:val="20"/>
          <w:lang w:val="cs-CZ"/>
        </w:rPr>
        <w:t>Tab. A 9 Plocha řepky a kukuřice ve zranitelných oblastech dusíkem podle počtu výskytů v letech 2015–2018 (ha)</w:t>
      </w:r>
    </w:p>
    <w:tbl>
      <w:tblPr>
        <w:tblW w:w="9072" w:type="dxa"/>
        <w:tblInd w:w="-5" w:type="dxa"/>
        <w:tblCellMar>
          <w:left w:w="70" w:type="dxa"/>
          <w:right w:w="70" w:type="dxa"/>
        </w:tblCellMar>
        <w:tblLook w:val="04A0" w:firstRow="1" w:lastRow="0" w:firstColumn="1" w:lastColumn="0" w:noHBand="0" w:noVBand="1"/>
      </w:tblPr>
      <w:tblGrid>
        <w:gridCol w:w="1843"/>
        <w:gridCol w:w="3827"/>
        <w:gridCol w:w="3402"/>
      </w:tblGrid>
      <w:tr w:rsidR="00CB2594" w:rsidRPr="007434DA" w14:paraId="5EEDB8C6" w14:textId="77777777" w:rsidTr="004A57B3">
        <w:trPr>
          <w:trHeight w:val="300"/>
        </w:trPr>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433EE3" w14:textId="77777777" w:rsidR="00CB2594" w:rsidRPr="007434DA" w:rsidRDefault="00CB2594" w:rsidP="004A57B3">
            <w:pPr>
              <w:jc w:val="center"/>
              <w:rPr>
                <w:rFonts w:eastAsia="Times New Roman" w:cs="Times New Roman"/>
                <w:b/>
                <w:bCs/>
                <w:sz w:val="20"/>
                <w:szCs w:val="20"/>
                <w:lang w:val="cs-CZ"/>
              </w:rPr>
            </w:pPr>
            <w:r w:rsidRPr="007434DA">
              <w:rPr>
                <w:rFonts w:eastAsia="Times New Roman" w:cs="Times New Roman"/>
                <w:b/>
                <w:bCs/>
                <w:sz w:val="20"/>
                <w:szCs w:val="20"/>
                <w:lang w:val="cs-CZ"/>
              </w:rPr>
              <w:t>počet výskytů</w:t>
            </w:r>
          </w:p>
          <w:p w14:paraId="48D06713" w14:textId="77777777" w:rsidR="00CB2594" w:rsidRPr="007434DA" w:rsidRDefault="00CB2594" w:rsidP="004A57B3">
            <w:pPr>
              <w:jc w:val="center"/>
              <w:rPr>
                <w:rFonts w:eastAsia="Times New Roman" w:cs="Times New Roman"/>
                <w:b/>
                <w:bCs/>
                <w:sz w:val="20"/>
                <w:szCs w:val="20"/>
                <w:lang w:val="cs-CZ"/>
              </w:rPr>
            </w:pPr>
            <w:r w:rsidRPr="007434DA">
              <w:rPr>
                <w:rFonts w:eastAsia="Times New Roman" w:cs="Times New Roman"/>
                <w:b/>
                <w:bCs/>
                <w:sz w:val="20"/>
                <w:szCs w:val="20"/>
                <w:lang w:val="cs-CZ"/>
              </w:rPr>
              <w:t>na jednom DPB</w:t>
            </w:r>
          </w:p>
        </w:tc>
        <w:tc>
          <w:tcPr>
            <w:tcW w:w="3827" w:type="dxa"/>
            <w:tcBorders>
              <w:top w:val="single" w:sz="4" w:space="0" w:color="auto"/>
              <w:left w:val="nil"/>
              <w:bottom w:val="single" w:sz="4" w:space="0" w:color="auto"/>
              <w:right w:val="single" w:sz="4" w:space="0" w:color="auto"/>
            </w:tcBorders>
            <w:shd w:val="clear" w:color="auto" w:fill="auto"/>
            <w:noWrap/>
            <w:vAlign w:val="center"/>
            <w:hideMark/>
          </w:tcPr>
          <w:p w14:paraId="7E0F3138" w14:textId="77777777" w:rsidR="00CB2594" w:rsidRPr="007434DA" w:rsidRDefault="00CB2594" w:rsidP="004A57B3">
            <w:pPr>
              <w:jc w:val="center"/>
              <w:rPr>
                <w:rFonts w:eastAsia="Times New Roman" w:cs="Times New Roman"/>
                <w:b/>
                <w:bCs/>
                <w:sz w:val="20"/>
                <w:szCs w:val="20"/>
                <w:lang w:val="cs-CZ"/>
              </w:rPr>
            </w:pPr>
            <w:r w:rsidRPr="007434DA">
              <w:rPr>
                <w:rFonts w:eastAsia="Times New Roman" w:cs="Times New Roman"/>
                <w:b/>
                <w:bCs/>
                <w:sz w:val="20"/>
                <w:szCs w:val="20"/>
                <w:lang w:val="cs-CZ"/>
              </w:rPr>
              <w:t>kukuřice (ha)</w:t>
            </w:r>
          </w:p>
        </w:tc>
        <w:tc>
          <w:tcPr>
            <w:tcW w:w="3402" w:type="dxa"/>
            <w:tcBorders>
              <w:top w:val="single" w:sz="4" w:space="0" w:color="auto"/>
              <w:left w:val="nil"/>
              <w:bottom w:val="single" w:sz="4" w:space="0" w:color="auto"/>
              <w:right w:val="single" w:sz="4" w:space="0" w:color="auto"/>
            </w:tcBorders>
            <w:shd w:val="clear" w:color="auto" w:fill="auto"/>
            <w:noWrap/>
            <w:vAlign w:val="center"/>
            <w:hideMark/>
          </w:tcPr>
          <w:p w14:paraId="27E03213" w14:textId="77777777" w:rsidR="00CB2594" w:rsidRPr="007434DA" w:rsidRDefault="00CB2594" w:rsidP="004A57B3">
            <w:pPr>
              <w:jc w:val="center"/>
              <w:rPr>
                <w:rFonts w:eastAsia="Times New Roman" w:cs="Times New Roman"/>
                <w:b/>
                <w:bCs/>
                <w:sz w:val="20"/>
                <w:szCs w:val="20"/>
                <w:lang w:val="cs-CZ"/>
              </w:rPr>
            </w:pPr>
            <w:r w:rsidRPr="007434DA">
              <w:rPr>
                <w:rFonts w:eastAsia="Times New Roman" w:cs="Times New Roman"/>
                <w:b/>
                <w:bCs/>
                <w:sz w:val="20"/>
                <w:szCs w:val="20"/>
                <w:lang w:val="cs-CZ"/>
              </w:rPr>
              <w:t>řepka (ha)</w:t>
            </w:r>
          </w:p>
        </w:tc>
      </w:tr>
      <w:tr w:rsidR="00CB2594" w:rsidRPr="007434DA" w14:paraId="2D8226B3" w14:textId="77777777" w:rsidTr="004A57B3">
        <w:trPr>
          <w:trHeight w:val="300"/>
        </w:trPr>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60D674C5" w14:textId="77777777" w:rsidR="00CB2594" w:rsidRPr="007434DA" w:rsidRDefault="00CB2594" w:rsidP="004A57B3">
            <w:pPr>
              <w:jc w:val="center"/>
              <w:rPr>
                <w:rFonts w:eastAsia="Times New Roman" w:cs="Times New Roman"/>
                <w:sz w:val="20"/>
                <w:szCs w:val="20"/>
                <w:lang w:val="cs-CZ"/>
              </w:rPr>
            </w:pPr>
            <w:r w:rsidRPr="007434DA">
              <w:rPr>
                <w:rFonts w:eastAsia="Times New Roman" w:cs="Times New Roman"/>
                <w:sz w:val="20"/>
                <w:szCs w:val="20"/>
                <w:lang w:val="cs-CZ"/>
              </w:rPr>
              <w:t>1</w:t>
            </w:r>
          </w:p>
        </w:tc>
        <w:tc>
          <w:tcPr>
            <w:tcW w:w="3827" w:type="dxa"/>
            <w:tcBorders>
              <w:top w:val="nil"/>
              <w:left w:val="nil"/>
              <w:bottom w:val="single" w:sz="4" w:space="0" w:color="auto"/>
              <w:right w:val="single" w:sz="4" w:space="0" w:color="auto"/>
            </w:tcBorders>
            <w:shd w:val="clear" w:color="auto" w:fill="auto"/>
            <w:noWrap/>
            <w:vAlign w:val="center"/>
            <w:hideMark/>
          </w:tcPr>
          <w:p w14:paraId="1E4A988A" w14:textId="77777777" w:rsidR="00CB2594" w:rsidRPr="007434DA" w:rsidRDefault="00CB2594" w:rsidP="004A57B3">
            <w:pPr>
              <w:ind w:right="1059"/>
              <w:jc w:val="right"/>
              <w:rPr>
                <w:rFonts w:eastAsia="Times New Roman" w:cs="Times New Roman"/>
                <w:sz w:val="20"/>
                <w:szCs w:val="20"/>
                <w:lang w:val="cs-CZ"/>
              </w:rPr>
            </w:pPr>
            <w:r w:rsidRPr="007434DA">
              <w:rPr>
                <w:rFonts w:eastAsia="Times New Roman" w:cs="Times New Roman"/>
                <w:sz w:val="20"/>
                <w:szCs w:val="20"/>
                <w:lang w:val="cs-CZ"/>
              </w:rPr>
              <w:t>411 777</w:t>
            </w:r>
          </w:p>
        </w:tc>
        <w:tc>
          <w:tcPr>
            <w:tcW w:w="3402" w:type="dxa"/>
            <w:tcBorders>
              <w:top w:val="nil"/>
              <w:left w:val="nil"/>
              <w:bottom w:val="single" w:sz="4" w:space="0" w:color="auto"/>
              <w:right w:val="single" w:sz="4" w:space="0" w:color="auto"/>
            </w:tcBorders>
            <w:shd w:val="clear" w:color="auto" w:fill="auto"/>
            <w:noWrap/>
            <w:vAlign w:val="center"/>
            <w:hideMark/>
          </w:tcPr>
          <w:p w14:paraId="2ECA99FC" w14:textId="77777777" w:rsidR="00CB2594" w:rsidRPr="007434DA" w:rsidRDefault="00CB2594" w:rsidP="004A57B3">
            <w:pPr>
              <w:ind w:right="1059"/>
              <w:jc w:val="right"/>
              <w:rPr>
                <w:rFonts w:eastAsia="Times New Roman" w:cs="Times New Roman"/>
                <w:sz w:val="20"/>
                <w:szCs w:val="20"/>
                <w:lang w:val="cs-CZ"/>
              </w:rPr>
            </w:pPr>
            <w:r w:rsidRPr="007434DA">
              <w:rPr>
                <w:rFonts w:eastAsia="Times New Roman" w:cs="Times New Roman"/>
                <w:sz w:val="20"/>
                <w:szCs w:val="20"/>
                <w:lang w:val="cs-CZ"/>
              </w:rPr>
              <w:t>766 543</w:t>
            </w:r>
          </w:p>
        </w:tc>
      </w:tr>
      <w:tr w:rsidR="00CB2594" w:rsidRPr="007434DA" w14:paraId="65C4E8D4" w14:textId="77777777" w:rsidTr="004A57B3">
        <w:trPr>
          <w:trHeight w:val="300"/>
        </w:trPr>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751365CF" w14:textId="77777777" w:rsidR="00CB2594" w:rsidRPr="007434DA" w:rsidRDefault="00CB2594" w:rsidP="004A57B3">
            <w:pPr>
              <w:jc w:val="center"/>
              <w:rPr>
                <w:rFonts w:eastAsia="Times New Roman" w:cs="Times New Roman"/>
                <w:sz w:val="20"/>
                <w:szCs w:val="20"/>
                <w:lang w:val="cs-CZ"/>
              </w:rPr>
            </w:pPr>
            <w:r w:rsidRPr="007434DA">
              <w:rPr>
                <w:rFonts w:eastAsia="Times New Roman" w:cs="Times New Roman"/>
                <w:sz w:val="20"/>
                <w:szCs w:val="20"/>
                <w:lang w:val="cs-CZ"/>
              </w:rPr>
              <w:t>2</w:t>
            </w:r>
          </w:p>
        </w:tc>
        <w:tc>
          <w:tcPr>
            <w:tcW w:w="3827" w:type="dxa"/>
            <w:tcBorders>
              <w:top w:val="nil"/>
              <w:left w:val="nil"/>
              <w:bottom w:val="single" w:sz="4" w:space="0" w:color="auto"/>
              <w:right w:val="single" w:sz="4" w:space="0" w:color="auto"/>
            </w:tcBorders>
            <w:shd w:val="clear" w:color="auto" w:fill="auto"/>
            <w:noWrap/>
            <w:vAlign w:val="center"/>
            <w:hideMark/>
          </w:tcPr>
          <w:p w14:paraId="0435ACAA" w14:textId="77777777" w:rsidR="00CB2594" w:rsidRPr="007434DA" w:rsidRDefault="00CB2594" w:rsidP="004A57B3">
            <w:pPr>
              <w:ind w:right="1059"/>
              <w:jc w:val="right"/>
              <w:rPr>
                <w:rFonts w:eastAsia="Times New Roman" w:cs="Times New Roman"/>
                <w:sz w:val="20"/>
                <w:szCs w:val="20"/>
                <w:lang w:val="cs-CZ"/>
              </w:rPr>
            </w:pPr>
            <w:r w:rsidRPr="007434DA">
              <w:rPr>
                <w:rFonts w:eastAsia="Times New Roman" w:cs="Times New Roman"/>
                <w:sz w:val="20"/>
                <w:szCs w:val="20"/>
                <w:lang w:val="cs-CZ"/>
              </w:rPr>
              <w:t>145 709</w:t>
            </w:r>
          </w:p>
        </w:tc>
        <w:tc>
          <w:tcPr>
            <w:tcW w:w="3402" w:type="dxa"/>
            <w:tcBorders>
              <w:top w:val="nil"/>
              <w:left w:val="nil"/>
              <w:bottom w:val="single" w:sz="4" w:space="0" w:color="auto"/>
              <w:right w:val="single" w:sz="4" w:space="0" w:color="auto"/>
            </w:tcBorders>
            <w:shd w:val="clear" w:color="auto" w:fill="auto"/>
            <w:noWrap/>
            <w:vAlign w:val="center"/>
            <w:hideMark/>
          </w:tcPr>
          <w:p w14:paraId="1A2DAFFB" w14:textId="77777777" w:rsidR="00CB2594" w:rsidRPr="007434DA" w:rsidRDefault="00CB2594" w:rsidP="004A57B3">
            <w:pPr>
              <w:ind w:right="1059"/>
              <w:jc w:val="right"/>
              <w:rPr>
                <w:rFonts w:eastAsia="Times New Roman" w:cs="Times New Roman"/>
                <w:sz w:val="20"/>
                <w:szCs w:val="20"/>
                <w:lang w:val="cs-CZ"/>
              </w:rPr>
            </w:pPr>
            <w:r w:rsidRPr="007434DA">
              <w:rPr>
                <w:rFonts w:eastAsia="Times New Roman" w:cs="Times New Roman"/>
                <w:sz w:val="20"/>
                <w:szCs w:val="20"/>
                <w:lang w:val="cs-CZ"/>
              </w:rPr>
              <w:t>100 992</w:t>
            </w:r>
          </w:p>
        </w:tc>
      </w:tr>
      <w:tr w:rsidR="00CB2594" w:rsidRPr="007434DA" w14:paraId="58A53734" w14:textId="77777777" w:rsidTr="004A57B3">
        <w:trPr>
          <w:trHeight w:val="300"/>
        </w:trPr>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4E24F324" w14:textId="77777777" w:rsidR="00CB2594" w:rsidRPr="007434DA" w:rsidRDefault="00CB2594" w:rsidP="004A57B3">
            <w:pPr>
              <w:jc w:val="center"/>
              <w:rPr>
                <w:rFonts w:eastAsia="Times New Roman" w:cs="Times New Roman"/>
                <w:sz w:val="20"/>
                <w:szCs w:val="20"/>
                <w:lang w:val="cs-CZ"/>
              </w:rPr>
            </w:pPr>
            <w:r w:rsidRPr="007434DA">
              <w:rPr>
                <w:rFonts w:eastAsia="Times New Roman" w:cs="Times New Roman"/>
                <w:sz w:val="20"/>
                <w:szCs w:val="20"/>
                <w:lang w:val="cs-CZ"/>
              </w:rPr>
              <w:t>3</w:t>
            </w:r>
          </w:p>
        </w:tc>
        <w:tc>
          <w:tcPr>
            <w:tcW w:w="3827" w:type="dxa"/>
            <w:tcBorders>
              <w:top w:val="nil"/>
              <w:left w:val="nil"/>
              <w:bottom w:val="single" w:sz="4" w:space="0" w:color="auto"/>
              <w:right w:val="single" w:sz="4" w:space="0" w:color="auto"/>
            </w:tcBorders>
            <w:shd w:val="clear" w:color="auto" w:fill="auto"/>
            <w:noWrap/>
            <w:vAlign w:val="center"/>
            <w:hideMark/>
          </w:tcPr>
          <w:p w14:paraId="7A909C05" w14:textId="77777777" w:rsidR="00CB2594" w:rsidRPr="007434DA" w:rsidRDefault="00CB2594" w:rsidP="004A57B3">
            <w:pPr>
              <w:ind w:right="1059"/>
              <w:jc w:val="right"/>
              <w:rPr>
                <w:rFonts w:eastAsia="Times New Roman" w:cs="Times New Roman"/>
                <w:sz w:val="20"/>
                <w:szCs w:val="20"/>
                <w:lang w:val="cs-CZ"/>
              </w:rPr>
            </w:pPr>
            <w:r w:rsidRPr="007434DA">
              <w:rPr>
                <w:rFonts w:eastAsia="Times New Roman" w:cs="Times New Roman"/>
                <w:sz w:val="20"/>
                <w:szCs w:val="20"/>
                <w:lang w:val="cs-CZ"/>
              </w:rPr>
              <w:t>40 053</w:t>
            </w:r>
          </w:p>
        </w:tc>
        <w:tc>
          <w:tcPr>
            <w:tcW w:w="3402" w:type="dxa"/>
            <w:tcBorders>
              <w:top w:val="nil"/>
              <w:left w:val="nil"/>
              <w:bottom w:val="single" w:sz="4" w:space="0" w:color="auto"/>
              <w:right w:val="single" w:sz="4" w:space="0" w:color="auto"/>
            </w:tcBorders>
            <w:shd w:val="clear" w:color="auto" w:fill="auto"/>
            <w:noWrap/>
            <w:vAlign w:val="center"/>
            <w:hideMark/>
          </w:tcPr>
          <w:p w14:paraId="18BE53E5" w14:textId="77777777" w:rsidR="00CB2594" w:rsidRPr="007434DA" w:rsidRDefault="00CB2594" w:rsidP="004A57B3">
            <w:pPr>
              <w:ind w:right="1059"/>
              <w:jc w:val="right"/>
              <w:rPr>
                <w:rFonts w:eastAsia="Times New Roman" w:cs="Times New Roman"/>
                <w:sz w:val="20"/>
                <w:szCs w:val="20"/>
                <w:lang w:val="cs-CZ"/>
              </w:rPr>
            </w:pPr>
            <w:r w:rsidRPr="007434DA">
              <w:rPr>
                <w:rFonts w:eastAsia="Times New Roman" w:cs="Times New Roman"/>
                <w:sz w:val="20"/>
                <w:szCs w:val="20"/>
                <w:lang w:val="cs-CZ"/>
              </w:rPr>
              <w:t>1 196</w:t>
            </w:r>
          </w:p>
        </w:tc>
      </w:tr>
      <w:tr w:rsidR="00CB2594" w:rsidRPr="007434DA" w14:paraId="43605121" w14:textId="77777777" w:rsidTr="004A57B3">
        <w:trPr>
          <w:trHeight w:val="300"/>
        </w:trPr>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5543BCE0" w14:textId="77777777" w:rsidR="00CB2594" w:rsidRPr="007434DA" w:rsidRDefault="00CB2594" w:rsidP="004A57B3">
            <w:pPr>
              <w:jc w:val="center"/>
              <w:rPr>
                <w:rFonts w:eastAsia="Times New Roman" w:cs="Times New Roman"/>
                <w:sz w:val="20"/>
                <w:szCs w:val="20"/>
                <w:lang w:val="cs-CZ"/>
              </w:rPr>
            </w:pPr>
            <w:r w:rsidRPr="007434DA">
              <w:rPr>
                <w:rFonts w:eastAsia="Times New Roman" w:cs="Times New Roman"/>
                <w:sz w:val="20"/>
                <w:szCs w:val="20"/>
                <w:lang w:val="cs-CZ"/>
              </w:rPr>
              <w:t>4</w:t>
            </w:r>
          </w:p>
        </w:tc>
        <w:tc>
          <w:tcPr>
            <w:tcW w:w="3827" w:type="dxa"/>
            <w:tcBorders>
              <w:top w:val="nil"/>
              <w:left w:val="nil"/>
              <w:bottom w:val="single" w:sz="4" w:space="0" w:color="auto"/>
              <w:right w:val="single" w:sz="4" w:space="0" w:color="auto"/>
            </w:tcBorders>
            <w:shd w:val="clear" w:color="auto" w:fill="auto"/>
            <w:noWrap/>
            <w:vAlign w:val="center"/>
            <w:hideMark/>
          </w:tcPr>
          <w:p w14:paraId="22B1C84D" w14:textId="77777777" w:rsidR="00CB2594" w:rsidRPr="007434DA" w:rsidRDefault="00CB2594" w:rsidP="004A57B3">
            <w:pPr>
              <w:ind w:right="1059"/>
              <w:jc w:val="right"/>
              <w:rPr>
                <w:rFonts w:eastAsia="Times New Roman" w:cs="Times New Roman"/>
                <w:sz w:val="20"/>
                <w:szCs w:val="20"/>
                <w:lang w:val="cs-CZ"/>
              </w:rPr>
            </w:pPr>
            <w:r w:rsidRPr="007434DA">
              <w:rPr>
                <w:rFonts w:eastAsia="Times New Roman" w:cs="Times New Roman"/>
                <w:sz w:val="20"/>
                <w:szCs w:val="20"/>
                <w:lang w:val="cs-CZ"/>
              </w:rPr>
              <w:t>8 923</w:t>
            </w:r>
          </w:p>
        </w:tc>
        <w:tc>
          <w:tcPr>
            <w:tcW w:w="3402" w:type="dxa"/>
            <w:tcBorders>
              <w:top w:val="nil"/>
              <w:left w:val="nil"/>
              <w:bottom w:val="single" w:sz="4" w:space="0" w:color="auto"/>
              <w:right w:val="single" w:sz="4" w:space="0" w:color="auto"/>
            </w:tcBorders>
            <w:shd w:val="clear" w:color="auto" w:fill="auto"/>
            <w:noWrap/>
            <w:vAlign w:val="center"/>
            <w:hideMark/>
          </w:tcPr>
          <w:p w14:paraId="195DED2B" w14:textId="77777777" w:rsidR="00CB2594" w:rsidRPr="007434DA" w:rsidRDefault="00CB2594" w:rsidP="004A57B3">
            <w:pPr>
              <w:ind w:right="1059"/>
              <w:jc w:val="right"/>
              <w:rPr>
                <w:rFonts w:eastAsia="Times New Roman" w:cs="Times New Roman"/>
                <w:sz w:val="20"/>
                <w:szCs w:val="20"/>
                <w:lang w:val="cs-CZ"/>
              </w:rPr>
            </w:pPr>
            <w:r w:rsidRPr="007434DA">
              <w:rPr>
                <w:rFonts w:eastAsia="Times New Roman" w:cs="Times New Roman"/>
                <w:sz w:val="20"/>
                <w:szCs w:val="20"/>
                <w:lang w:val="cs-CZ"/>
              </w:rPr>
              <w:t>1</w:t>
            </w:r>
          </w:p>
        </w:tc>
      </w:tr>
    </w:tbl>
    <w:p w14:paraId="611535E7" w14:textId="77777777" w:rsidR="00CB2594" w:rsidRPr="007434DA" w:rsidRDefault="00CB2594" w:rsidP="00CB2594">
      <w:pPr>
        <w:rPr>
          <w:rFonts w:cs="Times New Roman"/>
          <w:i/>
          <w:sz w:val="18"/>
          <w:szCs w:val="18"/>
          <w:lang w:val="cs-CZ"/>
        </w:rPr>
      </w:pPr>
      <w:r w:rsidRPr="007434DA">
        <w:rPr>
          <w:rFonts w:cs="Times New Roman"/>
          <w:i/>
          <w:sz w:val="18"/>
          <w:szCs w:val="18"/>
          <w:lang w:val="cs-CZ"/>
        </w:rPr>
        <w:t>Zdroj: LPIS 2015-2018, ČÚZK 2018, vlastní výpočty ÚZEI</w:t>
      </w:r>
    </w:p>
    <w:p w14:paraId="05C1D3BC" w14:textId="77777777" w:rsidR="00CB2594" w:rsidRPr="007434DA" w:rsidRDefault="00CB2594" w:rsidP="006848E5">
      <w:pPr>
        <w:pStyle w:val="UZEINormaln"/>
      </w:pPr>
      <w:r w:rsidRPr="007434DA">
        <w:t xml:space="preserve">Zranitelné oblasti dusíkem zasahují přibližně 54 % zemědělské půdy evidované v LPIS. Považujeme tedy za vhodné provést porovnání mezi oblastmi ZOD a oblastmi mimo ZOD. Za tímto účelem byla zpracována následující tabulka. </w:t>
      </w:r>
    </w:p>
    <w:p w14:paraId="77E48D97" w14:textId="77777777" w:rsidR="00CB2594" w:rsidRPr="007434DA" w:rsidRDefault="00CB2594" w:rsidP="00CB2594">
      <w:pPr>
        <w:spacing w:before="120" w:after="120" w:line="360" w:lineRule="atLeast"/>
        <w:rPr>
          <w:rFonts w:eastAsia="Times New Roman" w:cs="Times New Roman"/>
          <w:b/>
          <w:bCs/>
          <w:sz w:val="20"/>
          <w:szCs w:val="20"/>
          <w:lang w:val="cs-CZ"/>
        </w:rPr>
      </w:pPr>
      <w:r w:rsidRPr="007434DA">
        <w:rPr>
          <w:rFonts w:eastAsia="Times New Roman" w:cs="Times New Roman"/>
          <w:b/>
          <w:bCs/>
          <w:sz w:val="20"/>
          <w:szCs w:val="20"/>
          <w:lang w:val="cs-CZ"/>
        </w:rPr>
        <w:t>Tab. A 10 Řepka a kukuřice mimo ZOD podle počtu výskytů v letech 2015–2018 (ha)</w:t>
      </w:r>
    </w:p>
    <w:tbl>
      <w:tblPr>
        <w:tblW w:w="9072" w:type="dxa"/>
        <w:tblInd w:w="-5" w:type="dxa"/>
        <w:tblCellMar>
          <w:left w:w="70" w:type="dxa"/>
          <w:right w:w="70" w:type="dxa"/>
        </w:tblCellMar>
        <w:tblLook w:val="04A0" w:firstRow="1" w:lastRow="0" w:firstColumn="1" w:lastColumn="0" w:noHBand="0" w:noVBand="1"/>
      </w:tblPr>
      <w:tblGrid>
        <w:gridCol w:w="1843"/>
        <w:gridCol w:w="3402"/>
        <w:gridCol w:w="3827"/>
      </w:tblGrid>
      <w:tr w:rsidR="00CB2594" w:rsidRPr="007434DA" w14:paraId="0952F8D2" w14:textId="77777777" w:rsidTr="004A57B3">
        <w:trPr>
          <w:trHeight w:val="600"/>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18BFD6" w14:textId="77777777" w:rsidR="00CB2594" w:rsidRPr="007434DA" w:rsidRDefault="00CB2594" w:rsidP="004A57B3">
            <w:pPr>
              <w:jc w:val="center"/>
              <w:rPr>
                <w:rFonts w:eastAsia="Times New Roman" w:cs="Times New Roman"/>
                <w:b/>
                <w:bCs/>
                <w:sz w:val="20"/>
                <w:szCs w:val="20"/>
                <w:lang w:val="cs-CZ"/>
              </w:rPr>
            </w:pPr>
            <w:r w:rsidRPr="007434DA">
              <w:rPr>
                <w:rFonts w:eastAsia="Times New Roman" w:cs="Times New Roman"/>
                <w:b/>
                <w:bCs/>
                <w:sz w:val="20"/>
                <w:szCs w:val="20"/>
                <w:lang w:val="cs-CZ"/>
              </w:rPr>
              <w:t>počet výskytů na jednom DPB</w:t>
            </w:r>
          </w:p>
        </w:tc>
        <w:tc>
          <w:tcPr>
            <w:tcW w:w="3402" w:type="dxa"/>
            <w:tcBorders>
              <w:top w:val="single" w:sz="4" w:space="0" w:color="auto"/>
              <w:left w:val="nil"/>
              <w:bottom w:val="single" w:sz="4" w:space="0" w:color="auto"/>
              <w:right w:val="single" w:sz="4" w:space="0" w:color="auto"/>
            </w:tcBorders>
            <w:shd w:val="clear" w:color="auto" w:fill="auto"/>
            <w:vAlign w:val="center"/>
            <w:hideMark/>
          </w:tcPr>
          <w:p w14:paraId="4E843076" w14:textId="77777777" w:rsidR="00CB2594" w:rsidRPr="007434DA" w:rsidRDefault="00CB2594" w:rsidP="004A57B3">
            <w:pPr>
              <w:jc w:val="center"/>
              <w:rPr>
                <w:rFonts w:eastAsia="Times New Roman" w:cs="Times New Roman"/>
                <w:b/>
                <w:bCs/>
                <w:sz w:val="20"/>
                <w:szCs w:val="20"/>
                <w:lang w:val="cs-CZ"/>
              </w:rPr>
            </w:pPr>
            <w:r w:rsidRPr="007434DA">
              <w:rPr>
                <w:rFonts w:eastAsia="Times New Roman" w:cs="Times New Roman"/>
                <w:b/>
                <w:bCs/>
                <w:sz w:val="20"/>
                <w:szCs w:val="20"/>
                <w:lang w:val="cs-CZ"/>
              </w:rPr>
              <w:t>kukuřice (ha)</w:t>
            </w:r>
          </w:p>
        </w:tc>
        <w:tc>
          <w:tcPr>
            <w:tcW w:w="3827" w:type="dxa"/>
            <w:tcBorders>
              <w:top w:val="single" w:sz="4" w:space="0" w:color="auto"/>
              <w:left w:val="nil"/>
              <w:bottom w:val="single" w:sz="4" w:space="0" w:color="auto"/>
              <w:right w:val="single" w:sz="4" w:space="0" w:color="auto"/>
            </w:tcBorders>
            <w:shd w:val="clear" w:color="auto" w:fill="auto"/>
            <w:vAlign w:val="center"/>
            <w:hideMark/>
          </w:tcPr>
          <w:p w14:paraId="4043EFCA" w14:textId="77777777" w:rsidR="00CB2594" w:rsidRPr="007434DA" w:rsidRDefault="00CB2594" w:rsidP="004A57B3">
            <w:pPr>
              <w:jc w:val="center"/>
              <w:rPr>
                <w:rFonts w:eastAsia="Times New Roman" w:cs="Times New Roman"/>
                <w:b/>
                <w:bCs/>
                <w:sz w:val="20"/>
                <w:szCs w:val="20"/>
                <w:lang w:val="cs-CZ"/>
              </w:rPr>
            </w:pPr>
            <w:r w:rsidRPr="007434DA">
              <w:rPr>
                <w:rFonts w:eastAsia="Times New Roman" w:cs="Times New Roman"/>
                <w:b/>
                <w:bCs/>
                <w:sz w:val="20"/>
                <w:szCs w:val="20"/>
                <w:lang w:val="cs-CZ"/>
              </w:rPr>
              <w:t>řepka (ha)</w:t>
            </w:r>
          </w:p>
        </w:tc>
      </w:tr>
      <w:tr w:rsidR="00CB2594" w:rsidRPr="007434DA" w14:paraId="1F6B06B5" w14:textId="77777777" w:rsidTr="004A57B3">
        <w:trPr>
          <w:trHeight w:val="300"/>
        </w:trPr>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4F203AFF" w14:textId="77777777" w:rsidR="00CB2594" w:rsidRPr="007434DA" w:rsidRDefault="00CB2594" w:rsidP="004A57B3">
            <w:pPr>
              <w:jc w:val="center"/>
              <w:rPr>
                <w:rFonts w:eastAsia="Times New Roman" w:cs="Times New Roman"/>
                <w:sz w:val="20"/>
                <w:szCs w:val="20"/>
                <w:lang w:val="cs-CZ"/>
              </w:rPr>
            </w:pPr>
            <w:r w:rsidRPr="007434DA">
              <w:rPr>
                <w:rFonts w:eastAsia="Times New Roman" w:cs="Times New Roman"/>
                <w:sz w:val="20"/>
                <w:szCs w:val="20"/>
                <w:lang w:val="cs-CZ"/>
              </w:rPr>
              <w:t>1</w:t>
            </w:r>
          </w:p>
        </w:tc>
        <w:tc>
          <w:tcPr>
            <w:tcW w:w="3402" w:type="dxa"/>
            <w:tcBorders>
              <w:top w:val="nil"/>
              <w:left w:val="nil"/>
              <w:bottom w:val="single" w:sz="4" w:space="0" w:color="auto"/>
              <w:right w:val="single" w:sz="4" w:space="0" w:color="auto"/>
            </w:tcBorders>
            <w:shd w:val="clear" w:color="auto" w:fill="auto"/>
            <w:noWrap/>
            <w:vAlign w:val="center"/>
            <w:hideMark/>
          </w:tcPr>
          <w:p w14:paraId="22843702" w14:textId="77777777" w:rsidR="00CB2594" w:rsidRPr="007434DA" w:rsidRDefault="00CB2594" w:rsidP="004A57B3">
            <w:pPr>
              <w:ind w:right="639"/>
              <w:jc w:val="right"/>
              <w:rPr>
                <w:rFonts w:eastAsia="Times New Roman" w:cs="Times New Roman"/>
                <w:sz w:val="20"/>
                <w:szCs w:val="20"/>
                <w:lang w:val="cs-CZ"/>
              </w:rPr>
            </w:pPr>
            <w:r w:rsidRPr="007434DA">
              <w:rPr>
                <w:rFonts w:eastAsia="Times New Roman" w:cs="Times New Roman"/>
                <w:sz w:val="20"/>
                <w:szCs w:val="20"/>
                <w:lang w:val="cs-CZ"/>
              </w:rPr>
              <w:t>212 115</w:t>
            </w:r>
          </w:p>
        </w:tc>
        <w:tc>
          <w:tcPr>
            <w:tcW w:w="3827" w:type="dxa"/>
            <w:tcBorders>
              <w:top w:val="nil"/>
              <w:left w:val="nil"/>
              <w:bottom w:val="single" w:sz="4" w:space="0" w:color="auto"/>
              <w:right w:val="single" w:sz="4" w:space="0" w:color="auto"/>
            </w:tcBorders>
            <w:shd w:val="clear" w:color="auto" w:fill="auto"/>
            <w:noWrap/>
            <w:vAlign w:val="center"/>
            <w:hideMark/>
          </w:tcPr>
          <w:p w14:paraId="453F108F" w14:textId="77777777" w:rsidR="00CB2594" w:rsidRPr="007434DA" w:rsidRDefault="00CB2594" w:rsidP="004A57B3">
            <w:pPr>
              <w:ind w:right="639"/>
              <w:jc w:val="right"/>
              <w:rPr>
                <w:rFonts w:eastAsia="Times New Roman" w:cs="Times New Roman"/>
                <w:sz w:val="20"/>
                <w:szCs w:val="20"/>
                <w:lang w:val="cs-CZ"/>
              </w:rPr>
            </w:pPr>
            <w:r w:rsidRPr="007434DA">
              <w:rPr>
                <w:rFonts w:eastAsia="Times New Roman" w:cs="Times New Roman"/>
                <w:sz w:val="20"/>
                <w:szCs w:val="20"/>
                <w:lang w:val="cs-CZ"/>
              </w:rPr>
              <w:t>482 992</w:t>
            </w:r>
          </w:p>
        </w:tc>
      </w:tr>
      <w:tr w:rsidR="00CB2594" w:rsidRPr="007434DA" w14:paraId="4455307B" w14:textId="77777777" w:rsidTr="004A57B3">
        <w:trPr>
          <w:trHeight w:val="300"/>
        </w:trPr>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67ED0F8A" w14:textId="77777777" w:rsidR="00CB2594" w:rsidRPr="007434DA" w:rsidRDefault="00CB2594" w:rsidP="004A57B3">
            <w:pPr>
              <w:jc w:val="center"/>
              <w:rPr>
                <w:rFonts w:eastAsia="Times New Roman" w:cs="Times New Roman"/>
                <w:sz w:val="20"/>
                <w:szCs w:val="20"/>
                <w:lang w:val="cs-CZ"/>
              </w:rPr>
            </w:pPr>
            <w:r w:rsidRPr="007434DA">
              <w:rPr>
                <w:rFonts w:eastAsia="Times New Roman" w:cs="Times New Roman"/>
                <w:sz w:val="20"/>
                <w:szCs w:val="20"/>
                <w:lang w:val="cs-CZ"/>
              </w:rPr>
              <w:t>2</w:t>
            </w:r>
          </w:p>
        </w:tc>
        <w:tc>
          <w:tcPr>
            <w:tcW w:w="3402" w:type="dxa"/>
            <w:tcBorders>
              <w:top w:val="nil"/>
              <w:left w:val="nil"/>
              <w:bottom w:val="single" w:sz="4" w:space="0" w:color="auto"/>
              <w:right w:val="single" w:sz="4" w:space="0" w:color="auto"/>
            </w:tcBorders>
            <w:shd w:val="clear" w:color="auto" w:fill="auto"/>
            <w:noWrap/>
            <w:vAlign w:val="center"/>
            <w:hideMark/>
          </w:tcPr>
          <w:p w14:paraId="0C7A0D68" w14:textId="77777777" w:rsidR="00CB2594" w:rsidRPr="007434DA" w:rsidRDefault="00CB2594" w:rsidP="004A57B3">
            <w:pPr>
              <w:ind w:right="639"/>
              <w:jc w:val="right"/>
              <w:rPr>
                <w:rFonts w:eastAsia="Times New Roman" w:cs="Times New Roman"/>
                <w:sz w:val="20"/>
                <w:szCs w:val="20"/>
                <w:lang w:val="cs-CZ"/>
              </w:rPr>
            </w:pPr>
            <w:r w:rsidRPr="007434DA">
              <w:rPr>
                <w:rFonts w:eastAsia="Times New Roman" w:cs="Times New Roman"/>
                <w:sz w:val="20"/>
                <w:szCs w:val="20"/>
                <w:lang w:val="cs-CZ"/>
              </w:rPr>
              <w:t>77 351</w:t>
            </w:r>
          </w:p>
        </w:tc>
        <w:tc>
          <w:tcPr>
            <w:tcW w:w="3827" w:type="dxa"/>
            <w:tcBorders>
              <w:top w:val="nil"/>
              <w:left w:val="nil"/>
              <w:bottom w:val="single" w:sz="4" w:space="0" w:color="auto"/>
              <w:right w:val="single" w:sz="4" w:space="0" w:color="auto"/>
            </w:tcBorders>
            <w:shd w:val="clear" w:color="auto" w:fill="auto"/>
            <w:noWrap/>
            <w:vAlign w:val="center"/>
            <w:hideMark/>
          </w:tcPr>
          <w:p w14:paraId="41611451" w14:textId="77777777" w:rsidR="00CB2594" w:rsidRPr="007434DA" w:rsidRDefault="00CB2594" w:rsidP="004A57B3">
            <w:pPr>
              <w:ind w:right="639"/>
              <w:jc w:val="right"/>
              <w:rPr>
                <w:rFonts w:eastAsia="Times New Roman" w:cs="Times New Roman"/>
                <w:sz w:val="20"/>
                <w:szCs w:val="20"/>
                <w:lang w:val="cs-CZ"/>
              </w:rPr>
            </w:pPr>
            <w:r w:rsidRPr="007434DA">
              <w:rPr>
                <w:rFonts w:eastAsia="Times New Roman" w:cs="Times New Roman"/>
                <w:sz w:val="20"/>
                <w:szCs w:val="20"/>
                <w:lang w:val="cs-CZ"/>
              </w:rPr>
              <w:t>69 048</w:t>
            </w:r>
          </w:p>
        </w:tc>
      </w:tr>
      <w:tr w:rsidR="00CB2594" w:rsidRPr="007434DA" w14:paraId="14F48090" w14:textId="77777777" w:rsidTr="004A57B3">
        <w:trPr>
          <w:trHeight w:val="300"/>
        </w:trPr>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1331BC59" w14:textId="77777777" w:rsidR="00CB2594" w:rsidRPr="007434DA" w:rsidRDefault="00CB2594" w:rsidP="004A57B3">
            <w:pPr>
              <w:jc w:val="center"/>
              <w:rPr>
                <w:rFonts w:eastAsia="Times New Roman" w:cs="Times New Roman"/>
                <w:sz w:val="20"/>
                <w:szCs w:val="20"/>
                <w:lang w:val="cs-CZ"/>
              </w:rPr>
            </w:pPr>
            <w:r w:rsidRPr="007434DA">
              <w:rPr>
                <w:rFonts w:eastAsia="Times New Roman" w:cs="Times New Roman"/>
                <w:sz w:val="20"/>
                <w:szCs w:val="20"/>
                <w:lang w:val="cs-CZ"/>
              </w:rPr>
              <w:t>3</w:t>
            </w:r>
          </w:p>
        </w:tc>
        <w:tc>
          <w:tcPr>
            <w:tcW w:w="3402" w:type="dxa"/>
            <w:tcBorders>
              <w:top w:val="nil"/>
              <w:left w:val="nil"/>
              <w:bottom w:val="single" w:sz="4" w:space="0" w:color="auto"/>
              <w:right w:val="single" w:sz="4" w:space="0" w:color="auto"/>
            </w:tcBorders>
            <w:shd w:val="clear" w:color="auto" w:fill="auto"/>
            <w:noWrap/>
            <w:vAlign w:val="center"/>
            <w:hideMark/>
          </w:tcPr>
          <w:p w14:paraId="761357C1" w14:textId="77777777" w:rsidR="00CB2594" w:rsidRPr="007434DA" w:rsidRDefault="00CB2594" w:rsidP="004A57B3">
            <w:pPr>
              <w:ind w:right="639"/>
              <w:jc w:val="right"/>
              <w:rPr>
                <w:rFonts w:eastAsia="Times New Roman" w:cs="Times New Roman"/>
                <w:sz w:val="20"/>
                <w:szCs w:val="20"/>
                <w:lang w:val="cs-CZ"/>
              </w:rPr>
            </w:pPr>
            <w:r w:rsidRPr="007434DA">
              <w:rPr>
                <w:rFonts w:eastAsia="Times New Roman" w:cs="Times New Roman"/>
                <w:sz w:val="20"/>
                <w:szCs w:val="20"/>
                <w:lang w:val="cs-CZ"/>
              </w:rPr>
              <w:t>19 121</w:t>
            </w:r>
          </w:p>
        </w:tc>
        <w:tc>
          <w:tcPr>
            <w:tcW w:w="3827" w:type="dxa"/>
            <w:tcBorders>
              <w:top w:val="nil"/>
              <w:left w:val="nil"/>
              <w:bottom w:val="single" w:sz="4" w:space="0" w:color="auto"/>
              <w:right w:val="single" w:sz="4" w:space="0" w:color="auto"/>
            </w:tcBorders>
            <w:shd w:val="clear" w:color="auto" w:fill="auto"/>
            <w:noWrap/>
            <w:vAlign w:val="center"/>
            <w:hideMark/>
          </w:tcPr>
          <w:p w14:paraId="5F1A7482" w14:textId="77777777" w:rsidR="00CB2594" w:rsidRPr="007434DA" w:rsidRDefault="00CB2594" w:rsidP="004A57B3">
            <w:pPr>
              <w:ind w:right="639"/>
              <w:jc w:val="right"/>
              <w:rPr>
                <w:rFonts w:eastAsia="Times New Roman" w:cs="Times New Roman"/>
                <w:sz w:val="20"/>
                <w:szCs w:val="20"/>
                <w:lang w:val="cs-CZ"/>
              </w:rPr>
            </w:pPr>
            <w:r w:rsidRPr="007434DA">
              <w:rPr>
                <w:rFonts w:eastAsia="Times New Roman" w:cs="Times New Roman"/>
                <w:sz w:val="20"/>
                <w:szCs w:val="20"/>
                <w:lang w:val="cs-CZ"/>
              </w:rPr>
              <w:t>690</w:t>
            </w:r>
          </w:p>
        </w:tc>
      </w:tr>
      <w:tr w:rsidR="00CB2594" w:rsidRPr="007434DA" w14:paraId="72153478" w14:textId="77777777" w:rsidTr="004A57B3">
        <w:trPr>
          <w:trHeight w:val="300"/>
        </w:trPr>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02F4C5EB" w14:textId="77777777" w:rsidR="00CB2594" w:rsidRPr="007434DA" w:rsidRDefault="00CB2594" w:rsidP="004A57B3">
            <w:pPr>
              <w:jc w:val="center"/>
              <w:rPr>
                <w:rFonts w:eastAsia="Times New Roman" w:cs="Times New Roman"/>
                <w:sz w:val="20"/>
                <w:szCs w:val="20"/>
                <w:lang w:val="cs-CZ"/>
              </w:rPr>
            </w:pPr>
            <w:r w:rsidRPr="007434DA">
              <w:rPr>
                <w:rFonts w:eastAsia="Times New Roman" w:cs="Times New Roman"/>
                <w:sz w:val="20"/>
                <w:szCs w:val="20"/>
                <w:lang w:val="cs-CZ"/>
              </w:rPr>
              <w:t>4</w:t>
            </w:r>
          </w:p>
        </w:tc>
        <w:tc>
          <w:tcPr>
            <w:tcW w:w="3402" w:type="dxa"/>
            <w:tcBorders>
              <w:top w:val="nil"/>
              <w:left w:val="nil"/>
              <w:bottom w:val="single" w:sz="4" w:space="0" w:color="auto"/>
              <w:right w:val="single" w:sz="4" w:space="0" w:color="auto"/>
            </w:tcBorders>
            <w:shd w:val="clear" w:color="auto" w:fill="auto"/>
            <w:noWrap/>
            <w:vAlign w:val="center"/>
            <w:hideMark/>
          </w:tcPr>
          <w:p w14:paraId="0359854B" w14:textId="77777777" w:rsidR="00CB2594" w:rsidRPr="007434DA" w:rsidRDefault="00CB2594" w:rsidP="004A57B3">
            <w:pPr>
              <w:ind w:right="639"/>
              <w:jc w:val="right"/>
              <w:rPr>
                <w:rFonts w:eastAsia="Times New Roman" w:cs="Times New Roman"/>
                <w:sz w:val="20"/>
                <w:szCs w:val="20"/>
                <w:lang w:val="cs-CZ"/>
              </w:rPr>
            </w:pPr>
            <w:r w:rsidRPr="007434DA">
              <w:rPr>
                <w:rFonts w:eastAsia="Times New Roman" w:cs="Times New Roman"/>
                <w:sz w:val="20"/>
                <w:szCs w:val="20"/>
                <w:lang w:val="cs-CZ"/>
              </w:rPr>
              <w:t>5 851</w:t>
            </w:r>
          </w:p>
        </w:tc>
        <w:tc>
          <w:tcPr>
            <w:tcW w:w="3827" w:type="dxa"/>
            <w:tcBorders>
              <w:top w:val="nil"/>
              <w:left w:val="nil"/>
              <w:bottom w:val="single" w:sz="4" w:space="0" w:color="auto"/>
              <w:right w:val="single" w:sz="4" w:space="0" w:color="auto"/>
            </w:tcBorders>
            <w:shd w:val="clear" w:color="auto" w:fill="auto"/>
            <w:noWrap/>
            <w:vAlign w:val="center"/>
            <w:hideMark/>
          </w:tcPr>
          <w:p w14:paraId="1C5B3537" w14:textId="77777777" w:rsidR="00CB2594" w:rsidRPr="007434DA" w:rsidRDefault="00CB2594" w:rsidP="004A57B3">
            <w:pPr>
              <w:ind w:right="639"/>
              <w:jc w:val="right"/>
              <w:rPr>
                <w:rFonts w:eastAsia="Times New Roman" w:cs="Times New Roman"/>
                <w:sz w:val="20"/>
                <w:szCs w:val="20"/>
                <w:lang w:val="cs-CZ"/>
              </w:rPr>
            </w:pPr>
            <w:r w:rsidRPr="007434DA">
              <w:rPr>
                <w:rFonts w:eastAsia="Times New Roman" w:cs="Times New Roman"/>
                <w:sz w:val="20"/>
                <w:szCs w:val="20"/>
                <w:lang w:val="cs-CZ"/>
              </w:rPr>
              <w:t>0</w:t>
            </w:r>
          </w:p>
        </w:tc>
      </w:tr>
    </w:tbl>
    <w:p w14:paraId="328AC4B6" w14:textId="77777777" w:rsidR="00CB2594" w:rsidRPr="007434DA" w:rsidRDefault="00CB2594" w:rsidP="006848E5">
      <w:pPr>
        <w:pStyle w:val="UZEINormaln"/>
      </w:pPr>
      <w:r w:rsidRPr="007434DA">
        <w:t>Porovnáním osevů vybraných plodin v ZOD a mimo ZOD vychází, že sledované plodiny se vyskytují častěji v oblastech zranitelných dusíkem. V případě kukuřice je 68 % půdních bloků osetých kukuřicí třikrát ve sledovaném období v oblastech ZOD a zbylých 32 % je mimo ZOD, u bloků osetých dvakrát kukuřicí v čtyřletém období činí podíl ploch 65% v ZOD. V případě řepky jsou podíly na ZOD podobné. V případě opakování dvakrát za sledované období tvoří oblasti ZOD 59 % všech případů v ČR, v případě opakování třikrát za sledované období tvoří oblasti ZOD 63 % všech výskytů.</w:t>
      </w:r>
    </w:p>
    <w:p w14:paraId="10A94593" w14:textId="77777777" w:rsidR="00CB2594" w:rsidRPr="007434DA" w:rsidRDefault="00CB2594" w:rsidP="006848E5">
      <w:pPr>
        <w:pStyle w:val="UZEINormaln"/>
      </w:pPr>
      <w:r w:rsidRPr="007434DA">
        <w:t xml:space="preserve">Pro vybrané plodiny byly samostatně zpracovány mapy, kde jsou zobrazeny jen půdní bloky ležící v ZOD a zároveň oseté během čtyř let danou plodinou. Barevně je odlišen počet výskytů dané plodiny na konkrétním místě během sledovaného období. První mapa zobrazuje podrobněji lokality oseté kukuřicí v ZOD a druhá mapa (níže) pak plochy oseté řepkou. </w:t>
      </w:r>
    </w:p>
    <w:p w14:paraId="48DEC882" w14:textId="31E091E7" w:rsidR="00CB2594" w:rsidRPr="007434DA" w:rsidRDefault="00CB2594" w:rsidP="00CB2594">
      <w:pPr>
        <w:spacing w:line="360" w:lineRule="atLeast"/>
        <w:rPr>
          <w:rFonts w:cs="Times New Roman"/>
          <w:b/>
          <w:sz w:val="20"/>
          <w:szCs w:val="20"/>
          <w:lang w:val="cs-CZ"/>
        </w:rPr>
      </w:pPr>
    </w:p>
    <w:p w14:paraId="0F4A0DFB" w14:textId="27071F77" w:rsidR="006848E5" w:rsidRPr="007434DA" w:rsidRDefault="006848E5" w:rsidP="00CB2594">
      <w:pPr>
        <w:spacing w:line="360" w:lineRule="atLeast"/>
        <w:rPr>
          <w:rFonts w:cs="Times New Roman"/>
          <w:b/>
          <w:sz w:val="20"/>
          <w:szCs w:val="20"/>
          <w:lang w:val="cs-CZ"/>
        </w:rPr>
      </w:pPr>
    </w:p>
    <w:p w14:paraId="574EE46E" w14:textId="089E45C0" w:rsidR="006848E5" w:rsidRPr="007434DA" w:rsidRDefault="006848E5" w:rsidP="00CB2594">
      <w:pPr>
        <w:spacing w:line="360" w:lineRule="atLeast"/>
        <w:rPr>
          <w:rFonts w:cs="Times New Roman"/>
          <w:b/>
          <w:sz w:val="20"/>
          <w:szCs w:val="20"/>
          <w:lang w:val="cs-CZ"/>
        </w:rPr>
      </w:pPr>
    </w:p>
    <w:p w14:paraId="3AE69EE8" w14:textId="3C6B010C" w:rsidR="006848E5" w:rsidRPr="007434DA" w:rsidRDefault="006848E5" w:rsidP="00CB2594">
      <w:pPr>
        <w:spacing w:line="360" w:lineRule="atLeast"/>
        <w:rPr>
          <w:rFonts w:cs="Times New Roman"/>
          <w:b/>
          <w:sz w:val="20"/>
          <w:szCs w:val="20"/>
          <w:lang w:val="cs-CZ"/>
        </w:rPr>
      </w:pPr>
    </w:p>
    <w:p w14:paraId="7014103C" w14:textId="4CBFB6B2" w:rsidR="006848E5" w:rsidRPr="007434DA" w:rsidRDefault="006848E5" w:rsidP="00CB2594">
      <w:pPr>
        <w:spacing w:line="360" w:lineRule="atLeast"/>
        <w:rPr>
          <w:rFonts w:cs="Times New Roman"/>
          <w:b/>
          <w:sz w:val="20"/>
          <w:szCs w:val="20"/>
          <w:lang w:val="cs-CZ"/>
        </w:rPr>
      </w:pPr>
    </w:p>
    <w:p w14:paraId="71D0AFE4" w14:textId="77777777" w:rsidR="006848E5" w:rsidRPr="007434DA" w:rsidRDefault="006848E5" w:rsidP="00CB2594">
      <w:pPr>
        <w:spacing w:line="360" w:lineRule="atLeast"/>
        <w:rPr>
          <w:rFonts w:cs="Times New Roman"/>
          <w:b/>
          <w:sz w:val="20"/>
          <w:szCs w:val="20"/>
          <w:lang w:val="cs-CZ"/>
        </w:rPr>
      </w:pPr>
    </w:p>
    <w:p w14:paraId="25BEEE3B" w14:textId="77777777" w:rsidR="00CB2594" w:rsidRPr="007434DA" w:rsidRDefault="00CB2594" w:rsidP="00CB2594">
      <w:pPr>
        <w:spacing w:line="360" w:lineRule="atLeast"/>
        <w:rPr>
          <w:rFonts w:cs="Times New Roman"/>
          <w:b/>
          <w:sz w:val="20"/>
          <w:szCs w:val="20"/>
          <w:lang w:val="cs-CZ"/>
        </w:rPr>
      </w:pPr>
      <w:r w:rsidRPr="007434DA">
        <w:rPr>
          <w:rFonts w:cs="Times New Roman"/>
          <w:b/>
          <w:sz w:val="20"/>
          <w:szCs w:val="20"/>
          <w:lang w:val="cs-CZ"/>
        </w:rPr>
        <w:t xml:space="preserve">Obr. A 14 Kukuřice ve zranitelných oblastech </w:t>
      </w:r>
    </w:p>
    <w:p w14:paraId="28C62075" w14:textId="77777777" w:rsidR="00CB2594" w:rsidRPr="007434DA" w:rsidRDefault="00CB2594" w:rsidP="00CB2594">
      <w:pPr>
        <w:spacing w:after="120"/>
        <w:rPr>
          <w:rFonts w:cs="Times New Roman"/>
          <w:b/>
          <w:sz w:val="20"/>
          <w:szCs w:val="20"/>
          <w:lang w:val="cs-CZ"/>
        </w:rPr>
      </w:pPr>
      <w:r w:rsidRPr="007434DA">
        <w:rPr>
          <w:rFonts w:cs="Times New Roman"/>
          <w:noProof/>
          <w:lang w:val="cs-CZ" w:eastAsia="cs-CZ"/>
        </w:rPr>
        <w:drawing>
          <wp:inline distT="0" distB="0" distL="0" distR="0" wp14:anchorId="7323B92A" wp14:editId="3C83778B">
            <wp:extent cx="5524498" cy="3909534"/>
            <wp:effectExtent l="0" t="0" r="0" b="0"/>
            <wp:docPr id="83517133" name="Obrázek 4105" descr="Obsah obrázku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17133" name="Obrázek 4105" descr="Obsah obrázku mapa&#10;&#10;Popis byl vytvořen automaticky"/>
                    <pic:cNvPicPr/>
                  </pic:nvPicPr>
                  <pic:blipFill>
                    <a:blip r:embed="rId58">
                      <a:extLst>
                        <a:ext uri="{28A0092B-C50C-407E-A947-70E740481C1C}">
                          <a14:useLocalDpi xmlns:a14="http://schemas.microsoft.com/office/drawing/2010/main" val="0"/>
                        </a:ext>
                      </a:extLst>
                    </a:blip>
                    <a:stretch>
                      <a:fillRect/>
                    </a:stretch>
                  </pic:blipFill>
                  <pic:spPr>
                    <a:xfrm>
                      <a:off x="0" y="0"/>
                      <a:ext cx="5524498" cy="3909534"/>
                    </a:xfrm>
                    <a:prstGeom prst="rect">
                      <a:avLst/>
                    </a:prstGeom>
                  </pic:spPr>
                </pic:pic>
              </a:graphicData>
            </a:graphic>
          </wp:inline>
        </w:drawing>
      </w:r>
    </w:p>
    <w:p w14:paraId="53D7E5DF" w14:textId="77777777" w:rsidR="00CB2594" w:rsidRPr="007434DA" w:rsidRDefault="00CB2594" w:rsidP="00CB2594">
      <w:pPr>
        <w:rPr>
          <w:rFonts w:cs="Times New Roman"/>
          <w:b/>
          <w:sz w:val="20"/>
          <w:szCs w:val="20"/>
          <w:lang w:val="cs-CZ"/>
        </w:rPr>
      </w:pPr>
      <w:r w:rsidRPr="007434DA">
        <w:rPr>
          <w:rFonts w:cs="Times New Roman"/>
          <w:b/>
          <w:sz w:val="20"/>
          <w:szCs w:val="20"/>
          <w:lang w:val="cs-CZ"/>
        </w:rPr>
        <w:br w:type="page"/>
      </w:r>
    </w:p>
    <w:p w14:paraId="1C9A6CC9" w14:textId="77777777" w:rsidR="00CB2594" w:rsidRPr="007434DA" w:rsidRDefault="00CB2594" w:rsidP="00CB2594">
      <w:pPr>
        <w:spacing w:after="120"/>
        <w:rPr>
          <w:rFonts w:cs="Times New Roman"/>
          <w:b/>
          <w:sz w:val="20"/>
          <w:szCs w:val="20"/>
          <w:lang w:val="cs-CZ"/>
        </w:rPr>
      </w:pPr>
      <w:r w:rsidRPr="007434DA">
        <w:rPr>
          <w:rFonts w:cs="Times New Roman"/>
          <w:b/>
          <w:sz w:val="20"/>
          <w:szCs w:val="20"/>
          <w:lang w:val="cs-CZ"/>
        </w:rPr>
        <w:t xml:space="preserve">Obr. A 15 Řepka ve zranitelných oblastech </w:t>
      </w:r>
    </w:p>
    <w:p w14:paraId="6B4C2D83" w14:textId="77777777" w:rsidR="00CB2594" w:rsidRPr="007434DA" w:rsidRDefault="00CB2594" w:rsidP="00CB2594">
      <w:pPr>
        <w:spacing w:after="100" w:afterAutospacing="1"/>
        <w:rPr>
          <w:rFonts w:cs="Times New Roman"/>
          <w:lang w:val="cs-CZ"/>
        </w:rPr>
      </w:pPr>
      <w:r w:rsidRPr="007434DA">
        <w:rPr>
          <w:rFonts w:cs="Times New Roman"/>
          <w:noProof/>
          <w:lang w:val="cs-CZ" w:eastAsia="cs-CZ"/>
        </w:rPr>
        <w:drawing>
          <wp:inline distT="0" distB="0" distL="0" distR="0" wp14:anchorId="1A8DEFEE" wp14:editId="523A4E88">
            <wp:extent cx="5229225" cy="3313430"/>
            <wp:effectExtent l="0" t="0" r="9525" b="1270"/>
            <wp:docPr id="1591415636" name="Obrázek 4106" descr="Obsah obrázku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415636" name="Obrázek 4106" descr="Obsah obrázku mapa&#10;&#10;Popis byl vytvořen automaticky"/>
                    <pic:cNvPicPr/>
                  </pic:nvPicPr>
                  <pic:blipFill>
                    <a:blip r:embed="rId59">
                      <a:extLst>
                        <a:ext uri="{28A0092B-C50C-407E-A947-70E740481C1C}">
                          <a14:useLocalDpi xmlns:a14="http://schemas.microsoft.com/office/drawing/2010/main" val="0"/>
                        </a:ext>
                      </a:extLst>
                    </a:blip>
                    <a:stretch>
                      <a:fillRect/>
                    </a:stretch>
                  </pic:blipFill>
                  <pic:spPr>
                    <a:xfrm>
                      <a:off x="0" y="0"/>
                      <a:ext cx="5229225" cy="3313430"/>
                    </a:xfrm>
                    <a:prstGeom prst="rect">
                      <a:avLst/>
                    </a:prstGeom>
                  </pic:spPr>
                </pic:pic>
              </a:graphicData>
            </a:graphic>
          </wp:inline>
        </w:drawing>
      </w:r>
    </w:p>
    <w:p w14:paraId="647AFA44" w14:textId="77777777" w:rsidR="00CB2594" w:rsidRPr="007434DA" w:rsidRDefault="00CB2594" w:rsidP="006848E5">
      <w:pPr>
        <w:pStyle w:val="UZEIZdroj"/>
      </w:pPr>
      <w:r w:rsidRPr="007434DA">
        <w:t>Zpracovali: Podzemná, Kučera, ÚZEI, 04.06.2019</w:t>
      </w:r>
    </w:p>
    <w:p w14:paraId="5CDFF052" w14:textId="77777777" w:rsidR="00CB2594" w:rsidRPr="007434DA" w:rsidRDefault="00CB2594" w:rsidP="00CB2594">
      <w:pPr>
        <w:rPr>
          <w:rFonts w:cs="Times New Roman"/>
          <w:b/>
          <w:lang w:val="cs-CZ"/>
        </w:rPr>
      </w:pPr>
      <w:r w:rsidRPr="007434DA">
        <w:rPr>
          <w:rFonts w:cs="Times New Roman"/>
          <w:b/>
          <w:lang w:val="cs-CZ"/>
        </w:rPr>
        <w:br w:type="page"/>
      </w:r>
    </w:p>
    <w:p w14:paraId="16137007" w14:textId="77777777" w:rsidR="00CB2594" w:rsidRPr="00BB6ABF" w:rsidRDefault="00CB2594" w:rsidP="00BB6ABF">
      <w:pPr>
        <w:pStyle w:val="UZEINadpis4st"/>
      </w:pPr>
      <w:bookmarkStart w:id="382" w:name="_Toc12466385"/>
      <w:bookmarkStart w:id="383" w:name="_Toc12611806"/>
      <w:bookmarkStart w:id="384" w:name="_Toc12613472"/>
      <w:bookmarkStart w:id="385" w:name="_Toc80877923"/>
      <w:bookmarkStart w:id="386" w:name="_Toc81755647"/>
      <w:r w:rsidRPr="00BB6ABF">
        <w:t>Příloha A4 Analýza k výskytu reziduí pesticidů ve vodě</w:t>
      </w:r>
      <w:bookmarkEnd w:id="382"/>
      <w:bookmarkEnd w:id="383"/>
      <w:bookmarkEnd w:id="384"/>
      <w:bookmarkEnd w:id="385"/>
      <w:bookmarkEnd w:id="386"/>
    </w:p>
    <w:p w14:paraId="02BD8826" w14:textId="77777777" w:rsidR="00CB2594" w:rsidRPr="007434DA" w:rsidRDefault="00CB2594" w:rsidP="00D117D0">
      <w:pPr>
        <w:pStyle w:val="UZEINormaln"/>
        <w:rPr>
          <w:b/>
        </w:rPr>
      </w:pPr>
      <w:r w:rsidRPr="007434DA">
        <w:rPr>
          <w:b/>
        </w:rPr>
        <w:t>Podklad pro Společnou zemědělskou politiku (František Kocourek, Vít Kodeš 29. 4. 2019 – po připomínkách členů Vědeckého výboru fytosanitárního a životního prostředí</w:t>
      </w:r>
    </w:p>
    <w:p w14:paraId="3C1CD7D9" w14:textId="77777777" w:rsidR="00CB2594" w:rsidRPr="007434DA" w:rsidRDefault="00CB2594" w:rsidP="00CB2594">
      <w:pPr>
        <w:rPr>
          <w:rFonts w:cs="Times New Roman"/>
          <w:lang w:val="cs-CZ"/>
        </w:rPr>
      </w:pPr>
    </w:p>
    <w:p w14:paraId="39916299" w14:textId="77777777" w:rsidR="00CB2594" w:rsidRPr="007434DA" w:rsidRDefault="00CB2594" w:rsidP="00D117D0">
      <w:pPr>
        <w:pStyle w:val="UZEINormaln"/>
        <w:numPr>
          <w:ilvl w:val="0"/>
          <w:numId w:val="49"/>
        </w:numPr>
        <w:rPr>
          <w:b/>
          <w:bCs/>
        </w:rPr>
      </w:pPr>
      <w:r w:rsidRPr="007434DA">
        <w:rPr>
          <w:b/>
          <w:bCs/>
        </w:rPr>
        <w:t xml:space="preserve">Co je skutečným problémem, na který má politika v rámci jednotlivých dílčích cílů reagovat? </w:t>
      </w:r>
    </w:p>
    <w:p w14:paraId="19804BFF" w14:textId="77777777" w:rsidR="00CB2594" w:rsidRPr="007434DA" w:rsidRDefault="00CB2594" w:rsidP="00D117D0">
      <w:pPr>
        <w:pStyle w:val="UZEINormaln"/>
      </w:pPr>
      <w:r w:rsidRPr="007434DA">
        <w:t>Skutečným problémem, na který by měla nová společná zemědělská politika reagovat je ohrožení kvality pitné vody v důsledku používání přípravků na ochranu rostlin proti škodlivým organismům. V posledním období, zejména v posledních 5 letech v ČR je dokladována vysoká frekvence výskytu účinných látek reziduí pesticidů a jejich metabolitů nad legislativně stanovenými limity v pitné vodě (Příloha 1 tab. 2) a v podzemní vodě, která je významným zdrojem pitné vody (Příloha A1 tab. 1). (</w:t>
      </w:r>
      <w:r w:rsidRPr="007434DA">
        <w:rPr>
          <w:i/>
        </w:rPr>
        <w:t>Poznámka: Limitní hodnoty pro povolení POR pro toxikologicky nerelevantní metabolity jsou 10 µg/l</w:t>
      </w:r>
      <w:r w:rsidRPr="007434DA">
        <w:t xml:space="preserve">). Zvýšený výskyt reziduí pesticidů v pitné vodě vytváří řadu problémů a rizik zdravotních i ekonomických hrozeb jak pro spotřebitele vody, tak pro poskytovatele vody. </w:t>
      </w:r>
    </w:p>
    <w:p w14:paraId="69F022E4" w14:textId="77777777" w:rsidR="00CB2594" w:rsidRPr="007434DA" w:rsidRDefault="00CB2594" w:rsidP="00D117D0">
      <w:pPr>
        <w:pStyle w:val="UZEINormaln"/>
      </w:pPr>
      <w:r w:rsidRPr="007434DA">
        <w:t>V případě očekávané postupné regulace používání rizikových pesticidů pro vody ze strany Evropské komise nebude dosaženo podstatného zlepšení problému v časově přijatelném horizontu. V případě razantní regulace rizikových pesticidů by byla ohrožena ekonomická efektivnost pěstování hlavních polních plodin, jako je kukuřice a řepka. Zákaz užívání nejrizikovějších pesticidů pro pitnou vodu na národní úrovni by byl obtížný až nemožný vzhledem k jednotné legislativě členských států EU v této oblasti. Mimoto by razantní regulace nejvíce rizikových pesticidů pro pitnou vodu na národní úrovni vedla k ohrožení konkurenceschopnosti pěstitelů v ČR oproti pěstitelům z ostatních zemí EU.</w:t>
      </w:r>
    </w:p>
    <w:p w14:paraId="3C7779F1" w14:textId="77777777" w:rsidR="00CB2594" w:rsidRPr="007434DA" w:rsidRDefault="00CB2594" w:rsidP="00D117D0">
      <w:pPr>
        <w:pStyle w:val="UZEINormaln"/>
      </w:pPr>
      <w:r w:rsidRPr="007434DA">
        <w:t xml:space="preserve">V současnosti je v ČR regulace rizikových pesticidů pro vodu založena na zákazu jejich použití v II. ochranných pásmech zdrojů pitné vody. Tento zákaz je uveden na etiketě přípravku na ochranu rostlin a kontrolováno jeho dodržení orgány státního dozoru. Nadlimitní výskyty nejvíce rizikových pesticidů v podzemní i pitné vodě jsou jak ve zdrojích v ochranných pásmech, tak ve zdrojích mimo tyto pásma. Z toho plyne, že ochranná pásma jsou stanovena nedostatečně, nebo že omezení v ochranných pásmech, i pokud jsou dodržována, jsou nedostačující. Řešení problému by pak bylo možné buď plošným zákazem používání rizikových přípravků, nebo diferencovaným zákazem používání přípravků ve vytýčených rizikových nebo zranitelných oblastech. Tato analýza směřuje k intervenci založené na pozitivní motivaci pěstitelů, kteří by za přesně vymezených podmínek rizikové přípravky ve vymezených oblastech nepoužívali nebo používali jen za omezených podmínek.  </w:t>
      </w:r>
    </w:p>
    <w:p w14:paraId="4E8DE8B8" w14:textId="77777777" w:rsidR="00CB2594" w:rsidRPr="007434DA" w:rsidRDefault="00CB2594" w:rsidP="00D117D0">
      <w:pPr>
        <w:pStyle w:val="UZEINormaln"/>
        <w:rPr>
          <w:color w:val="000000" w:themeColor="text1"/>
        </w:rPr>
      </w:pPr>
      <w:r w:rsidRPr="007434DA">
        <w:t xml:space="preserve">Z analýzy vyplývá (Příloha A1 tab. A1, tab.A2), že z 6 nejčastěji zachycovaných účinných látek pesticidů a jejich metabolitů ve vodě dochází u 3 z nich k vysoké frekvenci nadlimitního výskytu a dochází tak v současném období k vytváření zátěží pro budoucnost. Problém je třeba řešit v současnosti. Významná jsou i další rizika, pokud nebude problém v rámci nové SZP ani jiným způsobem řešen. U velkých poskytovatelů pitné vody se předpokládá významné navýšení nákladů provozních i investičních na technologie odstraňování reziduí pesticidů ve vodě překračující povolené limity. To se v konečném důsledku může promítnout do ceny vody pro spotřebitele, které zástupci hlavních poskytovatelů vody odhadly až na nárůst ceny vody </w:t>
      </w:r>
      <w:r w:rsidRPr="007434DA">
        <w:rPr>
          <w:color w:val="000000" w:themeColor="text1"/>
        </w:rPr>
        <w:t>o 6 Kč za 1 m</w:t>
      </w:r>
      <w:r w:rsidRPr="007434DA">
        <w:rPr>
          <w:color w:val="000000" w:themeColor="text1"/>
          <w:vertAlign w:val="superscript"/>
        </w:rPr>
        <w:t xml:space="preserve">2 </w:t>
      </w:r>
      <w:r w:rsidRPr="007434DA">
        <w:rPr>
          <w:color w:val="000000" w:themeColor="text1"/>
        </w:rPr>
        <w:t xml:space="preserve">u jedné třetiny zdrojů pitné vody. U malých poskytovatelů, především obcí nebudou splněny technické a ekonomické podmínky takové technologie pořídit nebo provozovat. Dále se očekává, že nabude platnosti nové nařízení EU, ve kterém bude zakázáno dotovat pitnou vodu z veřejných prostředků. Z toho plyne, že na nákladech za odstranění problémů s kontaminací pitné vody se budou podílet jak poskytovatelé vody, tak spotřebitelé vody.   </w:t>
      </w:r>
    </w:p>
    <w:p w14:paraId="3525B057" w14:textId="77777777" w:rsidR="00CB2594" w:rsidRPr="007434DA" w:rsidRDefault="00CB2594" w:rsidP="00D117D0">
      <w:pPr>
        <w:pStyle w:val="UZEINormaln"/>
        <w:rPr>
          <w:color w:val="000000" w:themeColor="text1"/>
        </w:rPr>
      </w:pPr>
      <w:r w:rsidRPr="007434DA">
        <w:rPr>
          <w:color w:val="000000" w:themeColor="text1"/>
        </w:rPr>
        <w:t xml:space="preserve">EU má legislativně stanovené limity reziduí účinných látek přípravků na ochranu rostlin. Tyto limity byly stanoveny arbitrárně, jednotně pro účinné látky a většinu jejich metabolitů ve výši 0,l µg/litr bez vazby na hodnocení zdravotních rizik. Takové stanovení vychází z principu předběžné opatrnosti a zajišťuje prevenci zdravotních rizik, které by mohly nastat při výskytech reziduí účinných látek přípravků nad těmito limity. V současném období je v EU povoleno přes 350 účinných látek přípravků na ochranu rostlin. Jedná se o velmi různorodé spektrum, pokud se týká chemické struktury látek, molekulové hmotnosti, fyzikálních a chemických vlastnosti. Z tohoto důvodu ani není možné stanovit pro vodu jiné než jednotné limity reziduí.  </w:t>
      </w:r>
    </w:p>
    <w:p w14:paraId="04B7D606" w14:textId="77777777" w:rsidR="009C6613" w:rsidRPr="007434DA" w:rsidRDefault="00CB2594" w:rsidP="009C6613">
      <w:pPr>
        <w:pStyle w:val="UZEINormaln"/>
        <w:rPr>
          <w:i/>
          <w:color w:val="000000" w:themeColor="text1"/>
        </w:rPr>
      </w:pPr>
      <w:r w:rsidRPr="007434DA">
        <w:rPr>
          <w:color w:val="000000" w:themeColor="text1"/>
        </w:rPr>
        <w:t>Kontaminace povrchových a podzemních vod pesticidy byla zcela jednoznačně prokázána dlouhodobým monitoringem na celém území České republiky. Problém nejsou pouze vysoké koncentrace, které mohou dosahovat i desítek mikrogramů na litr, ale i zasažení vod širokým spektrem látek, výjimkou nejsou vzorky vod, kde byla identifikována přítomnost více než 10 různých pesticidních látek a jejich metabolitů (Příloha 1 obr. 4 a 5). O působení takovýchto koktejlů na lidské zdraví a vodní prostředí není známo vůbec nic, vzhledem k velké komplexitě problému se s výzkumem vlivu koktejlů cizorodých organických látek (kam pesticidy patří) ve světě teprve začíná, na místě je tedy třeba použít institut předběžné opatrnosti. Existují příklady, kdy princip předběžné opatrnosti nebyl v lidském konání použit s důsledkem pozdějších zdravotních následků a přehodnocení neomezeného používání daných materiálů (azbest, DDT). Vzhledem k tomu, že téměř v 95% ze 614 lokalit sledovaných na přítomnost pesticidních látek byly v období 2016 až 2017 odebrány vzorky povrchových vod obsahující rezidua alespoň jedné pesticidní látky (Příloha 1 obr. 4) a obdobně  v 60% ze 710 lokalit byla v období 2015-2017 ve vzorcích nalezena rezidua pesticidů v podzemních vodách (Příloha 1 obr. 5), je zcela na místě tento princip předběžné opatrnosti uplatňovat.</w:t>
      </w:r>
    </w:p>
    <w:p w14:paraId="36054F43" w14:textId="3899F0CE" w:rsidR="00CB2594" w:rsidRPr="007434DA" w:rsidRDefault="00CB2594" w:rsidP="009C6613">
      <w:pPr>
        <w:pStyle w:val="UZEINormaln"/>
        <w:numPr>
          <w:ilvl w:val="0"/>
          <w:numId w:val="49"/>
        </w:numPr>
        <w:rPr>
          <w:b/>
          <w:bCs/>
        </w:rPr>
      </w:pPr>
      <w:r w:rsidRPr="007434DA">
        <w:rPr>
          <w:b/>
          <w:bCs/>
        </w:rPr>
        <w:t>Jaký je mechanizmus a příčiny vzniku tohoto problému?</w:t>
      </w:r>
    </w:p>
    <w:p w14:paraId="04BE862D" w14:textId="77777777" w:rsidR="00CB2594" w:rsidRPr="007434DA" w:rsidRDefault="00CB2594" w:rsidP="009C6613">
      <w:pPr>
        <w:pStyle w:val="UZEINormaln"/>
      </w:pPr>
      <w:r w:rsidRPr="007434DA">
        <w:t xml:space="preserve">Příčinou vzniku a trvání problému je intenzivní pěstování zemědělských plodin. Přestože podíl biopotravin z ekologického režimu hospodaření event. integrované produkce postupně narůstá, nelze očekávat významné snížení ploch konvenčního intenzivního zemědělství. Při takovém způsobu pěstování zemědělských plodin je použití prostředků ochrany rostlin vůči škodlivým organismům nezbytné. Z používaných pesticidů v současnosti jsou nejvíce rizikové pro pitnou vodu prostředky učené k regulaci plevelů, herbicidy. Bez použití herbicidů dochází k vysokému zaplevelení porostů a významné výnosové depresi nejenom v roce pěstování, ale i v následujících letech v následných plodinách. Přitom pro vodu jsou riziková rezidua 6 účinných látek herbicidů a jejich metabolitů používaných v současnosti v cukrovce, řepce a kukuřici. Žádná z těchto 6 rizikových účinných látek nemá v současnosti známou méně rizikovou, dostatečně účinnou alternativně použitelnou účinnou látku. Pokud je taková náhrada účinné látky k dispozici, pak vytváří další agronomická rizika jako je nárůst zaplevelení skupinou plevelů (například heřmánkovitými pleveli v řepce) nebo rizika zvýšené selekce rezistence plevelů k jiné účinné látce herbicidu, jejíž dopady s poklesem účinnosti by byly pro pěstitele ekonomicky závažné. </w:t>
      </w:r>
    </w:p>
    <w:p w14:paraId="1C2E0EBE" w14:textId="77777777" w:rsidR="00CB2594" w:rsidRPr="007434DA" w:rsidRDefault="00CB2594" w:rsidP="009C6613">
      <w:pPr>
        <w:pStyle w:val="UZEINormaln"/>
      </w:pPr>
      <w:r w:rsidRPr="007434DA">
        <w:t xml:space="preserve">Z uvedeného sdělení vyplývá, že zákazy pro vodu rizikových přípravků nejsou možné, neboť pokud by byly prosazeny, přinesly by zemědělským podnikům významné ekonomické ztráty. Další příčinou vzniku problému je legislativně stanovená národní regulace používání pesticidů v ochranných pásmech zdrojů pitné vody, zejména v procesu povolování použití prostředků ochrany a v odborně i technicky překonaném systému vytyčení ochranných pásem zdrojů pitné vody v ČR. Povolování prostředků ochrany v zemích EU sice hodnotí i rizika přípravků pro vodu na základě poznatků vědeckých, technických o chemických a fyzikálních vlastnostech účinné látky. Pokud je třeba, je monitoring výskytu účinných látek pesticidů v pitné vodě součástí hodnocení povolení POR. Využití monitoringu skutečných výskytů účinných látek POR v pitné vodě pro účely jejich regulace v období po jejich povolení je problematické. </w:t>
      </w:r>
    </w:p>
    <w:p w14:paraId="2DF850D0" w14:textId="77777777" w:rsidR="00CB2594" w:rsidRPr="007434DA" w:rsidRDefault="00CB2594" w:rsidP="009C6613">
      <w:pPr>
        <w:pStyle w:val="UZEINormaln"/>
      </w:pPr>
      <w:r w:rsidRPr="007434DA">
        <w:t>Monitoring výskytu reziduí pesticidů ve vodě za posledních 5 let v ČR ukazuje, že nadlimitní výskyty 3 nejčastěji se vyskytujících účinných látek a jejich metabolitů se vyskytují plošně po území ČR a kopírují území pěstování plodin, ve kterých se jednotlivé typy účinných látek používají (Příloha 1 obr. 1, obr. 2 obr. 3). Přitom rozložení nadlimitních výskytů reziduí pesticidů nekopíruje vytyčená území ochranných pásem zdrojů pitné vody.</w:t>
      </w:r>
    </w:p>
    <w:p w14:paraId="2A410179" w14:textId="77777777" w:rsidR="00CB2594" w:rsidRPr="007434DA" w:rsidRDefault="00CB2594" w:rsidP="009C6613">
      <w:pPr>
        <w:pStyle w:val="UZEINormaln"/>
      </w:pPr>
      <w:r w:rsidRPr="007434DA">
        <w:t xml:space="preserve">Vzhledem k tomu, že problematické látky jsou herbicidy používané pro ošetření řepky, kukuřice a řepy, přičemž výměra těchto plodin se pohybuje v rozmezí cca 3–16 % výměry orné půdy v republice, mají v porovnání s účinnými látkami používanými pro ošetření obilovin pěstovaných na více než 50 % výměry orné půdy velmi negativní vliv na jakost podzemních vod v ČR (Příloha 1 obr. 6). Z tohoto pohledu je třeba se při ochraně vodních zdrojů (jak podzemních, tak povrchových) soustředit právě na problematické látky, zejména na  metazachlor a metolachlor. Látkou, jejíž metabolity se v podzemních vodách vyskytují nejčastěji a v nejvyšších koncentracích je chloridazon, ačkoliv se používá pouze pro ošetření řepy, tj. na vcelku malém území.  Vzhledem k tomu, že se očekává v roce 2020 zákaz použití přípravků s účinnou látkou chloridazon ze strany EU. Potom by bylo na výskyty této látky v pitné vodě pohlíženo jako na starou zátěž a cukrovka by byla vyřazena z rizikových plodin pro pitnou vodu.   </w:t>
      </w:r>
    </w:p>
    <w:p w14:paraId="1AE2447E" w14:textId="77777777" w:rsidR="00CB2594" w:rsidRPr="007434DA" w:rsidRDefault="00CB2594" w:rsidP="009C6613">
      <w:pPr>
        <w:pStyle w:val="UZEINormaln"/>
      </w:pPr>
      <w:r w:rsidRPr="007434DA">
        <w:t xml:space="preserve">Problematické herbicidy se aplikují pre-emergentně nebo v raných růstových fázích plodin. Jsou tedy aplikovány na půdní povrch, což umožňuje snadný transport do půdního profilu, kde dochází k jejich postupné metabolizaci. Tyto látky i jejich metabolity jsou v půdním profilu mobilní a jsou transportovány srážkami do povrchových i podzemních vod. Vzhledem k významné podobnosti v dynamice vyplavování chloracetamidových pesticidů do povrchových vod (Příloha 1 obr. 7), kdy po aplikaci koncentrace samotných účinných látek v tocích rychle klesají na rozdíl od jejich metabolitů, které se tvoří a hromadí v půdním profilu a jsou z něho pomalu vyplavovány (zejména ESA metabolity) do povrchových i podzemních vod v průběhu celého roku dokonce ještě 10 let po ukončení používání (alachlor), lze chloracetamidové herbicidy používané v současnosti (metazachlor, metolachlor, dimethachlor) považovat z pohledu ochrany vodních zdrojů za vysoce problematické. Dnes si takto vytváříme další budoucí „starou zátěž“, jako se stalo v případě alachloru, acetochloru nebo atrazinu. </w:t>
      </w:r>
    </w:p>
    <w:p w14:paraId="756A5ED3" w14:textId="77777777" w:rsidR="00CB2594" w:rsidRPr="007434DA" w:rsidRDefault="00CB2594" w:rsidP="009C6613">
      <w:pPr>
        <w:pStyle w:val="UZEINormaln"/>
      </w:pPr>
      <w:r w:rsidRPr="007434DA">
        <w:t xml:space="preserve">Podzemní voda by měl být nejčistší a nejméně zranitelný vodní zdroj, přesto je přes přirozenou půdní a horninovou bariéru zasažen na území ČR dominantně pesticidy (cca 60% vzorků, cca 40% vzorků překračuje prahovou hodnotu) v porovnání s jinými typickými kontaminanty pocházejícími ze zemědělství např. dusičnany, kde se procento nadlimitních vzorků dlouhodobě pohybuje okolo 11 %. Přesto v ČR nebyla implementována žádná systematická opatření pro snižování koncentrací pesticidů ve vodách na rozdíl od dusičnanů, kdy byly v ČR implementovány požadavky tzv. Nitrátové směrnice (91/767/EHS o ochraně vod před znečišťováním způsobeném dusičnany ze zemědělských zdrojů) tj. byly definovány zranitelné oblasti a opatření (Zákon o vodách 254/2001 Sb. § 32 a 33, NV 262/2012 Sb. o stanovení zranitelných oblastí a akčním programu, v aktuálním znění). Protože se jedná o analogickou problematiku (agrochemikálie a ochrana vod) jeví se jako logické implementovat v ČR podobné instituty (zranitelné oblasti, programy opatření). Významným rozdílem je, že dusičnany se chovají v prostředí konzervativně, jejich interakce s půdním prostředím se v různých půdních typech s různými vlastnostmi dramaticky neliší. Toto se zcela jistě nedá říci o pesticidech, jejichž chování v půdním prostředí a následným výskytem ve vodách se liší nejen mezi jednotlivými účinnými látkami ale i mezi jednotlivými půdními typy v závislosti na vlastnostech půdy, které řídí procesy klíčové pro následný možný transport a kontaminaci vod, zejména se jedná o obsah organické hmoty, pH, obsah jílu, popřípadě kationtovou výměnnou kapacitu, obsah CaCO3 nebo salinitu půdy. Pokud kombinace vlastností dané účinné látky a půdního prostředí způsobí, že účinná látka nebo její metabolit není v půdním profilu efektivně zadržen (sorbován na půdní materiál), (Příloha 1 obr. 8), nebo zcela rozložen (úplná metabolizace), může následně kontaminovat podzemní vody v lokalitách, kde může dojít k transportu až na hladinu podzemní vody (Příloha 1 obr. 9). Pro zabezpečení cílené ochrany podzemních vod by bylo vhodné vymezit zranitelné oblasti specifické pro každý problematický pesticid a teprve v těchto oblastech aplikovat příslušná opatření specifická pro danou látku.  V zájmu vymezení co možná nejmenší plochy pro aplikaci opatření je vhodné kombinovat zranitelné oblasti se zatížením území danou účinnou látkou pro vymezení rizikových oblastí a teprve v rizikových oblastech (Příloha 1 obr. 10), kde je potenciál dané látky kontaminovat podzemní vody velký, opatření aplikovat.  </w:t>
      </w:r>
    </w:p>
    <w:p w14:paraId="0CC4C8AE" w14:textId="77777777" w:rsidR="00CB2594" w:rsidRPr="007434DA" w:rsidRDefault="00CB2594" w:rsidP="009C6613">
      <w:pPr>
        <w:pStyle w:val="UZEINormaln"/>
      </w:pPr>
      <w:r w:rsidRPr="007434DA">
        <w:t xml:space="preserve"> Pokud již ke kontaminaci podzemní vody dojde, bude vzhledem k nízké dynamice změn koncentrací (z titulu velkého objemu zasažené vody, pomalému proudění a doplňování podzemních vod), utlumení procesů vedoucích k eliminaci látky ve vodním prostředí (vlivem nízké nebo žádné bakteriální aktivity, nízké teploty, malého okysličení, není přístup světla) náprava stavu již kontaminované vody velmi problematická. Neexistují žádné metody odstranění těchto látek v kolektoru podzemní vody (kontaminace ve vodě dobře rozpustnými látkami na velkém území) na rozdíl od metod, které se rutinně využívají pro sanaci podzemních vod zasažených průmyslovými kontaminanty (lokální znečištění). V tomto případě zbývají pouze technická opatření na straně provozovatelů vodárenských zdrojů. Z pohledu ochrany vodních zdrojů, které jsou v současnosti ohrožovány jak zemědělskou činností, tak změnou klimatu je nanejvýš vhodné přijmout preventivní opatření zamezující vstupu pesticidů do vod a nespoléhat se pouze čistě na technologická řešení. </w:t>
      </w:r>
    </w:p>
    <w:p w14:paraId="745370C8" w14:textId="77777777" w:rsidR="00CB2594" w:rsidRPr="007434DA" w:rsidRDefault="00CB2594" w:rsidP="009C6613">
      <w:pPr>
        <w:pStyle w:val="UZEINormaln"/>
      </w:pPr>
      <w:r w:rsidRPr="007434DA">
        <w:t>Z pohledu možné regulace pesticidů nejvíce rizikových pro vodu není řešení ani urychlené přehodnocení území ochranných pásem zdrojů pitné vody.  Samotné přehodnocení území ochranných pásem pitné vody je však v ČR nezbytné pro účelnou a efektivní regulaci používání přípravků na ochranu rostlin. Řada ochranný pásem zdrojů pitné vody je vytýčena z jiných důvodů, než je používání prostředků ochrany, tak zákazy používaných přípravků uváděné na etiketě je bezpředmětné a poškozuj zájmy zemědělců. Naopak používání prostředků mimo ochranná pásma zdrojů pitné vody není regulováno, přestože v podzemní i v pitné vodě jsou zaznamenány v rámci monitoringu opakované nadlimitní výskyty při vodu rizikových pesticidů a jejich metabolitů. Z těchto údajů z monitoringu pesticidů ve vodě vyplývá, že území pro cílené regulace používání rizikových látek neodpovídají územím ochranných zdrojů pitné vody a musí být vytýčeny jinak, zejména podle frekvence výskytu rizikových látek ve vodě v posledním období.</w:t>
      </w:r>
    </w:p>
    <w:p w14:paraId="21B66A75" w14:textId="23DE8462" w:rsidR="00CB2594" w:rsidRPr="007434DA" w:rsidRDefault="00CB2594" w:rsidP="009C6613">
      <w:pPr>
        <w:pStyle w:val="UZEINormaln"/>
      </w:pPr>
      <w:r w:rsidRPr="007434DA">
        <w:t xml:space="preserve"> Ze strany zástupců rezortu zdravotnictví, životního prostředí i samotných poskytovatelů pitné vody zaznívá, že zemědělec je znečišťovatelem a měl by za způsobené škody platit. Zemědělci se takovému označení brání a argumentují, že v tomto případě nemohou být považovány za znečišťovatele, protože neporušují žádná legislativně stanovená nebo doporučená opatření. Naopak se domáhají újmy po poskytovatelích vody, která jim je způsobena omezením produkce v důsledku dodržování podmínek regulace používání prostředků při hospodaření v ochranných pásmech zdrojů pitné vody. Dožadují se novely legislativy, která by jím umožnila kompenzace ekonomických ztrát v důsledku zákazu používání některých účinných látek pesticidů v ochranných pásmech. Zajištění vysoké kvality pitné vody je celospolečenským zájmem, který je obtížné až nemožné zajistit výše uvedenými změnami legislativy. </w:t>
      </w:r>
    </w:p>
    <w:p w14:paraId="6E1EDE7F" w14:textId="77777777" w:rsidR="00CB2594" w:rsidRPr="007434DA" w:rsidRDefault="00CB2594" w:rsidP="009C6613">
      <w:pPr>
        <w:pStyle w:val="UZEINormaln"/>
        <w:numPr>
          <w:ilvl w:val="0"/>
          <w:numId w:val="49"/>
        </w:numPr>
        <w:rPr>
          <w:b/>
          <w:bCs/>
        </w:rPr>
      </w:pPr>
      <w:r w:rsidRPr="007434DA">
        <w:rPr>
          <w:b/>
          <w:bCs/>
        </w:rPr>
        <w:t>Jaký je rozsah a vývojový trend daného problému a jeho příčin? Příklady:</w:t>
      </w:r>
    </w:p>
    <w:p w14:paraId="314A9FBB" w14:textId="77777777" w:rsidR="00CB2594" w:rsidRPr="007434DA" w:rsidRDefault="00CB2594" w:rsidP="009C6613">
      <w:pPr>
        <w:pStyle w:val="UZEINormaln"/>
      </w:pPr>
      <w:r w:rsidRPr="007434DA">
        <w:t xml:space="preserve">Z monitoringu výskytu reziduí pesticidů a jejich metabolitů ve vodě (Příloha A1) je zřejmé, že frekvence s nadlimitními výskyty nejvýznamnějších 3 účinných látek dosahuje okolo 30 % zdrojů. Za posledních 5 let se frekvence výskytů nejvýznamnějších 4 účinných látek a jejich metabolitů a plochy území s kontaminovanou pitnou nebo podzemní vodou nemění. To znamená, že po dobu více než 5 let dochází k možné kumulaci výskytu těchto látek v prostředí, které lze označit při kumulativním výskytu za rizika pro vytváření budoucích starých zátěží v případech, že konkrétní účinná látka bude zakázána. Vývojový trend příčin problému je také v posledních 5 letech beze změn, a pokud nebudou zavedena účinná opatření, pak lze očekávat pokračování toho trendu do budoucna. V případě přijetí opatření lze očekávat postupné zlepšení situace, s předpokládaným trendem snižování kontaminace pitné vody v horizontu do 5 let po zavedení opatření.  </w:t>
      </w:r>
    </w:p>
    <w:p w14:paraId="16DE8A80" w14:textId="77777777" w:rsidR="00CB2594" w:rsidRPr="007434DA" w:rsidRDefault="00CB2594" w:rsidP="009C6613">
      <w:pPr>
        <w:pStyle w:val="UZEINormaln"/>
      </w:pPr>
      <w:r w:rsidRPr="007434DA">
        <w:t>Problematický výskyt účinných látek přípravků na ochranu rostlin a jejich metabolitů ve vodě je podmíněn celou řadou příčin. Z nich nejvýznamnější jsou nevhodné osevní postupy, struktura pěstovaných plodin, používané technologie pěstování, omezené spektrum účinných látek přípravků pro některé plodiny a nevhodné chemické a fyzikální vlastnosti a formulace těchto přípravků. Pro kontaminaci vod pesticidy nejsou vhodné pre-emergentní aplikace (na holou půdu), které se v současné praxi preferují před postemergetními aplikacemi. Významnou příčinou jsou nevhodné způsoby hospodaření a jeho vliv na kvalitu půdy. Půda s vysokým obsahem organické hmoty přírodního původu spojeným s dobře vyvinutou strukturou půdy pozitivně ovlivňující retenční a adsorpční vlastnosti půdy. Půda by měla fungovat jako přirozená bariéra bránící vstupu pesticidů do vodního prostředí. Pro komplexní řešení problému by měla nastat změna trendu vývoje těchto příčin nebo odstranění těch nejvýznamnějších příčin ve zranitelných oblastech pro kvalitu vody.</w:t>
      </w:r>
    </w:p>
    <w:p w14:paraId="676A83C2" w14:textId="7ED8691B" w:rsidR="00CB2594" w:rsidRPr="007434DA" w:rsidRDefault="00CB2594" w:rsidP="009C6613">
      <w:pPr>
        <w:pStyle w:val="UZEINormaln"/>
      </w:pPr>
      <w:r w:rsidRPr="007434DA">
        <w:t xml:space="preserve">V důsledku nadlimitních koncentrací pesticidů a jejich metabolitů v pitných vodách byla v předchozích letech na řadě míst ze strany orgánů ochrany zdraví udělena výjimka pro provozovatele vodovodů, tyto výjimky se v letech 2016 až 2017 týkaly více jak 250 000 obyvatel, pro porovnání se výjimky z titulu nadlimitních koncentrací dusičnanů dotýkaly “pouze“ 11 000 obyvatel tj. 25 x méně než v případě pesticidů. V oblasti přírodních vod byly v povrchových vodách pesticidy a jejich metabolity nalezeny v období 2016-2017 v 95 % ze 614 sledovaných lokalit a obdobně v 60 % ze 710 lokalit byla v období 2015-2017 nalezena rezidua pesticidů v podzemních vodách, ve 40 % lokalit byla překročena limitní hodnota pro podzemní vody. Lze říci, že během posledních 5 let se situace nemění. Kontaminace vodárenských zdrojů pesticidy musela být instalací technologie pro odstraňování pesticidů (granulované aktivní uhlí) řešena mezi jinými na úpravně v Plzni (investice cca 800 milionů korun), obdobná investice se již realizuje na úpravně vody Švihov na Želivce, lze předpokládat nutnost instalace a provozu takovýchto technologií na celé řadě vodárenských zdrojů, včetně těch “ malých“, kde bude velký problém s financováním těchto investic, a nakonec i provozu. V konečném důsledku tyto náklady na odstranění pesticidů ponesou občané České republiky, když se náklady promítnou do ceny vody. </w:t>
      </w:r>
    </w:p>
    <w:p w14:paraId="7C4D97D8" w14:textId="77777777" w:rsidR="00CB2594" w:rsidRPr="007434DA" w:rsidRDefault="00CB2594" w:rsidP="009C6613">
      <w:pPr>
        <w:pStyle w:val="UZEINormaln"/>
        <w:numPr>
          <w:ilvl w:val="0"/>
          <w:numId w:val="49"/>
        </w:numPr>
        <w:rPr>
          <w:b/>
          <w:bCs/>
        </w:rPr>
      </w:pPr>
      <w:r w:rsidRPr="007434DA">
        <w:rPr>
          <w:b/>
          <w:bCs/>
        </w:rPr>
        <w:t xml:space="preserve">Jak závažný je tento problém? </w:t>
      </w:r>
    </w:p>
    <w:p w14:paraId="47C728AA" w14:textId="77777777" w:rsidR="00CB2594" w:rsidRPr="007434DA" w:rsidRDefault="00CB2594" w:rsidP="009C6613">
      <w:pPr>
        <w:pStyle w:val="UZEINormaln"/>
      </w:pPr>
      <w:r w:rsidRPr="007434DA">
        <w:t xml:space="preserve">Vysoká frekvenci výskytu reziduí pesticidů v pitné vodě je závažný problém, který vyžaduje komplexní řešení. Výskyt reziduí pesticidů ve 30 % zdrojích pitné vody překračující legislativně stanovený limit v posledních 5 letech nemění (Příloha A1 tab. 4). </w:t>
      </w:r>
    </w:p>
    <w:p w14:paraId="3E6FCA83" w14:textId="77777777" w:rsidR="00CB2594" w:rsidRPr="007434DA" w:rsidRDefault="00CB2594" w:rsidP="009C6613">
      <w:pPr>
        <w:pStyle w:val="UZEINormaln"/>
      </w:pPr>
      <w:r w:rsidRPr="007434DA">
        <w:t>Závažnost problému je dokladováno monitoringem reziduí pesticidů uvedených v Příloze 1 a dále řadou výzkumně a technicky doložitelných faktů. Například velkoplošná kontaminace povrchových vod cizorodými látkami včetně vodárenských nádrží (Švihov, Vrchlice), velkoplošná kontaminace podzemních vod včetně vodárensky využívaných zdrojů. Nasycení půdního prostředí metabolity a jejich postupné uvolňování do vod i několik let po ukončení používání dané pesticidní látky, tudíž velmi opožděná reakce vodního prostředí na případná opatření. Pro odstranění těchto látek z vody jsou nutné masivní investice do úpravárenských technologií, včetně finančně náročného provozu těchto technologií. Závažnost problému je umocněna riziky, jako jsou dosud neznámé zdravotní dopady dlouhodobé konzumace směsí různých cizorodých látek v pitné vodě.</w:t>
      </w:r>
    </w:p>
    <w:p w14:paraId="61B8EBBD" w14:textId="77777777" w:rsidR="00CB2594" w:rsidRPr="007434DA" w:rsidRDefault="00CB2594" w:rsidP="009C6613">
      <w:pPr>
        <w:pStyle w:val="UZEINormaln"/>
      </w:pPr>
      <w:r w:rsidRPr="007434DA">
        <w:t>Příčinu problémů s kontaminací reziduí pesticidů pitné vody jsou současné systémy hospodaření v krajině, zejména intenzivní technologie pěstování zemědělských plodin. Na použití přípravků na ochranu rostlin je závislá ekonomická efektivnost pěstování většiny zemědělských plodin. Zákaz používání 3 nejrizikovějších účinných látek by významně snížil ekonomickou efektivitu pěstování řepky, kukuřice a cukrovky, neboť v současnosti nejsou k dispozici alternativní, obdobně účinné jiné účinné látky přípravků, snížení výnosů by vedlo ke kolapsu a k zániku řady zemědělských podniků s dopady na omezení konkurenceschopnosti českého zemědělství.</w:t>
      </w:r>
    </w:p>
    <w:p w14:paraId="2D0F9F5C" w14:textId="2A79FD2E" w:rsidR="00CB2594" w:rsidRPr="007434DA" w:rsidRDefault="00CB2594" w:rsidP="004A083F">
      <w:pPr>
        <w:pStyle w:val="UZEINormaln"/>
      </w:pPr>
      <w:r w:rsidRPr="007434DA">
        <w:t>Závažnost problému je umocněna riziky budoucí zátěže, která bude výsledkem používání přípravků v současnosti, obdobně jak došlo k zátěži triaziny, které kontaminují pitnou vodu v současnosti řadu let po zákazu jejich používání. Neřešení problému nebo nedostatečné a opožděné řešení problému by způsobilo narůstající potřebu zvyšování nákladů poskytovatelů pitné vody na technologie odstraňující tento typ zátěže, který by se v konečném důsledku promítl do významného navýšení ceny pitné vody až u třetiny spotřebitelů.</w:t>
      </w:r>
    </w:p>
    <w:p w14:paraId="4B61557A" w14:textId="77777777" w:rsidR="00CB2594" w:rsidRPr="007434DA" w:rsidRDefault="00CB2594" w:rsidP="004A083F">
      <w:pPr>
        <w:pStyle w:val="UZEINormaln"/>
        <w:numPr>
          <w:ilvl w:val="0"/>
          <w:numId w:val="49"/>
        </w:numPr>
        <w:rPr>
          <w:b/>
          <w:bCs/>
        </w:rPr>
      </w:pPr>
      <w:r w:rsidRPr="007434DA">
        <w:rPr>
          <w:b/>
          <w:bCs/>
        </w:rPr>
        <w:t>Do jaké míry je tento problém řešen ve stávající SZP? Proč úspěšně/proč neúspěšně? Využijte existující data z hodnocení (Ex-post, průběžné atd.)</w:t>
      </w:r>
    </w:p>
    <w:p w14:paraId="0B2DA6F9" w14:textId="028E7CBB" w:rsidR="00CB2594" w:rsidRPr="007434DA" w:rsidRDefault="00CB2594" w:rsidP="004A083F">
      <w:pPr>
        <w:pStyle w:val="UZEINormaln"/>
      </w:pPr>
      <w:r w:rsidRPr="007434DA">
        <w:t xml:space="preserve">Problém nadlimitního výskytu reziduí pesticidů v pitné vodě nebyl dosud řešen v rámci jiné politiky v ČR. Úspěšné řešení je možné pouze komplexním přístupem, vedle úprav legislativy a opatřeními v rámci útvarů státní správy (ÚKZÚZ), zejména motivací zemědělců, například novým dotačním titulem v rámci nové SZP. Cílem takového dotačního titulu by bylo omezení dopadů používání přípravků na ochranu rostlin na složky životního prostředí, jako je voda, půda a biodiverzita. Takový dotační titul by zahrnoval využívání vodoochranných způsobů hospodaření a péče o půdu a krajinu nad rámec běžných zásad hospodaření, v rámci kterého by byly stanoveny podmínky pro používání rizikových přípravků na ochranu rostlin pro pitnou vodu. Za dodržování takových podmínek by v předem vymezených oblastech nezávislých na současných pásmech ochrany zdrojů pitné vody, mohl získat kompenzaci z veřejných zdrojů (SZP). Tato kompenzace by odpovídala vícenákladům za změny v technologiích pěstování a v systému hospodaření a za ztráty na produkci v důsledku používání méně účinnost prostředků a metod regulace plevelů. </w:t>
      </w:r>
    </w:p>
    <w:p w14:paraId="716B6590" w14:textId="77777777" w:rsidR="00CB2594" w:rsidRPr="007434DA" w:rsidRDefault="00CB2594" w:rsidP="004A083F">
      <w:pPr>
        <w:pStyle w:val="UZEINormaln"/>
        <w:numPr>
          <w:ilvl w:val="0"/>
          <w:numId w:val="49"/>
        </w:numPr>
        <w:rPr>
          <w:b/>
          <w:bCs/>
        </w:rPr>
      </w:pPr>
      <w:r w:rsidRPr="007434DA">
        <w:rPr>
          <w:b/>
          <w:bCs/>
        </w:rPr>
        <w:t xml:space="preserve">Je tento problém řešený také jinými politikami v ČR? </w:t>
      </w:r>
    </w:p>
    <w:p w14:paraId="40242D9D" w14:textId="77777777" w:rsidR="00CB2594" w:rsidRPr="007434DA" w:rsidRDefault="00CB2594" w:rsidP="004A083F">
      <w:pPr>
        <w:pStyle w:val="UZEINormaln"/>
      </w:pPr>
      <w:r w:rsidRPr="007434DA">
        <w:t xml:space="preserve">Problém nadlimitního výskytu reziduí pesticidů v pitné vodě nebyl dosud řešen v rámci jiné politiky v ČR. Přesto by aktualizace jednoho v současné době dotačního titulu v rámci nové SZP mohl problém alespoň částečně přispět k řešení. Jedná se o ekologické zemědělství podporované z veřejných zdrojů. Podpora je ze zdrojů PRV, tedy z EU fondů 75 % a z národních zdrojů 25 %. Podmínky podpory pro ekologické pěstování zemědělských plodin by bylo možné upravit tak, aby bylo možné využívat ekologické zemědělství na části farmy, na parcelách, ze kterých pochází kontaminace vod pesticidy v nově vymezených územích podle výsledků víceletého monitoringu reziduí pesticidů ve vodě anebo na parcelách v ochranných pásmech zdrojů pitné vody, případně i na přilehlých parcelách k těmto pásmům. Přechod na EZ by byl možný za přesně vymezených podmínek, pravděpodobně co do rozsahu ploch by byl marginální. Podmínky vymezení by zahrnovaly například pouze plochy, kde jsou ve zdrojích pitné vody opakovaně detekovány nadlimitní výskyty reziduí (rizikové oblasti) nejrizikovějších pesticidů pro vodu. Současně by byly tyto plochy z hlediska konvenčního pěstování ztrátové a ani motivační dotační titul pro omezení nejrizikovější přípravků pro pitnou vodu by této ztrátovosti nezabránil. </w:t>
      </w:r>
    </w:p>
    <w:p w14:paraId="7F48FE01" w14:textId="1F6D25B0" w:rsidR="00D0389D" w:rsidRPr="007434DA" w:rsidRDefault="00CB2594" w:rsidP="004A083F">
      <w:pPr>
        <w:pStyle w:val="UZEINormaln"/>
        <w:sectPr w:rsidR="00D0389D" w:rsidRPr="007434DA" w:rsidSect="004A57B3">
          <w:headerReference w:type="even" r:id="rId60"/>
          <w:headerReference w:type="default" r:id="rId61"/>
          <w:footerReference w:type="even" r:id="rId62"/>
          <w:footerReference w:type="default" r:id="rId63"/>
          <w:headerReference w:type="first" r:id="rId64"/>
          <w:footerReference w:type="first" r:id="rId65"/>
          <w:pgSz w:w="11906" w:h="16838"/>
          <w:pgMar w:top="1417" w:right="1417" w:bottom="1417" w:left="1418" w:header="708" w:footer="708" w:gutter="0"/>
          <w:cols w:space="708"/>
          <w:docGrid w:linePitch="360"/>
        </w:sectPr>
      </w:pPr>
      <w:r w:rsidRPr="007434DA">
        <w:t>Problematiku reziduí pesticidů ve vodě a možnostmi jejich regulace je významným problémem, který byl řešen v rámci Národního akčního plánu ke snížení používání pesticidů v České republice. V příloze A2 jsou uvedena plnění opatření v rámci NAP z předchozího období a cíle a opatření aktualizovaném NAP pro období 2018 až 2022. Navrhovaná opatření v rámci NAP nejsou podpořena jinými politikami a dosažení plánovaných cílů je tak problematické</w:t>
      </w:r>
      <w:bookmarkStart w:id="387" w:name="_Hlk15057031"/>
      <w:r w:rsidRPr="007434DA">
        <w:t>. Regulace výskytu reziduí ve vodě je řešena pouze dílčím způsobem národní legislativou, která vychází z implementace Rámcové směrnice o vodách 2000/60/ES do české legislativy.</w:t>
      </w:r>
      <w:bookmarkEnd w:id="387"/>
      <w:r w:rsidRPr="007434DA">
        <w:t xml:space="preserve"> Bez synergie mezi politikami v zemědělském a vodohospodářském, popřípadě zdravotnickém sektoru nelze dosáhnout významného zlepšení stavu ve výskytu reziduí pesticidů ve vodě. Navrhované řešení v oblasti prevence kontaminace vody pesticidy ze zemědělských vstupů je nezbytnou podmínkou řešení problému</w:t>
      </w:r>
      <w:r w:rsidR="00D0389D" w:rsidRPr="007434DA">
        <w:t>.</w:t>
      </w:r>
    </w:p>
    <w:p w14:paraId="2B621217" w14:textId="1A3432EA" w:rsidR="00D0389D" w:rsidRPr="007434DA" w:rsidRDefault="00D0389D" w:rsidP="00030616">
      <w:pPr>
        <w:pStyle w:val="UZEINadpis4st"/>
      </w:pPr>
      <w:bookmarkStart w:id="388" w:name="_Toc12613473"/>
      <w:bookmarkStart w:id="389" w:name="_Toc80877924"/>
      <w:bookmarkStart w:id="390" w:name="_Toc81755648"/>
      <w:r w:rsidRPr="007434DA">
        <w:t xml:space="preserve">Příloha B - </w:t>
      </w:r>
      <w:bookmarkEnd w:id="388"/>
      <w:bookmarkEnd w:id="389"/>
      <w:r w:rsidR="00284643">
        <w:t>WELFARE</w:t>
      </w:r>
      <w:bookmarkEnd w:id="390"/>
      <w:r w:rsidRPr="007434DA">
        <w:t xml:space="preserve"> </w:t>
      </w:r>
      <w:bookmarkStart w:id="391" w:name="_Toc80347910"/>
      <w:bookmarkStart w:id="392" w:name="_Toc80348397"/>
    </w:p>
    <w:p w14:paraId="068200E7" w14:textId="77777777" w:rsidR="00501FB8" w:rsidRPr="007434DA" w:rsidRDefault="00501FB8" w:rsidP="00501FB8">
      <w:pPr>
        <w:spacing w:before="120" w:line="360" w:lineRule="atLeast"/>
        <w:rPr>
          <w:rFonts w:cs="Times New Roman"/>
          <w:b/>
          <w:sz w:val="20"/>
          <w:szCs w:val="20"/>
          <w:lang w:val="cs-CZ"/>
        </w:rPr>
      </w:pPr>
      <w:r w:rsidRPr="007434DA">
        <w:rPr>
          <w:rFonts w:cs="Times New Roman"/>
          <w:b/>
          <w:sz w:val="20"/>
          <w:szCs w:val="20"/>
          <w:lang w:val="cs-CZ"/>
        </w:rPr>
        <w:t>Příloha B.1: Chov skotu – identifikace hlavních problémů a jejich příčin podle jednotlivých kategorií</w:t>
      </w:r>
    </w:p>
    <w:tbl>
      <w:tblPr>
        <w:tblW w:w="14817" w:type="dxa"/>
        <w:tblInd w:w="-5" w:type="dxa"/>
        <w:tblCellMar>
          <w:left w:w="70" w:type="dxa"/>
          <w:right w:w="70" w:type="dxa"/>
        </w:tblCellMar>
        <w:tblLook w:val="04A0" w:firstRow="1" w:lastRow="0" w:firstColumn="1" w:lastColumn="0" w:noHBand="0" w:noVBand="1"/>
      </w:tblPr>
      <w:tblGrid>
        <w:gridCol w:w="1307"/>
        <w:gridCol w:w="1622"/>
        <w:gridCol w:w="2131"/>
        <w:gridCol w:w="5294"/>
        <w:gridCol w:w="4463"/>
      </w:tblGrid>
      <w:tr w:rsidR="00501FB8" w:rsidRPr="0005469C" w14:paraId="122CC0CD" w14:textId="77777777" w:rsidTr="004A57B3">
        <w:trPr>
          <w:trHeight w:val="945"/>
        </w:trPr>
        <w:tc>
          <w:tcPr>
            <w:tcW w:w="1307" w:type="dxa"/>
            <w:tcBorders>
              <w:top w:val="single" w:sz="4" w:space="0" w:color="auto"/>
              <w:left w:val="single" w:sz="4" w:space="0" w:color="auto"/>
              <w:bottom w:val="single" w:sz="4" w:space="0" w:color="auto"/>
              <w:right w:val="single" w:sz="4" w:space="0" w:color="auto"/>
            </w:tcBorders>
            <w:shd w:val="clear" w:color="000000" w:fill="B4C6E7"/>
            <w:vAlign w:val="center"/>
            <w:hideMark/>
          </w:tcPr>
          <w:p w14:paraId="44696061" w14:textId="77777777" w:rsidR="00501FB8" w:rsidRPr="007434DA" w:rsidRDefault="00501FB8" w:rsidP="004A57B3">
            <w:pPr>
              <w:jc w:val="center"/>
              <w:rPr>
                <w:rFonts w:cs="Calibri"/>
                <w:b/>
                <w:bCs/>
                <w:color w:val="000000"/>
                <w:sz w:val="18"/>
                <w:szCs w:val="18"/>
                <w:lang w:val="cs-CZ"/>
              </w:rPr>
            </w:pPr>
            <w:r w:rsidRPr="007434DA">
              <w:rPr>
                <w:rFonts w:cs="Calibri"/>
                <w:b/>
                <w:bCs/>
                <w:color w:val="000000"/>
                <w:sz w:val="18"/>
                <w:szCs w:val="18"/>
                <w:lang w:val="cs-CZ"/>
              </w:rPr>
              <w:t>Kategorie</w:t>
            </w:r>
          </w:p>
        </w:tc>
        <w:tc>
          <w:tcPr>
            <w:tcW w:w="1622" w:type="dxa"/>
            <w:tcBorders>
              <w:top w:val="single" w:sz="4" w:space="0" w:color="auto"/>
              <w:left w:val="nil"/>
              <w:bottom w:val="single" w:sz="4" w:space="0" w:color="auto"/>
              <w:right w:val="single" w:sz="4" w:space="0" w:color="auto"/>
            </w:tcBorders>
            <w:shd w:val="clear" w:color="000000" w:fill="B4C6E7"/>
            <w:vAlign w:val="center"/>
            <w:hideMark/>
          </w:tcPr>
          <w:p w14:paraId="19A34780" w14:textId="77777777" w:rsidR="00501FB8" w:rsidRPr="007434DA" w:rsidRDefault="00501FB8" w:rsidP="004A57B3">
            <w:pPr>
              <w:jc w:val="center"/>
              <w:rPr>
                <w:rFonts w:cs="Calibri"/>
                <w:b/>
                <w:bCs/>
                <w:color w:val="000000"/>
                <w:sz w:val="18"/>
                <w:szCs w:val="18"/>
                <w:lang w:val="cs-CZ"/>
              </w:rPr>
            </w:pPr>
            <w:r w:rsidRPr="007434DA">
              <w:rPr>
                <w:rFonts w:cs="Calibri"/>
                <w:b/>
                <w:bCs/>
                <w:color w:val="000000"/>
                <w:sz w:val="18"/>
                <w:szCs w:val="18"/>
                <w:lang w:val="cs-CZ"/>
              </w:rPr>
              <w:t>Stavy celkem</w:t>
            </w:r>
          </w:p>
        </w:tc>
        <w:tc>
          <w:tcPr>
            <w:tcW w:w="2131" w:type="dxa"/>
            <w:tcBorders>
              <w:top w:val="single" w:sz="4" w:space="0" w:color="auto"/>
              <w:left w:val="nil"/>
              <w:bottom w:val="single" w:sz="4" w:space="0" w:color="auto"/>
              <w:right w:val="single" w:sz="4" w:space="0" w:color="auto"/>
            </w:tcBorders>
            <w:shd w:val="clear" w:color="000000" w:fill="B4C6E7"/>
            <w:vAlign w:val="center"/>
            <w:hideMark/>
          </w:tcPr>
          <w:p w14:paraId="27FAC04F" w14:textId="77777777" w:rsidR="00501FB8" w:rsidRPr="007434DA" w:rsidRDefault="00501FB8" w:rsidP="004A57B3">
            <w:pPr>
              <w:jc w:val="center"/>
              <w:rPr>
                <w:rFonts w:cs="Calibri"/>
                <w:b/>
                <w:bCs/>
                <w:color w:val="000000"/>
                <w:sz w:val="18"/>
                <w:szCs w:val="18"/>
                <w:lang w:val="cs-CZ"/>
              </w:rPr>
            </w:pPr>
            <w:r w:rsidRPr="007434DA">
              <w:rPr>
                <w:rFonts w:cs="Calibri"/>
                <w:b/>
                <w:bCs/>
                <w:color w:val="000000"/>
                <w:sz w:val="18"/>
                <w:szCs w:val="18"/>
                <w:lang w:val="cs-CZ"/>
              </w:rPr>
              <w:t>Hlavní problémy</w:t>
            </w:r>
          </w:p>
        </w:tc>
        <w:tc>
          <w:tcPr>
            <w:tcW w:w="5294" w:type="dxa"/>
            <w:tcBorders>
              <w:top w:val="single" w:sz="4" w:space="0" w:color="auto"/>
              <w:left w:val="nil"/>
              <w:bottom w:val="single" w:sz="4" w:space="0" w:color="auto"/>
              <w:right w:val="single" w:sz="4" w:space="0" w:color="auto"/>
            </w:tcBorders>
            <w:shd w:val="clear" w:color="000000" w:fill="B4C6E7"/>
            <w:vAlign w:val="center"/>
            <w:hideMark/>
          </w:tcPr>
          <w:p w14:paraId="59B06320" w14:textId="77777777" w:rsidR="00501FB8" w:rsidRPr="007434DA" w:rsidRDefault="00501FB8" w:rsidP="004A57B3">
            <w:pPr>
              <w:jc w:val="center"/>
              <w:rPr>
                <w:rFonts w:cs="Calibri"/>
                <w:b/>
                <w:bCs/>
                <w:color w:val="000000"/>
                <w:sz w:val="18"/>
                <w:szCs w:val="18"/>
                <w:lang w:val="cs-CZ"/>
              </w:rPr>
            </w:pPr>
            <w:r w:rsidRPr="007434DA">
              <w:rPr>
                <w:rFonts w:cs="Calibri"/>
                <w:b/>
                <w:bCs/>
                <w:color w:val="000000"/>
                <w:sz w:val="18"/>
                <w:szCs w:val="18"/>
                <w:lang w:val="cs-CZ"/>
              </w:rPr>
              <w:t>Příčina problému</w:t>
            </w:r>
          </w:p>
        </w:tc>
        <w:tc>
          <w:tcPr>
            <w:tcW w:w="4463" w:type="dxa"/>
            <w:tcBorders>
              <w:top w:val="single" w:sz="4" w:space="0" w:color="auto"/>
              <w:left w:val="nil"/>
              <w:bottom w:val="single" w:sz="4" w:space="0" w:color="auto"/>
              <w:right w:val="single" w:sz="4" w:space="0" w:color="auto"/>
            </w:tcBorders>
            <w:shd w:val="clear" w:color="000000" w:fill="B4C6E7"/>
            <w:vAlign w:val="center"/>
            <w:hideMark/>
          </w:tcPr>
          <w:p w14:paraId="5ED7A6F4" w14:textId="77777777" w:rsidR="00501FB8" w:rsidRPr="007434DA" w:rsidRDefault="00501FB8" w:rsidP="004A57B3">
            <w:pPr>
              <w:jc w:val="center"/>
              <w:rPr>
                <w:rFonts w:cs="Calibri"/>
                <w:b/>
                <w:bCs/>
                <w:color w:val="000000"/>
                <w:sz w:val="18"/>
                <w:szCs w:val="18"/>
                <w:lang w:val="cs-CZ"/>
              </w:rPr>
            </w:pPr>
            <w:r w:rsidRPr="007434DA">
              <w:rPr>
                <w:rFonts w:cs="Calibri"/>
                <w:b/>
                <w:bCs/>
                <w:color w:val="000000"/>
                <w:sz w:val="18"/>
                <w:szCs w:val="18"/>
                <w:lang w:val="cs-CZ"/>
              </w:rPr>
              <w:t>Dopad (podíl zasažených zvířat/chovů)</w:t>
            </w:r>
          </w:p>
        </w:tc>
      </w:tr>
      <w:tr w:rsidR="00501FB8" w:rsidRPr="0005469C" w14:paraId="7041B74A" w14:textId="77777777" w:rsidTr="004A57B3">
        <w:trPr>
          <w:trHeight w:val="812"/>
        </w:trPr>
        <w:tc>
          <w:tcPr>
            <w:tcW w:w="1307" w:type="dxa"/>
            <w:vMerge w:val="restart"/>
            <w:tcBorders>
              <w:top w:val="nil"/>
              <w:left w:val="single" w:sz="4" w:space="0" w:color="auto"/>
              <w:bottom w:val="single" w:sz="4" w:space="0" w:color="auto"/>
              <w:right w:val="single" w:sz="4" w:space="0" w:color="auto"/>
            </w:tcBorders>
            <w:shd w:val="clear" w:color="auto" w:fill="auto"/>
            <w:vAlign w:val="center"/>
            <w:hideMark/>
          </w:tcPr>
          <w:p w14:paraId="59ED2A00" w14:textId="77777777" w:rsidR="00501FB8" w:rsidRPr="007434DA" w:rsidRDefault="00501FB8" w:rsidP="004A57B3">
            <w:pPr>
              <w:jc w:val="center"/>
              <w:rPr>
                <w:rFonts w:cstheme="minorHAnsi"/>
                <w:b/>
                <w:bCs/>
                <w:sz w:val="18"/>
                <w:szCs w:val="18"/>
                <w:lang w:val="cs-CZ"/>
              </w:rPr>
            </w:pPr>
            <w:r w:rsidRPr="007434DA">
              <w:rPr>
                <w:rFonts w:cstheme="minorHAnsi"/>
                <w:b/>
                <w:sz w:val="18"/>
                <w:szCs w:val="18"/>
                <w:lang w:val="cs-CZ"/>
              </w:rPr>
              <w:t>Telata (do 6. měsíce věku včetně)</w:t>
            </w:r>
          </w:p>
        </w:tc>
        <w:tc>
          <w:tcPr>
            <w:tcW w:w="1622" w:type="dxa"/>
            <w:vMerge w:val="restart"/>
            <w:tcBorders>
              <w:top w:val="nil"/>
              <w:left w:val="single" w:sz="4" w:space="0" w:color="auto"/>
              <w:bottom w:val="single" w:sz="4" w:space="0" w:color="auto"/>
              <w:right w:val="single" w:sz="4" w:space="0" w:color="auto"/>
            </w:tcBorders>
            <w:shd w:val="clear" w:color="auto" w:fill="auto"/>
            <w:vAlign w:val="center"/>
            <w:hideMark/>
          </w:tcPr>
          <w:p w14:paraId="7A711E4F" w14:textId="77777777" w:rsidR="00501FB8" w:rsidRPr="007434DA" w:rsidRDefault="00501FB8" w:rsidP="004A57B3">
            <w:pPr>
              <w:jc w:val="center"/>
              <w:rPr>
                <w:rFonts w:cstheme="minorHAnsi"/>
                <w:color w:val="000000"/>
                <w:sz w:val="18"/>
                <w:szCs w:val="18"/>
                <w:lang w:val="cs-CZ"/>
              </w:rPr>
            </w:pPr>
            <w:r w:rsidRPr="007434DA">
              <w:rPr>
                <w:rFonts w:cstheme="minorHAnsi"/>
                <w:color w:val="000000"/>
                <w:sz w:val="18"/>
                <w:szCs w:val="18"/>
                <w:lang w:val="cs-CZ"/>
              </w:rPr>
              <w:t>Stav 2017: 406 688 ks; z toho v ekologickém režimu odhad 31 tis. ks</w:t>
            </w:r>
            <w:r w:rsidRPr="007434DA">
              <w:rPr>
                <w:rFonts w:cstheme="minorHAnsi"/>
                <w:sz w:val="18"/>
                <w:szCs w:val="18"/>
                <w:lang w:val="cs-CZ"/>
              </w:rPr>
              <w:t xml:space="preserve"> (zahrnuje telata i od KBTPM)</w:t>
            </w:r>
          </w:p>
        </w:tc>
        <w:tc>
          <w:tcPr>
            <w:tcW w:w="2131" w:type="dxa"/>
            <w:tcBorders>
              <w:top w:val="nil"/>
              <w:left w:val="nil"/>
              <w:bottom w:val="single" w:sz="4" w:space="0" w:color="auto"/>
              <w:right w:val="single" w:sz="4" w:space="0" w:color="auto"/>
            </w:tcBorders>
            <w:shd w:val="clear" w:color="auto" w:fill="auto"/>
            <w:vAlign w:val="center"/>
            <w:hideMark/>
          </w:tcPr>
          <w:p w14:paraId="60A4B482" w14:textId="77777777" w:rsidR="00501FB8" w:rsidRPr="007434DA" w:rsidRDefault="00501FB8" w:rsidP="004A57B3">
            <w:pPr>
              <w:rPr>
                <w:rFonts w:cstheme="minorHAnsi"/>
                <w:color w:val="000000"/>
                <w:sz w:val="18"/>
                <w:szCs w:val="18"/>
                <w:lang w:val="cs-CZ"/>
              </w:rPr>
            </w:pPr>
            <w:r w:rsidRPr="007434DA">
              <w:rPr>
                <w:rFonts w:cstheme="minorHAnsi"/>
                <w:color w:val="000000"/>
                <w:sz w:val="18"/>
                <w:szCs w:val="18"/>
                <w:lang w:val="cs-CZ"/>
              </w:rPr>
              <w:t>1) Odrohování telat bez anestezie</w:t>
            </w:r>
          </w:p>
        </w:tc>
        <w:tc>
          <w:tcPr>
            <w:tcW w:w="5294" w:type="dxa"/>
            <w:tcBorders>
              <w:top w:val="nil"/>
              <w:left w:val="nil"/>
              <w:bottom w:val="single" w:sz="4" w:space="0" w:color="auto"/>
              <w:right w:val="single" w:sz="4" w:space="0" w:color="auto"/>
            </w:tcBorders>
            <w:shd w:val="clear" w:color="auto" w:fill="auto"/>
            <w:hideMark/>
          </w:tcPr>
          <w:p w14:paraId="29ADCA27" w14:textId="77777777" w:rsidR="00501FB8" w:rsidRPr="007434DA" w:rsidRDefault="00501FB8" w:rsidP="004A57B3">
            <w:pPr>
              <w:rPr>
                <w:rFonts w:cstheme="minorHAnsi"/>
                <w:color w:val="000000"/>
                <w:sz w:val="18"/>
                <w:szCs w:val="18"/>
                <w:lang w:val="cs-CZ"/>
              </w:rPr>
            </w:pPr>
            <w:r w:rsidRPr="007434DA">
              <w:rPr>
                <w:rFonts w:cstheme="minorHAnsi"/>
                <w:color w:val="000000"/>
                <w:sz w:val="18"/>
                <w:szCs w:val="18"/>
                <w:lang w:val="cs-CZ"/>
              </w:rPr>
              <w:t xml:space="preserve">1) Do 1 měsíce je povoleno provádět odrohování bez použití přípravku k anestezii před a po zákroku, jedná se o velmi bolestivý zákrok </w:t>
            </w:r>
          </w:p>
        </w:tc>
        <w:tc>
          <w:tcPr>
            <w:tcW w:w="4463" w:type="dxa"/>
            <w:tcBorders>
              <w:top w:val="nil"/>
              <w:left w:val="nil"/>
              <w:bottom w:val="single" w:sz="4" w:space="0" w:color="auto"/>
              <w:right w:val="single" w:sz="4" w:space="0" w:color="auto"/>
            </w:tcBorders>
            <w:shd w:val="clear" w:color="auto" w:fill="auto"/>
            <w:hideMark/>
          </w:tcPr>
          <w:p w14:paraId="0B30F55D" w14:textId="77777777" w:rsidR="00501FB8" w:rsidRPr="007434DA" w:rsidRDefault="00501FB8" w:rsidP="004A57B3">
            <w:pPr>
              <w:rPr>
                <w:rFonts w:cstheme="minorHAnsi"/>
                <w:sz w:val="18"/>
                <w:szCs w:val="18"/>
                <w:lang w:val="cs-CZ"/>
              </w:rPr>
            </w:pPr>
            <w:r w:rsidRPr="007434DA">
              <w:rPr>
                <w:rFonts w:cstheme="minorHAnsi"/>
                <w:sz w:val="18"/>
                <w:szCs w:val="18"/>
                <w:lang w:val="cs-CZ"/>
              </w:rPr>
              <w:t>1) Odrohování (studie Staněk 2014): ze 167 chovů je odrohování prováděno ve více než 95 % případů. Přičemž 47 % chovů odrohovává do 4. týdne věku, 29 % v rozmezí 5 až 7 týdnů a 24 % ve více než 8 týdnech.</w:t>
            </w:r>
          </w:p>
        </w:tc>
      </w:tr>
      <w:tr w:rsidR="00501FB8" w:rsidRPr="0005469C" w14:paraId="51182A05" w14:textId="77777777" w:rsidTr="004A57B3">
        <w:trPr>
          <w:trHeight w:val="1051"/>
        </w:trPr>
        <w:tc>
          <w:tcPr>
            <w:tcW w:w="1307" w:type="dxa"/>
            <w:vMerge/>
            <w:tcBorders>
              <w:top w:val="nil"/>
              <w:left w:val="single" w:sz="4" w:space="0" w:color="auto"/>
              <w:bottom w:val="single" w:sz="4" w:space="0" w:color="auto"/>
              <w:right w:val="single" w:sz="4" w:space="0" w:color="auto"/>
            </w:tcBorders>
            <w:vAlign w:val="center"/>
            <w:hideMark/>
          </w:tcPr>
          <w:p w14:paraId="24218F2A" w14:textId="77777777" w:rsidR="00501FB8" w:rsidRPr="007434DA" w:rsidRDefault="00501FB8" w:rsidP="004A57B3">
            <w:pPr>
              <w:rPr>
                <w:rFonts w:cstheme="minorHAnsi"/>
                <w:b/>
                <w:bCs/>
                <w:sz w:val="18"/>
                <w:szCs w:val="18"/>
                <w:lang w:val="cs-CZ"/>
              </w:rPr>
            </w:pPr>
          </w:p>
        </w:tc>
        <w:tc>
          <w:tcPr>
            <w:tcW w:w="1622" w:type="dxa"/>
            <w:vMerge/>
            <w:tcBorders>
              <w:top w:val="nil"/>
              <w:left w:val="single" w:sz="4" w:space="0" w:color="auto"/>
              <w:bottom w:val="single" w:sz="4" w:space="0" w:color="auto"/>
              <w:right w:val="single" w:sz="4" w:space="0" w:color="auto"/>
            </w:tcBorders>
            <w:vAlign w:val="center"/>
            <w:hideMark/>
          </w:tcPr>
          <w:p w14:paraId="367E0CB5" w14:textId="77777777" w:rsidR="00501FB8" w:rsidRPr="007434DA" w:rsidRDefault="00501FB8" w:rsidP="004A57B3">
            <w:pPr>
              <w:rPr>
                <w:rFonts w:cstheme="minorHAnsi"/>
                <w:color w:val="000000"/>
                <w:sz w:val="18"/>
                <w:szCs w:val="18"/>
                <w:lang w:val="cs-CZ"/>
              </w:rPr>
            </w:pPr>
          </w:p>
        </w:tc>
        <w:tc>
          <w:tcPr>
            <w:tcW w:w="2131" w:type="dxa"/>
            <w:tcBorders>
              <w:top w:val="nil"/>
              <w:left w:val="nil"/>
              <w:bottom w:val="single" w:sz="4" w:space="0" w:color="auto"/>
              <w:right w:val="single" w:sz="4" w:space="0" w:color="auto"/>
            </w:tcBorders>
            <w:shd w:val="clear" w:color="auto" w:fill="auto"/>
            <w:vAlign w:val="center"/>
          </w:tcPr>
          <w:p w14:paraId="1CBA5C6A" w14:textId="77777777" w:rsidR="00501FB8" w:rsidRPr="007434DA" w:rsidRDefault="00501FB8" w:rsidP="004A57B3">
            <w:pPr>
              <w:rPr>
                <w:rFonts w:cstheme="minorHAnsi"/>
                <w:color w:val="000000"/>
                <w:sz w:val="18"/>
                <w:szCs w:val="18"/>
                <w:lang w:val="cs-CZ"/>
              </w:rPr>
            </w:pPr>
          </w:p>
        </w:tc>
        <w:tc>
          <w:tcPr>
            <w:tcW w:w="5294" w:type="dxa"/>
            <w:tcBorders>
              <w:top w:val="nil"/>
              <w:left w:val="nil"/>
              <w:bottom w:val="single" w:sz="4" w:space="0" w:color="auto"/>
              <w:right w:val="single" w:sz="4" w:space="0" w:color="auto"/>
            </w:tcBorders>
            <w:shd w:val="clear" w:color="auto" w:fill="auto"/>
          </w:tcPr>
          <w:p w14:paraId="34780E1F" w14:textId="77777777" w:rsidR="00501FB8" w:rsidRPr="007434DA" w:rsidRDefault="00501FB8" w:rsidP="004A57B3">
            <w:pPr>
              <w:rPr>
                <w:rFonts w:cstheme="minorHAnsi"/>
                <w:color w:val="000000"/>
                <w:sz w:val="18"/>
                <w:szCs w:val="18"/>
                <w:lang w:val="cs-CZ"/>
              </w:rPr>
            </w:pPr>
          </w:p>
        </w:tc>
        <w:tc>
          <w:tcPr>
            <w:tcW w:w="4463" w:type="dxa"/>
            <w:tcBorders>
              <w:top w:val="nil"/>
              <w:left w:val="nil"/>
              <w:bottom w:val="single" w:sz="4" w:space="0" w:color="auto"/>
              <w:right w:val="single" w:sz="4" w:space="0" w:color="auto"/>
            </w:tcBorders>
            <w:shd w:val="clear" w:color="auto" w:fill="auto"/>
          </w:tcPr>
          <w:p w14:paraId="7CC29D44" w14:textId="77777777" w:rsidR="00501FB8" w:rsidRPr="007434DA" w:rsidRDefault="00501FB8" w:rsidP="004A57B3">
            <w:pPr>
              <w:rPr>
                <w:rFonts w:cstheme="minorHAnsi"/>
                <w:color w:val="000000"/>
                <w:sz w:val="18"/>
                <w:szCs w:val="18"/>
                <w:lang w:val="cs-CZ"/>
              </w:rPr>
            </w:pPr>
          </w:p>
        </w:tc>
      </w:tr>
      <w:tr w:rsidR="00501FB8" w:rsidRPr="0005469C" w14:paraId="16FC5211" w14:textId="77777777" w:rsidTr="004A57B3">
        <w:trPr>
          <w:trHeight w:val="795"/>
        </w:trPr>
        <w:tc>
          <w:tcPr>
            <w:tcW w:w="1307" w:type="dxa"/>
            <w:vMerge/>
            <w:tcBorders>
              <w:top w:val="nil"/>
              <w:left w:val="single" w:sz="4" w:space="0" w:color="auto"/>
              <w:bottom w:val="single" w:sz="4" w:space="0" w:color="auto"/>
              <w:right w:val="single" w:sz="4" w:space="0" w:color="auto"/>
            </w:tcBorders>
            <w:vAlign w:val="center"/>
            <w:hideMark/>
          </w:tcPr>
          <w:p w14:paraId="2710E672" w14:textId="77777777" w:rsidR="00501FB8" w:rsidRPr="007434DA" w:rsidRDefault="00501FB8" w:rsidP="004A57B3">
            <w:pPr>
              <w:rPr>
                <w:rFonts w:cstheme="minorHAnsi"/>
                <w:b/>
                <w:bCs/>
                <w:sz w:val="18"/>
                <w:szCs w:val="18"/>
                <w:lang w:val="cs-CZ"/>
              </w:rPr>
            </w:pPr>
          </w:p>
        </w:tc>
        <w:tc>
          <w:tcPr>
            <w:tcW w:w="1622" w:type="dxa"/>
            <w:vMerge/>
            <w:tcBorders>
              <w:top w:val="nil"/>
              <w:left w:val="single" w:sz="4" w:space="0" w:color="auto"/>
              <w:bottom w:val="single" w:sz="4" w:space="0" w:color="auto"/>
              <w:right w:val="single" w:sz="4" w:space="0" w:color="auto"/>
            </w:tcBorders>
            <w:vAlign w:val="center"/>
            <w:hideMark/>
          </w:tcPr>
          <w:p w14:paraId="4E657B14" w14:textId="77777777" w:rsidR="00501FB8" w:rsidRPr="007434DA" w:rsidRDefault="00501FB8" w:rsidP="004A57B3">
            <w:pPr>
              <w:rPr>
                <w:rFonts w:cstheme="minorHAnsi"/>
                <w:color w:val="000000"/>
                <w:sz w:val="18"/>
                <w:szCs w:val="18"/>
                <w:lang w:val="cs-CZ"/>
              </w:rPr>
            </w:pPr>
          </w:p>
        </w:tc>
        <w:tc>
          <w:tcPr>
            <w:tcW w:w="2131" w:type="dxa"/>
            <w:tcBorders>
              <w:top w:val="nil"/>
              <w:left w:val="nil"/>
              <w:bottom w:val="single" w:sz="4" w:space="0" w:color="auto"/>
              <w:right w:val="single" w:sz="4" w:space="0" w:color="auto"/>
            </w:tcBorders>
            <w:shd w:val="clear" w:color="auto" w:fill="auto"/>
            <w:vAlign w:val="center"/>
            <w:hideMark/>
          </w:tcPr>
          <w:p w14:paraId="262F9C0A" w14:textId="77777777" w:rsidR="00501FB8" w:rsidRPr="007434DA" w:rsidRDefault="00501FB8" w:rsidP="004A57B3">
            <w:pPr>
              <w:rPr>
                <w:rFonts w:cstheme="minorHAnsi"/>
                <w:color w:val="000000"/>
                <w:sz w:val="18"/>
                <w:szCs w:val="18"/>
                <w:lang w:val="cs-CZ"/>
              </w:rPr>
            </w:pPr>
            <w:r w:rsidRPr="007434DA">
              <w:rPr>
                <w:rFonts w:cstheme="minorHAnsi"/>
                <w:color w:val="000000"/>
                <w:sz w:val="18"/>
                <w:szCs w:val="18"/>
                <w:lang w:val="cs-CZ"/>
              </w:rPr>
              <w:t>2) Podchlazení a onemocnění telat dojeného skotu a zvýšený výskyt hmyzu v ustájovacích prostorách telat</w:t>
            </w:r>
          </w:p>
        </w:tc>
        <w:tc>
          <w:tcPr>
            <w:tcW w:w="5294" w:type="dxa"/>
            <w:tcBorders>
              <w:top w:val="nil"/>
              <w:left w:val="nil"/>
              <w:bottom w:val="single" w:sz="4" w:space="0" w:color="auto"/>
              <w:right w:val="single" w:sz="4" w:space="0" w:color="auto"/>
            </w:tcBorders>
            <w:shd w:val="clear" w:color="auto" w:fill="auto"/>
            <w:hideMark/>
          </w:tcPr>
          <w:p w14:paraId="0B81E315" w14:textId="77777777" w:rsidR="00501FB8" w:rsidRPr="007434DA" w:rsidRDefault="00501FB8" w:rsidP="004A57B3">
            <w:pPr>
              <w:rPr>
                <w:rFonts w:cstheme="minorHAnsi"/>
                <w:color w:val="000000"/>
                <w:sz w:val="18"/>
                <w:szCs w:val="18"/>
                <w:lang w:val="cs-CZ"/>
              </w:rPr>
            </w:pPr>
            <w:r w:rsidRPr="007434DA">
              <w:rPr>
                <w:rFonts w:cstheme="minorHAnsi"/>
                <w:color w:val="000000"/>
                <w:sz w:val="18"/>
                <w:szCs w:val="18"/>
                <w:lang w:val="cs-CZ"/>
              </w:rPr>
              <w:t>2) Odchov telat do 8. týdne věku probíhá převážně ve venkovních individuálních boudách. Zde nedochází k pravidelnému (min. 1x za měsíc) odstranění znečištěné podestýlky Negativní působení této skutečnosti na zdravotní stav a pohodu ustájených telat lze snížit alkalizací podestýlky a využitím přípravků pro eliminaci nežádoucího hmyzu - eliminace onemocnění, podchlazení, výskyt hmyzu.</w:t>
            </w:r>
          </w:p>
        </w:tc>
        <w:tc>
          <w:tcPr>
            <w:tcW w:w="4463" w:type="dxa"/>
            <w:tcBorders>
              <w:top w:val="nil"/>
              <w:left w:val="nil"/>
              <w:bottom w:val="single" w:sz="4" w:space="0" w:color="auto"/>
              <w:right w:val="single" w:sz="4" w:space="0" w:color="auto"/>
            </w:tcBorders>
            <w:shd w:val="clear" w:color="auto" w:fill="auto"/>
            <w:hideMark/>
          </w:tcPr>
          <w:p w14:paraId="10F15FFE" w14:textId="77777777" w:rsidR="00501FB8" w:rsidRPr="007434DA" w:rsidRDefault="00501FB8" w:rsidP="004A57B3">
            <w:pPr>
              <w:rPr>
                <w:rFonts w:cstheme="minorHAnsi"/>
                <w:color w:val="000000"/>
                <w:sz w:val="18"/>
                <w:szCs w:val="18"/>
                <w:lang w:val="cs-CZ"/>
              </w:rPr>
            </w:pPr>
            <w:r w:rsidRPr="007434DA">
              <w:rPr>
                <w:rFonts w:cstheme="minorHAnsi"/>
                <w:color w:val="000000"/>
                <w:sz w:val="18"/>
                <w:szCs w:val="18"/>
                <w:lang w:val="cs-CZ"/>
              </w:rPr>
              <w:t xml:space="preserve">2) Výměna podestýlky (studie Staněk 2014): ze 167 chovů je v 92 % chovů výměna podestýlky prováděna až po odstavu telat. </w:t>
            </w:r>
          </w:p>
        </w:tc>
      </w:tr>
      <w:tr w:rsidR="00501FB8" w:rsidRPr="0005469C" w14:paraId="3EEF4852" w14:textId="77777777" w:rsidTr="004A57B3">
        <w:trPr>
          <w:trHeight w:val="1038"/>
        </w:trPr>
        <w:tc>
          <w:tcPr>
            <w:tcW w:w="1307" w:type="dxa"/>
            <w:vMerge/>
            <w:tcBorders>
              <w:top w:val="nil"/>
              <w:left w:val="single" w:sz="4" w:space="0" w:color="auto"/>
              <w:bottom w:val="single" w:sz="4" w:space="0" w:color="auto"/>
              <w:right w:val="single" w:sz="4" w:space="0" w:color="auto"/>
            </w:tcBorders>
            <w:vAlign w:val="center"/>
            <w:hideMark/>
          </w:tcPr>
          <w:p w14:paraId="68E511E4" w14:textId="77777777" w:rsidR="00501FB8" w:rsidRPr="007434DA" w:rsidRDefault="00501FB8" w:rsidP="004A57B3">
            <w:pPr>
              <w:rPr>
                <w:rFonts w:cstheme="minorHAnsi"/>
                <w:b/>
                <w:bCs/>
                <w:sz w:val="18"/>
                <w:szCs w:val="18"/>
                <w:lang w:val="cs-CZ"/>
              </w:rPr>
            </w:pPr>
          </w:p>
        </w:tc>
        <w:tc>
          <w:tcPr>
            <w:tcW w:w="1622" w:type="dxa"/>
            <w:vMerge/>
            <w:tcBorders>
              <w:top w:val="nil"/>
              <w:left w:val="single" w:sz="4" w:space="0" w:color="auto"/>
              <w:bottom w:val="single" w:sz="4" w:space="0" w:color="auto"/>
              <w:right w:val="single" w:sz="4" w:space="0" w:color="auto"/>
            </w:tcBorders>
            <w:vAlign w:val="center"/>
            <w:hideMark/>
          </w:tcPr>
          <w:p w14:paraId="36EC4F1D" w14:textId="77777777" w:rsidR="00501FB8" w:rsidRPr="007434DA" w:rsidRDefault="00501FB8" w:rsidP="004A57B3">
            <w:pPr>
              <w:rPr>
                <w:rFonts w:cstheme="minorHAnsi"/>
                <w:color w:val="000000"/>
                <w:sz w:val="18"/>
                <w:szCs w:val="18"/>
                <w:lang w:val="cs-CZ"/>
              </w:rPr>
            </w:pPr>
          </w:p>
        </w:tc>
        <w:tc>
          <w:tcPr>
            <w:tcW w:w="2131" w:type="dxa"/>
            <w:tcBorders>
              <w:top w:val="nil"/>
              <w:left w:val="nil"/>
              <w:bottom w:val="single" w:sz="4" w:space="0" w:color="auto"/>
              <w:right w:val="single" w:sz="4" w:space="0" w:color="auto"/>
            </w:tcBorders>
            <w:shd w:val="clear" w:color="auto" w:fill="auto"/>
            <w:vAlign w:val="center"/>
            <w:hideMark/>
          </w:tcPr>
          <w:p w14:paraId="22A3EBF8" w14:textId="77777777" w:rsidR="00501FB8" w:rsidRPr="007434DA" w:rsidRDefault="00501FB8" w:rsidP="004A57B3">
            <w:pPr>
              <w:rPr>
                <w:rFonts w:cstheme="minorHAnsi"/>
                <w:color w:val="000000"/>
                <w:sz w:val="18"/>
                <w:szCs w:val="18"/>
                <w:lang w:val="cs-CZ"/>
              </w:rPr>
            </w:pPr>
            <w:r w:rsidRPr="007434DA">
              <w:rPr>
                <w:rFonts w:cstheme="minorHAnsi"/>
                <w:color w:val="000000"/>
                <w:sz w:val="18"/>
                <w:szCs w:val="18"/>
                <w:lang w:val="cs-CZ"/>
              </w:rPr>
              <w:t xml:space="preserve">3) Úhyny telat dojeného skotu během nočního telení </w:t>
            </w:r>
          </w:p>
        </w:tc>
        <w:tc>
          <w:tcPr>
            <w:tcW w:w="5294" w:type="dxa"/>
            <w:tcBorders>
              <w:top w:val="nil"/>
              <w:left w:val="nil"/>
              <w:bottom w:val="single" w:sz="4" w:space="0" w:color="auto"/>
              <w:right w:val="single" w:sz="4" w:space="0" w:color="auto"/>
            </w:tcBorders>
            <w:shd w:val="clear" w:color="auto" w:fill="auto"/>
            <w:hideMark/>
          </w:tcPr>
          <w:p w14:paraId="05A05A2C" w14:textId="77777777" w:rsidR="00501FB8" w:rsidRPr="007434DA" w:rsidRDefault="00501FB8" w:rsidP="004A57B3">
            <w:pPr>
              <w:rPr>
                <w:rFonts w:cstheme="minorHAnsi"/>
                <w:color w:val="000000"/>
                <w:sz w:val="18"/>
                <w:szCs w:val="18"/>
                <w:lang w:val="cs-CZ"/>
              </w:rPr>
            </w:pPr>
            <w:r w:rsidRPr="007434DA">
              <w:rPr>
                <w:rFonts w:cstheme="minorHAnsi"/>
                <w:color w:val="000000"/>
                <w:sz w:val="18"/>
                <w:szCs w:val="18"/>
                <w:lang w:val="cs-CZ"/>
              </w:rPr>
              <w:t>3) Absence nočního hlídání telení, a to ať už fyzicky, nebo prostřednictvím tzv. alarmů umístěných na kořen ocasu.</w:t>
            </w:r>
          </w:p>
        </w:tc>
        <w:tc>
          <w:tcPr>
            <w:tcW w:w="4463" w:type="dxa"/>
            <w:tcBorders>
              <w:top w:val="nil"/>
              <w:left w:val="nil"/>
              <w:bottom w:val="single" w:sz="4" w:space="0" w:color="auto"/>
              <w:right w:val="single" w:sz="4" w:space="0" w:color="auto"/>
            </w:tcBorders>
            <w:shd w:val="clear" w:color="auto" w:fill="auto"/>
            <w:vAlign w:val="center"/>
            <w:hideMark/>
          </w:tcPr>
          <w:p w14:paraId="73AFEBA0" w14:textId="77777777" w:rsidR="00501FB8" w:rsidRPr="007434DA" w:rsidRDefault="00501FB8" w:rsidP="004A57B3">
            <w:pPr>
              <w:rPr>
                <w:rFonts w:cstheme="minorHAnsi"/>
                <w:color w:val="000000"/>
                <w:sz w:val="18"/>
                <w:szCs w:val="18"/>
                <w:lang w:val="cs-CZ"/>
              </w:rPr>
            </w:pPr>
            <w:r w:rsidRPr="007434DA">
              <w:rPr>
                <w:rFonts w:cstheme="minorHAnsi"/>
                <w:color w:val="000000"/>
                <w:sz w:val="18"/>
                <w:szCs w:val="18"/>
                <w:lang w:val="cs-CZ"/>
              </w:rPr>
              <w:t xml:space="preserve">3) Kvalifikovaný odhad VÚŽV: 60 % (podíl </w:t>
            </w:r>
            <w:r w:rsidRPr="007434DA">
              <w:rPr>
                <w:rFonts w:cs="Calibri"/>
                <w:sz w:val="18"/>
                <w:szCs w:val="18"/>
                <w:lang w:val="cs-CZ"/>
              </w:rPr>
              <w:t>z celkového počtu chovů)</w:t>
            </w:r>
          </w:p>
        </w:tc>
      </w:tr>
      <w:tr w:rsidR="00501FB8" w:rsidRPr="0005469C" w14:paraId="73E3A8AE" w14:textId="77777777" w:rsidTr="004A57B3">
        <w:trPr>
          <w:trHeight w:val="1412"/>
        </w:trPr>
        <w:tc>
          <w:tcPr>
            <w:tcW w:w="1307" w:type="dxa"/>
            <w:tcBorders>
              <w:top w:val="nil"/>
              <w:left w:val="single" w:sz="4" w:space="0" w:color="auto"/>
              <w:bottom w:val="single" w:sz="4" w:space="0" w:color="auto"/>
              <w:right w:val="single" w:sz="4" w:space="0" w:color="auto"/>
            </w:tcBorders>
            <w:shd w:val="clear" w:color="auto" w:fill="auto"/>
            <w:vAlign w:val="center"/>
            <w:hideMark/>
          </w:tcPr>
          <w:p w14:paraId="7CB63A8B" w14:textId="77777777" w:rsidR="00501FB8" w:rsidRPr="007434DA" w:rsidRDefault="00501FB8" w:rsidP="004A57B3">
            <w:pPr>
              <w:jc w:val="center"/>
              <w:rPr>
                <w:rFonts w:cstheme="minorHAnsi"/>
                <w:b/>
                <w:bCs/>
                <w:color w:val="000000"/>
                <w:sz w:val="18"/>
                <w:szCs w:val="18"/>
                <w:lang w:val="cs-CZ"/>
              </w:rPr>
            </w:pPr>
            <w:r w:rsidRPr="007434DA">
              <w:rPr>
                <w:rFonts w:cstheme="minorHAnsi"/>
                <w:b/>
                <w:color w:val="000000"/>
                <w:sz w:val="18"/>
                <w:szCs w:val="18"/>
                <w:lang w:val="cs-CZ"/>
              </w:rPr>
              <w:t>Jalovice</w:t>
            </w:r>
          </w:p>
        </w:tc>
        <w:tc>
          <w:tcPr>
            <w:tcW w:w="1622" w:type="dxa"/>
            <w:tcBorders>
              <w:top w:val="nil"/>
              <w:left w:val="nil"/>
              <w:bottom w:val="single" w:sz="4" w:space="0" w:color="auto"/>
              <w:right w:val="single" w:sz="4" w:space="0" w:color="auto"/>
            </w:tcBorders>
            <w:shd w:val="clear" w:color="auto" w:fill="auto"/>
            <w:vAlign w:val="center"/>
            <w:hideMark/>
          </w:tcPr>
          <w:p w14:paraId="75F0CEA5" w14:textId="77777777" w:rsidR="00501FB8" w:rsidRPr="007434DA" w:rsidRDefault="00501FB8" w:rsidP="004A57B3">
            <w:pPr>
              <w:rPr>
                <w:rFonts w:cstheme="minorHAnsi"/>
                <w:color w:val="000000"/>
                <w:sz w:val="18"/>
                <w:szCs w:val="18"/>
                <w:lang w:val="cs-CZ"/>
              </w:rPr>
            </w:pPr>
            <w:r w:rsidRPr="007434DA">
              <w:rPr>
                <w:rFonts w:cstheme="minorHAnsi"/>
                <w:color w:val="000000"/>
                <w:sz w:val="18"/>
                <w:szCs w:val="18"/>
                <w:lang w:val="cs-CZ"/>
              </w:rPr>
              <w:t xml:space="preserve">Stav 2017: 271 854 ks; z toho chovné 261 228 ks; z toho v ekologickém režimu odhad </w:t>
            </w:r>
            <w:r w:rsidRPr="007434DA">
              <w:rPr>
                <w:rFonts w:cstheme="minorHAnsi"/>
                <w:color w:val="000000"/>
                <w:sz w:val="18"/>
                <w:szCs w:val="18"/>
                <w:lang w:val="cs-CZ"/>
              </w:rPr>
              <w:br/>
              <w:t>49 tis. ks</w:t>
            </w:r>
          </w:p>
        </w:tc>
        <w:tc>
          <w:tcPr>
            <w:tcW w:w="2131" w:type="dxa"/>
            <w:tcBorders>
              <w:top w:val="nil"/>
              <w:left w:val="nil"/>
              <w:bottom w:val="single" w:sz="4" w:space="0" w:color="auto"/>
              <w:right w:val="single" w:sz="4" w:space="0" w:color="auto"/>
            </w:tcBorders>
            <w:shd w:val="clear" w:color="auto" w:fill="auto"/>
            <w:vAlign w:val="center"/>
            <w:hideMark/>
          </w:tcPr>
          <w:p w14:paraId="32347C5D" w14:textId="77777777" w:rsidR="00501FB8" w:rsidRPr="007434DA" w:rsidRDefault="00501FB8" w:rsidP="004A57B3">
            <w:pPr>
              <w:rPr>
                <w:rFonts w:cstheme="minorHAnsi"/>
                <w:color w:val="000000"/>
                <w:sz w:val="18"/>
                <w:szCs w:val="18"/>
                <w:lang w:val="cs-CZ"/>
              </w:rPr>
            </w:pPr>
            <w:r w:rsidRPr="007434DA">
              <w:rPr>
                <w:rFonts w:cstheme="minorHAnsi"/>
                <w:color w:val="000000"/>
                <w:sz w:val="18"/>
                <w:szCs w:val="18"/>
                <w:lang w:val="cs-CZ"/>
              </w:rPr>
              <w:t>1) Onemocnění paznehtů jalovic a vysokobřezích jalovic (kulhání zvířat, bolestivost)</w:t>
            </w:r>
          </w:p>
        </w:tc>
        <w:tc>
          <w:tcPr>
            <w:tcW w:w="5294" w:type="dxa"/>
            <w:tcBorders>
              <w:top w:val="nil"/>
              <w:left w:val="nil"/>
              <w:bottom w:val="single" w:sz="4" w:space="0" w:color="auto"/>
              <w:right w:val="single" w:sz="4" w:space="0" w:color="auto"/>
            </w:tcBorders>
            <w:shd w:val="clear" w:color="auto" w:fill="auto"/>
            <w:hideMark/>
          </w:tcPr>
          <w:p w14:paraId="2293CF55" w14:textId="77777777" w:rsidR="00501FB8" w:rsidRPr="007434DA" w:rsidRDefault="00501FB8" w:rsidP="004A57B3">
            <w:pPr>
              <w:rPr>
                <w:rFonts w:cstheme="minorHAnsi"/>
                <w:color w:val="000000"/>
                <w:sz w:val="18"/>
                <w:szCs w:val="18"/>
                <w:lang w:val="cs-CZ"/>
              </w:rPr>
            </w:pPr>
            <w:r w:rsidRPr="007434DA">
              <w:rPr>
                <w:rFonts w:cstheme="minorHAnsi"/>
                <w:color w:val="000000"/>
                <w:sz w:val="18"/>
                <w:szCs w:val="18"/>
                <w:lang w:val="cs-CZ"/>
              </w:rPr>
              <w:t xml:space="preserve">1) V některých chovech není věnována dostatečná péče o úpravu paznehtů u kategorie jalovic (preventivní úprava paznehtů u jalovic před otelením). Cílem je zajistit adekvátní funkční úpravu a ošetření paznehtů eventuálně preventivní koupele paznehtů u jalovic, resp. vysokobřezích jalovic před přesunem do porodny krav. </w:t>
            </w:r>
          </w:p>
        </w:tc>
        <w:tc>
          <w:tcPr>
            <w:tcW w:w="4463" w:type="dxa"/>
            <w:tcBorders>
              <w:top w:val="nil"/>
              <w:left w:val="nil"/>
              <w:bottom w:val="single" w:sz="4" w:space="0" w:color="auto"/>
              <w:right w:val="single" w:sz="4" w:space="0" w:color="auto"/>
            </w:tcBorders>
            <w:shd w:val="clear" w:color="auto" w:fill="auto"/>
            <w:vAlign w:val="center"/>
            <w:hideMark/>
          </w:tcPr>
          <w:p w14:paraId="1B85B7AA" w14:textId="77777777" w:rsidR="00501FB8" w:rsidRPr="007434DA" w:rsidRDefault="00501FB8" w:rsidP="004A57B3">
            <w:pPr>
              <w:rPr>
                <w:rFonts w:cstheme="minorHAnsi"/>
                <w:color w:val="000000"/>
                <w:sz w:val="18"/>
                <w:szCs w:val="18"/>
                <w:lang w:val="cs-CZ"/>
              </w:rPr>
            </w:pPr>
            <w:r w:rsidRPr="007434DA">
              <w:rPr>
                <w:rFonts w:cstheme="minorHAnsi"/>
                <w:color w:val="000000"/>
                <w:sz w:val="18"/>
                <w:szCs w:val="18"/>
                <w:lang w:val="cs-CZ"/>
              </w:rPr>
              <w:t xml:space="preserve">1) Kvalifikovaný odhad VÚŽV: 20 % (podíl </w:t>
            </w:r>
            <w:r w:rsidRPr="007434DA">
              <w:rPr>
                <w:rFonts w:cs="Calibri"/>
                <w:sz w:val="18"/>
                <w:szCs w:val="18"/>
                <w:lang w:val="cs-CZ"/>
              </w:rPr>
              <w:t>z celkového počtu chovů)</w:t>
            </w:r>
          </w:p>
        </w:tc>
      </w:tr>
    </w:tbl>
    <w:p w14:paraId="7FCB16B0" w14:textId="77777777" w:rsidR="00501FB8" w:rsidRPr="007434DA" w:rsidRDefault="00501FB8" w:rsidP="00501FB8">
      <w:pPr>
        <w:rPr>
          <w:lang w:val="cs-CZ"/>
        </w:rPr>
      </w:pPr>
      <w:r w:rsidRPr="007434DA">
        <w:rPr>
          <w:lang w:val="cs-CZ"/>
        </w:rPr>
        <w:br w:type="page"/>
      </w:r>
    </w:p>
    <w:tbl>
      <w:tblPr>
        <w:tblW w:w="14817" w:type="dxa"/>
        <w:tblInd w:w="-5" w:type="dxa"/>
        <w:tblCellMar>
          <w:left w:w="70" w:type="dxa"/>
          <w:right w:w="70" w:type="dxa"/>
        </w:tblCellMar>
        <w:tblLook w:val="04A0" w:firstRow="1" w:lastRow="0" w:firstColumn="1" w:lastColumn="0" w:noHBand="0" w:noVBand="1"/>
      </w:tblPr>
      <w:tblGrid>
        <w:gridCol w:w="900"/>
        <w:gridCol w:w="441"/>
        <w:gridCol w:w="1514"/>
        <w:gridCol w:w="106"/>
        <w:gridCol w:w="2127"/>
        <w:gridCol w:w="1032"/>
        <w:gridCol w:w="3962"/>
        <w:gridCol w:w="285"/>
        <w:gridCol w:w="4375"/>
        <w:gridCol w:w="75"/>
      </w:tblGrid>
      <w:tr w:rsidR="00501FB8" w:rsidRPr="0005469C" w14:paraId="22F8DB89" w14:textId="77777777" w:rsidTr="004A57B3">
        <w:trPr>
          <w:trHeight w:val="557"/>
        </w:trPr>
        <w:tc>
          <w:tcPr>
            <w:tcW w:w="1307" w:type="dxa"/>
            <w:gridSpan w:val="2"/>
            <w:tcBorders>
              <w:top w:val="single" w:sz="4" w:space="0" w:color="auto"/>
              <w:left w:val="single" w:sz="4" w:space="0" w:color="auto"/>
              <w:bottom w:val="single" w:sz="4" w:space="0" w:color="auto"/>
              <w:right w:val="single" w:sz="4" w:space="0" w:color="auto"/>
            </w:tcBorders>
            <w:shd w:val="clear" w:color="000000" w:fill="B4C6E7"/>
            <w:vAlign w:val="center"/>
            <w:hideMark/>
          </w:tcPr>
          <w:p w14:paraId="2D326B54" w14:textId="77777777" w:rsidR="00501FB8" w:rsidRPr="007434DA" w:rsidRDefault="00501FB8" w:rsidP="004A57B3">
            <w:pPr>
              <w:jc w:val="center"/>
              <w:rPr>
                <w:rFonts w:cs="Calibri"/>
                <w:b/>
                <w:bCs/>
                <w:color w:val="000000"/>
                <w:sz w:val="18"/>
                <w:szCs w:val="18"/>
                <w:lang w:val="cs-CZ"/>
              </w:rPr>
            </w:pPr>
            <w:r w:rsidRPr="007434DA">
              <w:rPr>
                <w:rFonts w:cs="Calibri"/>
                <w:b/>
                <w:bCs/>
                <w:color w:val="000000"/>
                <w:sz w:val="18"/>
                <w:szCs w:val="18"/>
                <w:lang w:val="cs-CZ"/>
              </w:rPr>
              <w:t>Kategorie</w:t>
            </w:r>
          </w:p>
        </w:tc>
        <w:tc>
          <w:tcPr>
            <w:tcW w:w="1622" w:type="dxa"/>
            <w:gridSpan w:val="2"/>
            <w:tcBorders>
              <w:top w:val="single" w:sz="4" w:space="0" w:color="auto"/>
              <w:left w:val="nil"/>
              <w:bottom w:val="single" w:sz="4" w:space="0" w:color="auto"/>
              <w:right w:val="single" w:sz="4" w:space="0" w:color="auto"/>
            </w:tcBorders>
            <w:shd w:val="clear" w:color="000000" w:fill="B4C6E7"/>
            <w:vAlign w:val="center"/>
            <w:hideMark/>
          </w:tcPr>
          <w:p w14:paraId="024C4611" w14:textId="77777777" w:rsidR="00501FB8" w:rsidRPr="007434DA" w:rsidRDefault="00501FB8" w:rsidP="004A57B3">
            <w:pPr>
              <w:jc w:val="center"/>
              <w:rPr>
                <w:rFonts w:cs="Calibri"/>
                <w:b/>
                <w:bCs/>
                <w:color w:val="000000"/>
                <w:sz w:val="18"/>
                <w:szCs w:val="18"/>
                <w:lang w:val="cs-CZ"/>
              </w:rPr>
            </w:pPr>
            <w:r w:rsidRPr="007434DA">
              <w:rPr>
                <w:rFonts w:cs="Calibri"/>
                <w:b/>
                <w:bCs/>
                <w:color w:val="000000"/>
                <w:sz w:val="18"/>
                <w:szCs w:val="18"/>
                <w:lang w:val="cs-CZ"/>
              </w:rPr>
              <w:t>Stavy celkem</w:t>
            </w:r>
          </w:p>
        </w:tc>
        <w:tc>
          <w:tcPr>
            <w:tcW w:w="2131" w:type="dxa"/>
            <w:tcBorders>
              <w:top w:val="single" w:sz="4" w:space="0" w:color="auto"/>
              <w:left w:val="nil"/>
              <w:bottom w:val="single" w:sz="4" w:space="0" w:color="auto"/>
              <w:right w:val="single" w:sz="4" w:space="0" w:color="auto"/>
            </w:tcBorders>
            <w:shd w:val="clear" w:color="000000" w:fill="B4C6E7"/>
            <w:vAlign w:val="center"/>
            <w:hideMark/>
          </w:tcPr>
          <w:p w14:paraId="4328B7C4" w14:textId="77777777" w:rsidR="00501FB8" w:rsidRPr="007434DA" w:rsidRDefault="00501FB8" w:rsidP="004A57B3">
            <w:pPr>
              <w:jc w:val="center"/>
              <w:rPr>
                <w:rFonts w:cs="Calibri"/>
                <w:b/>
                <w:bCs/>
                <w:color w:val="000000"/>
                <w:sz w:val="18"/>
                <w:szCs w:val="18"/>
                <w:lang w:val="cs-CZ"/>
              </w:rPr>
            </w:pPr>
            <w:r w:rsidRPr="007434DA">
              <w:rPr>
                <w:rFonts w:cs="Calibri"/>
                <w:b/>
                <w:bCs/>
                <w:color w:val="000000"/>
                <w:sz w:val="18"/>
                <w:szCs w:val="18"/>
                <w:lang w:val="cs-CZ"/>
              </w:rPr>
              <w:t>Hlavní problémy</w:t>
            </w:r>
          </w:p>
        </w:tc>
        <w:tc>
          <w:tcPr>
            <w:tcW w:w="5294" w:type="dxa"/>
            <w:gridSpan w:val="3"/>
            <w:tcBorders>
              <w:top w:val="single" w:sz="4" w:space="0" w:color="auto"/>
              <w:left w:val="nil"/>
              <w:bottom w:val="single" w:sz="4" w:space="0" w:color="auto"/>
              <w:right w:val="single" w:sz="4" w:space="0" w:color="auto"/>
            </w:tcBorders>
            <w:shd w:val="clear" w:color="000000" w:fill="B4C6E7"/>
            <w:vAlign w:val="center"/>
            <w:hideMark/>
          </w:tcPr>
          <w:p w14:paraId="0C1EBFE3" w14:textId="77777777" w:rsidR="00501FB8" w:rsidRPr="007434DA" w:rsidRDefault="00501FB8" w:rsidP="004A57B3">
            <w:pPr>
              <w:jc w:val="center"/>
              <w:rPr>
                <w:rFonts w:cs="Calibri"/>
                <w:b/>
                <w:bCs/>
                <w:color w:val="000000"/>
                <w:sz w:val="18"/>
                <w:szCs w:val="18"/>
                <w:lang w:val="cs-CZ"/>
              </w:rPr>
            </w:pPr>
            <w:r w:rsidRPr="007434DA">
              <w:rPr>
                <w:rFonts w:cs="Calibri"/>
                <w:b/>
                <w:bCs/>
                <w:color w:val="000000"/>
                <w:sz w:val="18"/>
                <w:szCs w:val="18"/>
                <w:lang w:val="cs-CZ"/>
              </w:rPr>
              <w:t>Příčina problému</w:t>
            </w:r>
          </w:p>
        </w:tc>
        <w:tc>
          <w:tcPr>
            <w:tcW w:w="4463" w:type="dxa"/>
            <w:gridSpan w:val="2"/>
            <w:tcBorders>
              <w:top w:val="single" w:sz="4" w:space="0" w:color="auto"/>
              <w:left w:val="nil"/>
              <w:bottom w:val="single" w:sz="4" w:space="0" w:color="auto"/>
              <w:right w:val="single" w:sz="4" w:space="0" w:color="auto"/>
            </w:tcBorders>
            <w:shd w:val="clear" w:color="000000" w:fill="B4C6E7"/>
            <w:vAlign w:val="center"/>
            <w:hideMark/>
          </w:tcPr>
          <w:p w14:paraId="12B41E3E" w14:textId="77777777" w:rsidR="00501FB8" w:rsidRPr="007434DA" w:rsidRDefault="00501FB8" w:rsidP="004A57B3">
            <w:pPr>
              <w:jc w:val="center"/>
              <w:rPr>
                <w:rFonts w:cs="Calibri"/>
                <w:b/>
                <w:bCs/>
                <w:color w:val="000000"/>
                <w:sz w:val="18"/>
                <w:szCs w:val="18"/>
                <w:lang w:val="cs-CZ"/>
              </w:rPr>
            </w:pPr>
            <w:r w:rsidRPr="007434DA">
              <w:rPr>
                <w:rFonts w:cs="Calibri"/>
                <w:b/>
                <w:bCs/>
                <w:color w:val="000000"/>
                <w:sz w:val="18"/>
                <w:szCs w:val="18"/>
                <w:lang w:val="cs-CZ"/>
              </w:rPr>
              <w:t>Dopad (podíl zasažených zvířat/chovů)</w:t>
            </w:r>
          </w:p>
        </w:tc>
      </w:tr>
      <w:tr w:rsidR="00501FB8" w:rsidRPr="0005469C" w14:paraId="5D81C48D" w14:textId="77777777" w:rsidTr="004A57B3">
        <w:trPr>
          <w:trHeight w:val="2848"/>
        </w:trPr>
        <w:tc>
          <w:tcPr>
            <w:tcW w:w="1307" w:type="dxa"/>
            <w:gridSpan w:val="2"/>
            <w:vMerge w:val="restart"/>
            <w:tcBorders>
              <w:top w:val="nil"/>
              <w:left w:val="single" w:sz="4" w:space="0" w:color="auto"/>
              <w:right w:val="single" w:sz="4" w:space="0" w:color="auto"/>
            </w:tcBorders>
            <w:shd w:val="clear" w:color="auto" w:fill="auto"/>
            <w:vAlign w:val="center"/>
            <w:hideMark/>
          </w:tcPr>
          <w:p w14:paraId="400AD449" w14:textId="77777777" w:rsidR="00501FB8" w:rsidRPr="007434DA" w:rsidRDefault="00501FB8" w:rsidP="004A57B3">
            <w:pPr>
              <w:rPr>
                <w:rFonts w:cs="Calibri"/>
                <w:b/>
                <w:bCs/>
                <w:color w:val="000000"/>
                <w:sz w:val="18"/>
                <w:szCs w:val="18"/>
                <w:lang w:val="cs-CZ"/>
              </w:rPr>
            </w:pPr>
            <w:r w:rsidRPr="007434DA">
              <w:rPr>
                <w:rFonts w:cs="Calibri"/>
                <w:b/>
                <w:bCs/>
                <w:color w:val="000000"/>
                <w:sz w:val="18"/>
                <w:szCs w:val="18"/>
                <w:lang w:val="cs-CZ"/>
              </w:rPr>
              <w:t>Dojnice</w:t>
            </w:r>
            <w:r w:rsidRPr="007434DA">
              <w:rPr>
                <w:color w:val="000000"/>
                <w:sz w:val="18"/>
                <w:szCs w:val="18"/>
                <w:lang w:val="cs-CZ"/>
              </w:rPr>
              <w:t> </w:t>
            </w:r>
          </w:p>
        </w:tc>
        <w:tc>
          <w:tcPr>
            <w:tcW w:w="1622" w:type="dxa"/>
            <w:gridSpan w:val="2"/>
            <w:vMerge w:val="restart"/>
            <w:tcBorders>
              <w:top w:val="nil"/>
              <w:left w:val="single" w:sz="4" w:space="0" w:color="auto"/>
              <w:bottom w:val="single" w:sz="4" w:space="0" w:color="000000"/>
              <w:right w:val="single" w:sz="4" w:space="0" w:color="auto"/>
            </w:tcBorders>
            <w:vAlign w:val="center"/>
            <w:hideMark/>
          </w:tcPr>
          <w:p w14:paraId="7A7ED33A" w14:textId="77777777" w:rsidR="00501FB8" w:rsidRPr="007434DA" w:rsidRDefault="00501FB8" w:rsidP="004A57B3">
            <w:pPr>
              <w:rPr>
                <w:rFonts w:cs="Calibri"/>
                <w:color w:val="000000"/>
                <w:sz w:val="18"/>
                <w:szCs w:val="18"/>
                <w:lang w:val="cs-CZ"/>
              </w:rPr>
            </w:pPr>
            <w:r w:rsidRPr="007434DA">
              <w:rPr>
                <w:rFonts w:cs="Calibri"/>
                <w:color w:val="000000"/>
                <w:sz w:val="18"/>
                <w:szCs w:val="18"/>
                <w:lang w:val="cs-CZ"/>
              </w:rPr>
              <w:t>Stav 2017: 369,8 tis. ks; z toho v ekologickém režimu odhad 6,5 ks</w:t>
            </w:r>
          </w:p>
        </w:tc>
        <w:tc>
          <w:tcPr>
            <w:tcW w:w="2131" w:type="dxa"/>
            <w:tcBorders>
              <w:top w:val="nil"/>
              <w:left w:val="nil"/>
              <w:bottom w:val="single" w:sz="4" w:space="0" w:color="auto"/>
              <w:right w:val="single" w:sz="4" w:space="0" w:color="auto"/>
            </w:tcBorders>
            <w:shd w:val="clear" w:color="auto" w:fill="auto"/>
            <w:vAlign w:val="center"/>
            <w:hideMark/>
          </w:tcPr>
          <w:p w14:paraId="6E7A48AF" w14:textId="77777777" w:rsidR="00501FB8" w:rsidRPr="007434DA" w:rsidRDefault="00501FB8" w:rsidP="004A57B3">
            <w:pPr>
              <w:rPr>
                <w:rFonts w:cs="Calibri"/>
                <w:color w:val="000000"/>
                <w:sz w:val="18"/>
                <w:szCs w:val="18"/>
                <w:lang w:val="cs-CZ"/>
              </w:rPr>
            </w:pPr>
            <w:r w:rsidRPr="007434DA">
              <w:rPr>
                <w:color w:val="000000"/>
                <w:sz w:val="18"/>
                <w:szCs w:val="18"/>
                <w:lang w:val="cs-CZ"/>
              </w:rPr>
              <w:t>1) Narušení welfare z důvodu nedostatečné evidence a analýzy onemocnění vyskytujících se na farmě</w:t>
            </w:r>
          </w:p>
        </w:tc>
        <w:tc>
          <w:tcPr>
            <w:tcW w:w="5294" w:type="dxa"/>
            <w:gridSpan w:val="3"/>
            <w:tcBorders>
              <w:top w:val="nil"/>
              <w:left w:val="nil"/>
              <w:bottom w:val="single" w:sz="4" w:space="0" w:color="auto"/>
              <w:right w:val="single" w:sz="4" w:space="0" w:color="auto"/>
            </w:tcBorders>
            <w:shd w:val="clear" w:color="auto" w:fill="auto"/>
            <w:hideMark/>
          </w:tcPr>
          <w:p w14:paraId="64436213" w14:textId="77777777" w:rsidR="00501FB8" w:rsidRPr="007434DA" w:rsidRDefault="00501FB8" w:rsidP="004A57B3">
            <w:pPr>
              <w:rPr>
                <w:rFonts w:cs="Calibri"/>
                <w:color w:val="000000"/>
                <w:sz w:val="18"/>
                <w:szCs w:val="18"/>
                <w:lang w:val="cs-CZ"/>
              </w:rPr>
            </w:pPr>
            <w:r w:rsidRPr="007434DA">
              <w:rPr>
                <w:color w:val="000000"/>
                <w:sz w:val="18"/>
                <w:szCs w:val="18"/>
                <w:lang w:val="cs-CZ"/>
              </w:rPr>
              <w:t>1) V současné době je povinná evidence léčiv použitých v chovu, ale většina chovatelů nevěnuje pozornost evidenci onemocnění vyskytujících se na farmě, a především analýze jejich výskytu, která by umožnila zavést efektivní preventivní opatření. V posledních letech byl v rámci projektu NAZV v rámci ČMCHS zpracován program umožňující evidenci všech onemocnění na farmě včetně léčby. Předností tohoto programu je možnost analýzy všech zadaných dat - vyhodnocení výskytu jednotlivých typů onemocnění v závislosti na časovém období, fázi laktace stáří zvířat, pořadí laktace apod.  Zlepšením zdravotního stavu zvířat zavedením efektivních preventivních opatření a kontrolou jejich účinnosti dojde ke zlepšení welfare zvířat (je možno aplikovat na všechny kategorie, ale největší problémy jsou u dojnic, případně telat).</w:t>
            </w:r>
          </w:p>
        </w:tc>
        <w:tc>
          <w:tcPr>
            <w:tcW w:w="4463" w:type="dxa"/>
            <w:gridSpan w:val="2"/>
            <w:tcBorders>
              <w:top w:val="nil"/>
              <w:left w:val="nil"/>
              <w:bottom w:val="single" w:sz="4" w:space="0" w:color="auto"/>
              <w:right w:val="single" w:sz="4" w:space="0" w:color="auto"/>
            </w:tcBorders>
            <w:shd w:val="clear" w:color="auto" w:fill="auto"/>
            <w:vAlign w:val="center"/>
            <w:hideMark/>
          </w:tcPr>
          <w:p w14:paraId="08166087" w14:textId="77777777" w:rsidR="00501FB8" w:rsidRPr="007434DA" w:rsidRDefault="00501FB8" w:rsidP="004A57B3">
            <w:pPr>
              <w:rPr>
                <w:rFonts w:cs="Calibri"/>
                <w:color w:val="000000"/>
                <w:sz w:val="18"/>
                <w:szCs w:val="18"/>
                <w:lang w:val="cs-CZ"/>
              </w:rPr>
            </w:pPr>
            <w:r w:rsidRPr="007434DA">
              <w:rPr>
                <w:color w:val="000000"/>
                <w:sz w:val="18"/>
                <w:szCs w:val="18"/>
                <w:lang w:val="cs-CZ"/>
              </w:rPr>
              <w:t xml:space="preserve">1) Pechová VFU 2018: Podíl zasažených zvířat je obtížné odhadnout. V současné době probíhá počítačová evidence onemocnění na farmě cca u 30 % chovů, avšak většinou bez adekvátního vyhodnocení. Pozitivní efekt tohoto opatření by bylo možno očekávat v celkovém snížení nemocnosti v chovech. Dotace by napomohla nastartování této aktivity v jednotlivých chovech, přičemž leze předpokládat, že většina chovatelů by v této aktivitě pokračovala i po skončení dotace. </w:t>
            </w:r>
          </w:p>
        </w:tc>
      </w:tr>
      <w:tr w:rsidR="00501FB8" w:rsidRPr="0005469C" w14:paraId="08E3D896" w14:textId="77777777" w:rsidTr="004A57B3">
        <w:trPr>
          <w:trHeight w:val="2666"/>
        </w:trPr>
        <w:tc>
          <w:tcPr>
            <w:tcW w:w="1307" w:type="dxa"/>
            <w:gridSpan w:val="2"/>
            <w:vMerge/>
            <w:tcBorders>
              <w:left w:val="single" w:sz="4" w:space="0" w:color="auto"/>
              <w:right w:val="single" w:sz="4" w:space="0" w:color="auto"/>
            </w:tcBorders>
            <w:shd w:val="clear" w:color="auto" w:fill="auto"/>
            <w:vAlign w:val="center"/>
          </w:tcPr>
          <w:p w14:paraId="565E4730" w14:textId="77777777" w:rsidR="00501FB8" w:rsidRPr="007434DA" w:rsidRDefault="00501FB8" w:rsidP="004A57B3">
            <w:pPr>
              <w:rPr>
                <w:rFonts w:cs="Calibri"/>
                <w:b/>
                <w:bCs/>
                <w:color w:val="000000"/>
                <w:sz w:val="18"/>
                <w:szCs w:val="18"/>
                <w:lang w:val="cs-CZ"/>
              </w:rPr>
            </w:pPr>
          </w:p>
        </w:tc>
        <w:tc>
          <w:tcPr>
            <w:tcW w:w="1622" w:type="dxa"/>
            <w:gridSpan w:val="2"/>
            <w:vMerge/>
            <w:tcBorders>
              <w:top w:val="nil"/>
              <w:left w:val="single" w:sz="4" w:space="0" w:color="auto"/>
              <w:bottom w:val="single" w:sz="4" w:space="0" w:color="000000"/>
              <w:right w:val="single" w:sz="4" w:space="0" w:color="auto"/>
            </w:tcBorders>
            <w:vAlign w:val="center"/>
          </w:tcPr>
          <w:p w14:paraId="79DDE0D7" w14:textId="77777777" w:rsidR="00501FB8" w:rsidRPr="007434DA" w:rsidRDefault="00501FB8" w:rsidP="004A57B3">
            <w:pPr>
              <w:rPr>
                <w:rFonts w:cs="Calibri"/>
                <w:color w:val="000000"/>
                <w:sz w:val="18"/>
                <w:szCs w:val="18"/>
                <w:lang w:val="cs-CZ"/>
              </w:rPr>
            </w:pPr>
          </w:p>
        </w:tc>
        <w:tc>
          <w:tcPr>
            <w:tcW w:w="2131" w:type="dxa"/>
            <w:tcBorders>
              <w:top w:val="nil"/>
              <w:left w:val="nil"/>
              <w:bottom w:val="single" w:sz="4" w:space="0" w:color="auto"/>
              <w:right w:val="single" w:sz="4" w:space="0" w:color="auto"/>
            </w:tcBorders>
            <w:shd w:val="clear" w:color="auto" w:fill="auto"/>
          </w:tcPr>
          <w:p w14:paraId="5007813B" w14:textId="77777777" w:rsidR="00501FB8" w:rsidRPr="007434DA" w:rsidRDefault="00501FB8" w:rsidP="004A57B3">
            <w:pPr>
              <w:rPr>
                <w:rFonts w:cs="Calibri"/>
                <w:color w:val="000000"/>
                <w:sz w:val="18"/>
                <w:szCs w:val="18"/>
                <w:lang w:val="cs-CZ"/>
              </w:rPr>
            </w:pPr>
            <w:r w:rsidRPr="007434DA">
              <w:rPr>
                <w:color w:val="000000"/>
                <w:sz w:val="18"/>
                <w:szCs w:val="18"/>
                <w:lang w:val="cs-CZ"/>
              </w:rPr>
              <w:t>2) Nedostatečné welfare při manipulaci se zvířaty a provádění zákroků.</w:t>
            </w:r>
          </w:p>
        </w:tc>
        <w:tc>
          <w:tcPr>
            <w:tcW w:w="5294" w:type="dxa"/>
            <w:gridSpan w:val="3"/>
            <w:tcBorders>
              <w:top w:val="nil"/>
              <w:left w:val="nil"/>
              <w:bottom w:val="single" w:sz="4" w:space="0" w:color="auto"/>
              <w:right w:val="single" w:sz="4" w:space="0" w:color="auto"/>
            </w:tcBorders>
            <w:shd w:val="clear" w:color="auto" w:fill="auto"/>
          </w:tcPr>
          <w:p w14:paraId="4AF58847" w14:textId="77777777" w:rsidR="00501FB8" w:rsidRPr="007434DA" w:rsidRDefault="00501FB8" w:rsidP="004A57B3">
            <w:pPr>
              <w:rPr>
                <w:rFonts w:cs="Calibri"/>
                <w:color w:val="000000"/>
                <w:sz w:val="18"/>
                <w:szCs w:val="18"/>
                <w:lang w:val="cs-CZ"/>
              </w:rPr>
            </w:pPr>
            <w:r w:rsidRPr="007434DA">
              <w:rPr>
                <w:color w:val="000000"/>
                <w:sz w:val="18"/>
                <w:szCs w:val="18"/>
                <w:lang w:val="cs-CZ"/>
              </w:rPr>
              <w:t xml:space="preserve">2) V řadě chovů nejsou vybudována odpovídající místa na fixaci zvířat umožňující přístup ke zvířatům ze všech stran. Provádění vet. zákroků, odběry bachorové tekutiny, moči, krve, nálevy apod. jsou proto spojeny se zbytečným stresem zvířat. Tento problém je možno řešit pořízením fixační klece v chovech nebo vybudováním odpovídajících fixačních míst. </w:t>
            </w:r>
          </w:p>
        </w:tc>
        <w:tc>
          <w:tcPr>
            <w:tcW w:w="4463" w:type="dxa"/>
            <w:gridSpan w:val="2"/>
            <w:tcBorders>
              <w:top w:val="nil"/>
              <w:left w:val="nil"/>
              <w:bottom w:val="single" w:sz="4" w:space="0" w:color="auto"/>
              <w:right w:val="single" w:sz="4" w:space="0" w:color="auto"/>
            </w:tcBorders>
            <w:shd w:val="clear" w:color="auto" w:fill="auto"/>
            <w:vAlign w:val="center"/>
          </w:tcPr>
          <w:p w14:paraId="4879EF73" w14:textId="77777777" w:rsidR="00501FB8" w:rsidRPr="007434DA" w:rsidRDefault="00501FB8" w:rsidP="004A57B3">
            <w:pPr>
              <w:rPr>
                <w:rFonts w:cs="Calibri"/>
                <w:color w:val="000000"/>
                <w:sz w:val="18"/>
                <w:szCs w:val="18"/>
                <w:lang w:val="cs-CZ"/>
              </w:rPr>
            </w:pPr>
            <w:r w:rsidRPr="007434DA">
              <w:rPr>
                <w:color w:val="000000"/>
                <w:sz w:val="18"/>
                <w:szCs w:val="18"/>
                <w:lang w:val="cs-CZ"/>
              </w:rPr>
              <w:t>2) Pechová VFU 2018: Určitá fixační zařízení jsou ve většině chovů k dispozici, odhadem cca 60-70 % chovů má nějaké fixační zařízení. Častým problémem je však špatný  technický stav fixačních klecí (velké pořizovací náklady, omezená životnost) nebo fixační zábrany neumožňují provádění všech potřebných zákroků. K zákrokům jsou pak dojnice uvazovány v postýlkách, což je značně komplikované pro personál a rovněž stresující pro dojnice. Další často využívanou možností je fixace na dojicím zařízení, což je však z pohledu welfare nepřípustné, neboť prostor pro dojení by neměl být spojen s žádnými bolestivými zákroky.</w:t>
            </w:r>
          </w:p>
        </w:tc>
      </w:tr>
      <w:tr w:rsidR="00501FB8" w:rsidRPr="0005469C" w14:paraId="78379741" w14:textId="77777777" w:rsidTr="004A57B3">
        <w:trPr>
          <w:trHeight w:val="810"/>
        </w:trPr>
        <w:tc>
          <w:tcPr>
            <w:tcW w:w="1307" w:type="dxa"/>
            <w:gridSpan w:val="2"/>
            <w:vMerge/>
            <w:tcBorders>
              <w:left w:val="single" w:sz="4" w:space="0" w:color="auto"/>
              <w:bottom w:val="single" w:sz="4" w:space="0" w:color="auto"/>
              <w:right w:val="single" w:sz="4" w:space="0" w:color="auto"/>
            </w:tcBorders>
            <w:shd w:val="clear" w:color="auto" w:fill="auto"/>
            <w:vAlign w:val="bottom"/>
            <w:hideMark/>
          </w:tcPr>
          <w:p w14:paraId="27F8A2BF" w14:textId="77777777" w:rsidR="00501FB8" w:rsidRPr="007434DA" w:rsidRDefault="00501FB8" w:rsidP="004A57B3">
            <w:pPr>
              <w:rPr>
                <w:rFonts w:cs="Calibri"/>
                <w:b/>
                <w:bCs/>
                <w:color w:val="000000"/>
                <w:sz w:val="18"/>
                <w:szCs w:val="18"/>
                <w:lang w:val="cs-CZ"/>
              </w:rPr>
            </w:pPr>
          </w:p>
        </w:tc>
        <w:tc>
          <w:tcPr>
            <w:tcW w:w="1622" w:type="dxa"/>
            <w:gridSpan w:val="2"/>
            <w:vMerge/>
            <w:tcBorders>
              <w:top w:val="nil"/>
              <w:left w:val="single" w:sz="4" w:space="0" w:color="auto"/>
              <w:bottom w:val="single" w:sz="4" w:space="0" w:color="auto"/>
              <w:right w:val="single" w:sz="4" w:space="0" w:color="auto"/>
            </w:tcBorders>
            <w:vAlign w:val="center"/>
            <w:hideMark/>
          </w:tcPr>
          <w:p w14:paraId="08885255" w14:textId="77777777" w:rsidR="00501FB8" w:rsidRPr="007434DA" w:rsidRDefault="00501FB8" w:rsidP="004A57B3">
            <w:pPr>
              <w:rPr>
                <w:rFonts w:cs="Calibri"/>
                <w:color w:val="000000"/>
                <w:sz w:val="18"/>
                <w:szCs w:val="18"/>
                <w:lang w:val="cs-CZ"/>
              </w:rPr>
            </w:pPr>
          </w:p>
        </w:tc>
        <w:tc>
          <w:tcPr>
            <w:tcW w:w="2131" w:type="dxa"/>
            <w:tcBorders>
              <w:top w:val="nil"/>
              <w:left w:val="nil"/>
              <w:bottom w:val="single" w:sz="4" w:space="0" w:color="auto"/>
              <w:right w:val="single" w:sz="4" w:space="0" w:color="auto"/>
            </w:tcBorders>
            <w:shd w:val="clear" w:color="auto" w:fill="auto"/>
            <w:hideMark/>
          </w:tcPr>
          <w:p w14:paraId="70CB2B4B" w14:textId="77777777" w:rsidR="00501FB8" w:rsidRPr="007434DA" w:rsidRDefault="00501FB8" w:rsidP="004A57B3">
            <w:pPr>
              <w:rPr>
                <w:rFonts w:cs="Calibri"/>
                <w:color w:val="000000"/>
                <w:sz w:val="18"/>
                <w:szCs w:val="18"/>
                <w:lang w:val="cs-CZ"/>
              </w:rPr>
            </w:pPr>
            <w:r w:rsidRPr="007434DA">
              <w:rPr>
                <w:color w:val="000000"/>
                <w:sz w:val="18"/>
                <w:szCs w:val="18"/>
                <w:lang w:val="cs-CZ"/>
              </w:rPr>
              <w:t>3) Onemocnění vemene</w:t>
            </w:r>
          </w:p>
        </w:tc>
        <w:tc>
          <w:tcPr>
            <w:tcW w:w="5294" w:type="dxa"/>
            <w:gridSpan w:val="3"/>
            <w:tcBorders>
              <w:top w:val="nil"/>
              <w:left w:val="nil"/>
              <w:bottom w:val="single" w:sz="4" w:space="0" w:color="auto"/>
              <w:right w:val="single" w:sz="4" w:space="0" w:color="auto"/>
            </w:tcBorders>
            <w:shd w:val="clear" w:color="auto" w:fill="auto"/>
            <w:hideMark/>
          </w:tcPr>
          <w:p w14:paraId="3D48C0BA" w14:textId="77777777" w:rsidR="00501FB8" w:rsidRPr="007434DA" w:rsidRDefault="00501FB8" w:rsidP="004A57B3">
            <w:pPr>
              <w:rPr>
                <w:color w:val="000000"/>
                <w:sz w:val="18"/>
                <w:szCs w:val="18"/>
                <w:lang w:val="cs-CZ"/>
              </w:rPr>
            </w:pPr>
            <w:r w:rsidRPr="007434DA">
              <w:rPr>
                <w:color w:val="000000"/>
                <w:sz w:val="18"/>
                <w:szCs w:val="18"/>
                <w:lang w:val="cs-CZ"/>
              </w:rPr>
              <w:t>3) Nedostatečná kontrola „zdraví vemene“ po otelení. Jde víceméně o zvládnutý proces zaprahování, a tím i o přípravu vemene na další laktaci, tzn. mikrobiologické vyšetření mléka před zasušením, volba způsobu zasušení (bez nebo s cílenými AB) a další kontrola (somatické buňky popř. mikrobiologická) cca 5. den po otelení.</w:t>
            </w:r>
          </w:p>
          <w:p w14:paraId="2B166960" w14:textId="77777777" w:rsidR="00501FB8" w:rsidRPr="007434DA" w:rsidRDefault="00501FB8" w:rsidP="004A57B3">
            <w:pPr>
              <w:rPr>
                <w:color w:val="000000"/>
                <w:sz w:val="18"/>
                <w:szCs w:val="18"/>
                <w:lang w:val="cs-CZ"/>
              </w:rPr>
            </w:pPr>
            <w:r w:rsidRPr="007434DA">
              <w:rPr>
                <w:rFonts w:cs="Calibri"/>
                <w:color w:val="000000"/>
                <w:sz w:val="18"/>
                <w:szCs w:val="18"/>
                <w:lang w:val="cs-CZ"/>
              </w:rPr>
              <w:t>Problematický je také iritační tlak stájového prostředí, kdy kyselost neupravené podestýlky a přítomnost ektoparazitů přispívá k dráždění všech tkání zvířat, které s nimi přicházejí do styku. Na snížení tlaku prostředí je zaměřeno stávající opatření „Zlepšení stájového prostředí v chovu dojnic“</w:t>
            </w:r>
          </w:p>
        </w:tc>
        <w:tc>
          <w:tcPr>
            <w:tcW w:w="4463" w:type="dxa"/>
            <w:gridSpan w:val="2"/>
            <w:tcBorders>
              <w:top w:val="nil"/>
              <w:left w:val="nil"/>
              <w:bottom w:val="single" w:sz="4" w:space="0" w:color="auto"/>
              <w:right w:val="single" w:sz="4" w:space="0" w:color="auto"/>
            </w:tcBorders>
            <w:shd w:val="clear" w:color="auto" w:fill="auto"/>
            <w:vAlign w:val="center"/>
            <w:hideMark/>
          </w:tcPr>
          <w:p w14:paraId="15D55E7F" w14:textId="77777777" w:rsidR="00501FB8" w:rsidRPr="007434DA" w:rsidRDefault="00501FB8" w:rsidP="004A57B3">
            <w:pPr>
              <w:rPr>
                <w:rFonts w:cs="Calibri"/>
                <w:sz w:val="18"/>
                <w:szCs w:val="18"/>
                <w:lang w:val="cs-CZ"/>
              </w:rPr>
            </w:pPr>
            <w:r w:rsidRPr="007434DA">
              <w:rPr>
                <w:color w:val="000000"/>
                <w:sz w:val="18"/>
                <w:szCs w:val="18"/>
                <w:lang w:val="cs-CZ"/>
              </w:rPr>
              <w:t>3) Kvalifikovaný odhad VÚŽV: 70 % (</w:t>
            </w:r>
            <w:r w:rsidRPr="007434DA">
              <w:rPr>
                <w:rFonts w:cs="Calibri"/>
                <w:sz w:val="18"/>
                <w:szCs w:val="18"/>
                <w:lang w:val="cs-CZ"/>
              </w:rPr>
              <w:t>podíl z celkového počtu chovů)</w:t>
            </w:r>
          </w:p>
          <w:p w14:paraId="3596E0B7" w14:textId="77777777" w:rsidR="00501FB8" w:rsidRPr="007434DA" w:rsidRDefault="00501FB8" w:rsidP="004A57B3">
            <w:pPr>
              <w:rPr>
                <w:rFonts w:cs="Calibri"/>
                <w:color w:val="000000"/>
                <w:sz w:val="18"/>
                <w:szCs w:val="18"/>
                <w:lang w:val="cs-CZ"/>
              </w:rPr>
            </w:pPr>
            <w:r w:rsidRPr="007434DA">
              <w:rPr>
                <w:rFonts w:cs="Calibri"/>
                <w:color w:val="000000"/>
                <w:sz w:val="18"/>
                <w:szCs w:val="18"/>
                <w:lang w:val="cs-CZ"/>
              </w:rPr>
              <w:t>Pod opatřením „Zlepšení stájového prostředí v chovu dojnic“ bylo v letech 2015 – 2018 v průměru 73 % dojnic z celkového stavu dojnic chovaných v ČR a podle výsledků dotazníkového šetření ÚZEI je dotační podpora poměrně silnou motivací pro vstup do podopatření a plnění jeho podmínek.</w:t>
            </w:r>
          </w:p>
        </w:tc>
      </w:tr>
      <w:tr w:rsidR="00501FB8" w:rsidRPr="0005469C" w14:paraId="407589B6" w14:textId="77777777" w:rsidTr="004A57B3">
        <w:trPr>
          <w:trHeight w:val="810"/>
        </w:trPr>
        <w:tc>
          <w:tcPr>
            <w:tcW w:w="1307" w:type="dxa"/>
            <w:gridSpan w:val="2"/>
            <w:tcBorders>
              <w:left w:val="single" w:sz="4" w:space="0" w:color="auto"/>
              <w:bottom w:val="single" w:sz="4" w:space="0" w:color="auto"/>
              <w:right w:val="single" w:sz="4" w:space="0" w:color="auto"/>
            </w:tcBorders>
            <w:shd w:val="clear" w:color="auto" w:fill="auto"/>
            <w:vAlign w:val="bottom"/>
          </w:tcPr>
          <w:p w14:paraId="53069442" w14:textId="77777777" w:rsidR="00501FB8" w:rsidRPr="007434DA" w:rsidRDefault="00501FB8" w:rsidP="004A57B3">
            <w:pPr>
              <w:rPr>
                <w:rFonts w:cs="Calibri"/>
                <w:b/>
                <w:bCs/>
                <w:color w:val="000000"/>
                <w:sz w:val="18"/>
                <w:szCs w:val="18"/>
                <w:lang w:val="cs-CZ"/>
              </w:rPr>
            </w:pPr>
          </w:p>
        </w:tc>
        <w:tc>
          <w:tcPr>
            <w:tcW w:w="1622" w:type="dxa"/>
            <w:gridSpan w:val="2"/>
            <w:tcBorders>
              <w:top w:val="nil"/>
              <w:left w:val="single" w:sz="4" w:space="0" w:color="auto"/>
              <w:bottom w:val="single" w:sz="4" w:space="0" w:color="auto"/>
              <w:right w:val="single" w:sz="4" w:space="0" w:color="auto"/>
            </w:tcBorders>
            <w:vAlign w:val="center"/>
          </w:tcPr>
          <w:p w14:paraId="3E727D05" w14:textId="77777777" w:rsidR="00501FB8" w:rsidRPr="007434DA" w:rsidRDefault="00501FB8" w:rsidP="004A57B3">
            <w:pPr>
              <w:rPr>
                <w:rFonts w:cs="Calibri"/>
                <w:color w:val="000000"/>
                <w:sz w:val="18"/>
                <w:szCs w:val="18"/>
                <w:lang w:val="cs-CZ"/>
              </w:rPr>
            </w:pPr>
          </w:p>
        </w:tc>
        <w:tc>
          <w:tcPr>
            <w:tcW w:w="2131" w:type="dxa"/>
            <w:tcBorders>
              <w:top w:val="nil"/>
              <w:left w:val="nil"/>
              <w:bottom w:val="single" w:sz="4" w:space="0" w:color="auto"/>
              <w:right w:val="single" w:sz="4" w:space="0" w:color="auto"/>
            </w:tcBorders>
            <w:shd w:val="clear" w:color="auto" w:fill="auto"/>
          </w:tcPr>
          <w:p w14:paraId="493308E0" w14:textId="77777777" w:rsidR="00501FB8" w:rsidRPr="007434DA" w:rsidRDefault="00501FB8" w:rsidP="004A57B3">
            <w:pPr>
              <w:rPr>
                <w:color w:val="000000"/>
                <w:sz w:val="18"/>
                <w:szCs w:val="18"/>
                <w:lang w:val="cs-CZ"/>
              </w:rPr>
            </w:pPr>
          </w:p>
        </w:tc>
        <w:tc>
          <w:tcPr>
            <w:tcW w:w="5294" w:type="dxa"/>
            <w:gridSpan w:val="3"/>
            <w:tcBorders>
              <w:top w:val="nil"/>
              <w:left w:val="nil"/>
              <w:bottom w:val="single" w:sz="4" w:space="0" w:color="auto"/>
              <w:right w:val="single" w:sz="4" w:space="0" w:color="auto"/>
            </w:tcBorders>
            <w:shd w:val="clear" w:color="auto" w:fill="auto"/>
          </w:tcPr>
          <w:p w14:paraId="45E84DF8" w14:textId="77777777" w:rsidR="00501FB8" w:rsidRPr="007434DA" w:rsidRDefault="00501FB8" w:rsidP="004A57B3">
            <w:pPr>
              <w:rPr>
                <w:color w:val="000000"/>
                <w:sz w:val="18"/>
                <w:szCs w:val="18"/>
                <w:lang w:val="cs-CZ"/>
              </w:rPr>
            </w:pPr>
          </w:p>
        </w:tc>
        <w:tc>
          <w:tcPr>
            <w:tcW w:w="4463" w:type="dxa"/>
            <w:gridSpan w:val="2"/>
            <w:tcBorders>
              <w:top w:val="nil"/>
              <w:left w:val="nil"/>
              <w:bottom w:val="single" w:sz="4" w:space="0" w:color="auto"/>
              <w:right w:val="single" w:sz="4" w:space="0" w:color="auto"/>
            </w:tcBorders>
            <w:shd w:val="clear" w:color="auto" w:fill="auto"/>
            <w:vAlign w:val="center"/>
          </w:tcPr>
          <w:p w14:paraId="7C03FFB4" w14:textId="77777777" w:rsidR="00501FB8" w:rsidRPr="007434DA" w:rsidRDefault="00501FB8" w:rsidP="004A57B3">
            <w:pPr>
              <w:rPr>
                <w:color w:val="000000"/>
                <w:sz w:val="18"/>
                <w:szCs w:val="18"/>
                <w:lang w:val="cs-CZ"/>
              </w:rPr>
            </w:pPr>
          </w:p>
        </w:tc>
      </w:tr>
      <w:tr w:rsidR="00501FB8" w:rsidRPr="0005469C" w14:paraId="4457BE72" w14:textId="77777777" w:rsidTr="004A57B3">
        <w:trPr>
          <w:gridAfter w:val="1"/>
          <w:wAfter w:w="75" w:type="dxa"/>
          <w:trHeight w:val="566"/>
        </w:trPr>
        <w:tc>
          <w:tcPr>
            <w:tcW w:w="863" w:type="dxa"/>
            <w:tcBorders>
              <w:top w:val="single" w:sz="4" w:space="0" w:color="auto"/>
              <w:left w:val="single" w:sz="4" w:space="0" w:color="auto"/>
              <w:bottom w:val="single" w:sz="4" w:space="0" w:color="auto"/>
              <w:right w:val="single" w:sz="4" w:space="0" w:color="auto"/>
            </w:tcBorders>
            <w:shd w:val="clear" w:color="000000" w:fill="B4C6E7"/>
            <w:vAlign w:val="center"/>
            <w:hideMark/>
          </w:tcPr>
          <w:p w14:paraId="07B2A376" w14:textId="77777777" w:rsidR="00501FB8" w:rsidRPr="007434DA" w:rsidRDefault="00501FB8" w:rsidP="004A57B3">
            <w:pPr>
              <w:jc w:val="center"/>
              <w:rPr>
                <w:rFonts w:cs="Calibri"/>
                <w:b/>
                <w:bCs/>
                <w:color w:val="000000"/>
                <w:sz w:val="18"/>
                <w:szCs w:val="18"/>
                <w:lang w:val="cs-CZ"/>
              </w:rPr>
            </w:pPr>
            <w:r w:rsidRPr="007434DA">
              <w:rPr>
                <w:rFonts w:cs="Calibri"/>
                <w:b/>
                <w:bCs/>
                <w:color w:val="000000"/>
                <w:sz w:val="18"/>
                <w:szCs w:val="18"/>
                <w:lang w:val="cs-CZ"/>
              </w:rPr>
              <w:t>Kategorie</w:t>
            </w:r>
          </w:p>
        </w:tc>
        <w:tc>
          <w:tcPr>
            <w:tcW w:w="1960" w:type="dxa"/>
            <w:gridSpan w:val="2"/>
            <w:tcBorders>
              <w:top w:val="single" w:sz="4" w:space="0" w:color="auto"/>
              <w:left w:val="nil"/>
              <w:bottom w:val="single" w:sz="4" w:space="0" w:color="auto"/>
              <w:right w:val="single" w:sz="4" w:space="0" w:color="auto"/>
            </w:tcBorders>
            <w:shd w:val="clear" w:color="000000" w:fill="B4C6E7"/>
            <w:vAlign w:val="center"/>
            <w:hideMark/>
          </w:tcPr>
          <w:p w14:paraId="6B35894E" w14:textId="77777777" w:rsidR="00501FB8" w:rsidRPr="007434DA" w:rsidRDefault="00501FB8" w:rsidP="004A57B3">
            <w:pPr>
              <w:jc w:val="center"/>
              <w:rPr>
                <w:rFonts w:cs="Calibri"/>
                <w:b/>
                <w:bCs/>
                <w:color w:val="000000"/>
                <w:sz w:val="18"/>
                <w:szCs w:val="18"/>
                <w:lang w:val="cs-CZ"/>
              </w:rPr>
            </w:pPr>
            <w:r w:rsidRPr="007434DA">
              <w:rPr>
                <w:rFonts w:cs="Calibri"/>
                <w:b/>
                <w:bCs/>
                <w:color w:val="000000"/>
                <w:sz w:val="18"/>
                <w:szCs w:val="18"/>
                <w:lang w:val="cs-CZ"/>
              </w:rPr>
              <w:t>Stavy celkem</w:t>
            </w:r>
          </w:p>
        </w:tc>
        <w:tc>
          <w:tcPr>
            <w:tcW w:w="3273" w:type="dxa"/>
            <w:gridSpan w:val="3"/>
            <w:tcBorders>
              <w:top w:val="single" w:sz="4" w:space="0" w:color="auto"/>
              <w:left w:val="nil"/>
              <w:bottom w:val="single" w:sz="4" w:space="0" w:color="auto"/>
              <w:right w:val="single" w:sz="4" w:space="0" w:color="auto"/>
            </w:tcBorders>
            <w:shd w:val="clear" w:color="000000" w:fill="B4C6E7"/>
            <w:vAlign w:val="center"/>
            <w:hideMark/>
          </w:tcPr>
          <w:p w14:paraId="7FE17250" w14:textId="77777777" w:rsidR="00501FB8" w:rsidRPr="007434DA" w:rsidRDefault="00501FB8" w:rsidP="004A57B3">
            <w:pPr>
              <w:jc w:val="center"/>
              <w:rPr>
                <w:rFonts w:cs="Calibri"/>
                <w:b/>
                <w:bCs/>
                <w:color w:val="000000"/>
                <w:sz w:val="18"/>
                <w:szCs w:val="18"/>
                <w:lang w:val="cs-CZ"/>
              </w:rPr>
            </w:pPr>
            <w:r w:rsidRPr="007434DA">
              <w:rPr>
                <w:rFonts w:cs="Calibri"/>
                <w:b/>
                <w:bCs/>
                <w:color w:val="000000"/>
                <w:sz w:val="18"/>
                <w:szCs w:val="18"/>
                <w:lang w:val="cs-CZ"/>
              </w:rPr>
              <w:t>Hlavní problémy</w:t>
            </w:r>
          </w:p>
        </w:tc>
        <w:tc>
          <w:tcPr>
            <w:tcW w:w="3972" w:type="dxa"/>
            <w:tcBorders>
              <w:top w:val="single" w:sz="4" w:space="0" w:color="auto"/>
              <w:left w:val="nil"/>
              <w:bottom w:val="single" w:sz="4" w:space="0" w:color="auto"/>
              <w:right w:val="single" w:sz="4" w:space="0" w:color="auto"/>
            </w:tcBorders>
            <w:shd w:val="clear" w:color="000000" w:fill="B4C6E7"/>
            <w:vAlign w:val="center"/>
            <w:hideMark/>
          </w:tcPr>
          <w:p w14:paraId="06EB665F" w14:textId="77777777" w:rsidR="00501FB8" w:rsidRPr="007434DA" w:rsidRDefault="00501FB8" w:rsidP="004A57B3">
            <w:pPr>
              <w:jc w:val="center"/>
              <w:rPr>
                <w:rFonts w:cs="Calibri"/>
                <w:b/>
                <w:bCs/>
                <w:color w:val="000000"/>
                <w:sz w:val="18"/>
                <w:szCs w:val="18"/>
                <w:lang w:val="cs-CZ"/>
              </w:rPr>
            </w:pPr>
            <w:r w:rsidRPr="007434DA">
              <w:rPr>
                <w:rFonts w:cs="Calibri"/>
                <w:b/>
                <w:bCs/>
                <w:color w:val="000000"/>
                <w:sz w:val="18"/>
                <w:szCs w:val="18"/>
                <w:lang w:val="cs-CZ"/>
              </w:rPr>
              <w:t>Příčina problému</w:t>
            </w:r>
          </w:p>
        </w:tc>
        <w:tc>
          <w:tcPr>
            <w:tcW w:w="4674" w:type="dxa"/>
            <w:gridSpan w:val="2"/>
            <w:tcBorders>
              <w:top w:val="single" w:sz="4" w:space="0" w:color="auto"/>
              <w:left w:val="nil"/>
              <w:bottom w:val="single" w:sz="4" w:space="0" w:color="auto"/>
              <w:right w:val="single" w:sz="4" w:space="0" w:color="auto"/>
            </w:tcBorders>
            <w:shd w:val="clear" w:color="000000" w:fill="B4C6E7"/>
            <w:vAlign w:val="center"/>
            <w:hideMark/>
          </w:tcPr>
          <w:p w14:paraId="0FC2EF01" w14:textId="77777777" w:rsidR="00501FB8" w:rsidRPr="007434DA" w:rsidRDefault="00501FB8" w:rsidP="004A57B3">
            <w:pPr>
              <w:jc w:val="center"/>
              <w:rPr>
                <w:rFonts w:cs="Calibri"/>
                <w:b/>
                <w:bCs/>
                <w:color w:val="000000"/>
                <w:sz w:val="18"/>
                <w:szCs w:val="18"/>
                <w:lang w:val="cs-CZ"/>
              </w:rPr>
            </w:pPr>
            <w:r w:rsidRPr="007434DA">
              <w:rPr>
                <w:rFonts w:cs="Calibri"/>
                <w:b/>
                <w:bCs/>
                <w:color w:val="000000"/>
                <w:sz w:val="18"/>
                <w:szCs w:val="18"/>
                <w:lang w:val="cs-CZ"/>
              </w:rPr>
              <w:t>Dopad (podíl zasažených zvířat/chovů)</w:t>
            </w:r>
          </w:p>
        </w:tc>
      </w:tr>
      <w:tr w:rsidR="00501FB8" w:rsidRPr="007434DA" w14:paraId="455E50D8" w14:textId="77777777" w:rsidTr="004A57B3">
        <w:trPr>
          <w:gridAfter w:val="1"/>
          <w:wAfter w:w="75" w:type="dxa"/>
          <w:trHeight w:val="1162"/>
        </w:trPr>
        <w:tc>
          <w:tcPr>
            <w:tcW w:w="86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320762" w14:textId="77777777" w:rsidR="00501FB8" w:rsidRPr="007434DA" w:rsidRDefault="00501FB8" w:rsidP="004A57B3">
            <w:pPr>
              <w:rPr>
                <w:rFonts w:cs="Calibri"/>
                <w:b/>
                <w:bCs/>
                <w:color w:val="000000"/>
                <w:sz w:val="18"/>
                <w:szCs w:val="18"/>
                <w:lang w:val="cs-CZ"/>
              </w:rPr>
            </w:pPr>
            <w:r w:rsidRPr="007434DA">
              <w:rPr>
                <w:rFonts w:cs="Calibri"/>
                <w:b/>
                <w:bCs/>
                <w:color w:val="000000"/>
                <w:sz w:val="18"/>
                <w:szCs w:val="18"/>
                <w:lang w:val="cs-CZ"/>
              </w:rPr>
              <w:t> Dojnice</w:t>
            </w:r>
          </w:p>
          <w:p w14:paraId="1B5230FE" w14:textId="77777777" w:rsidR="00501FB8" w:rsidRPr="007434DA" w:rsidRDefault="00501FB8" w:rsidP="004A57B3">
            <w:pPr>
              <w:rPr>
                <w:rFonts w:cs="Calibri"/>
                <w:b/>
                <w:bCs/>
                <w:color w:val="000000"/>
                <w:sz w:val="18"/>
                <w:szCs w:val="18"/>
                <w:lang w:val="cs-CZ"/>
              </w:rPr>
            </w:pPr>
            <w:r w:rsidRPr="007434DA">
              <w:rPr>
                <w:rFonts w:cs="Calibri"/>
                <w:b/>
                <w:bCs/>
                <w:color w:val="000000"/>
                <w:sz w:val="18"/>
                <w:szCs w:val="18"/>
                <w:lang w:val="cs-CZ"/>
              </w:rPr>
              <w:t> </w:t>
            </w:r>
          </w:p>
        </w:tc>
        <w:tc>
          <w:tcPr>
            <w:tcW w:w="196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B2E3373" w14:textId="77777777" w:rsidR="00501FB8" w:rsidRPr="007434DA" w:rsidRDefault="00501FB8" w:rsidP="004A57B3">
            <w:pPr>
              <w:jc w:val="center"/>
              <w:rPr>
                <w:rFonts w:cs="Calibri"/>
                <w:color w:val="000000"/>
                <w:sz w:val="18"/>
                <w:szCs w:val="18"/>
                <w:lang w:val="cs-CZ"/>
              </w:rPr>
            </w:pPr>
            <w:r w:rsidRPr="007434DA">
              <w:rPr>
                <w:rFonts w:cs="Calibri"/>
                <w:color w:val="000000"/>
                <w:sz w:val="18"/>
                <w:szCs w:val="18"/>
                <w:lang w:val="cs-CZ"/>
              </w:rPr>
              <w:t>Stav 2017: 369,8 tis. ks; z toho v ekologickém režimu odhad 6,5 ks</w:t>
            </w:r>
          </w:p>
        </w:tc>
        <w:tc>
          <w:tcPr>
            <w:tcW w:w="3273" w:type="dxa"/>
            <w:gridSpan w:val="3"/>
            <w:tcBorders>
              <w:top w:val="single" w:sz="4" w:space="0" w:color="auto"/>
              <w:left w:val="nil"/>
              <w:bottom w:val="single" w:sz="4" w:space="0" w:color="auto"/>
              <w:right w:val="single" w:sz="4" w:space="0" w:color="auto"/>
            </w:tcBorders>
            <w:shd w:val="clear" w:color="auto" w:fill="auto"/>
            <w:vAlign w:val="center"/>
            <w:hideMark/>
          </w:tcPr>
          <w:p w14:paraId="76789EF0" w14:textId="77777777" w:rsidR="00501FB8" w:rsidRPr="007434DA" w:rsidRDefault="00501FB8" w:rsidP="004A57B3">
            <w:pPr>
              <w:rPr>
                <w:rFonts w:cs="Calibri"/>
                <w:color w:val="000000"/>
                <w:sz w:val="18"/>
                <w:szCs w:val="18"/>
                <w:lang w:val="cs-CZ"/>
              </w:rPr>
            </w:pPr>
            <w:r w:rsidRPr="007434DA">
              <w:rPr>
                <w:rFonts w:cs="Calibri"/>
                <w:color w:val="000000"/>
                <w:sz w:val="18"/>
                <w:szCs w:val="18"/>
                <w:lang w:val="cs-CZ"/>
              </w:rPr>
              <w:t xml:space="preserve">4) Tepelný stres dojnic </w:t>
            </w:r>
          </w:p>
        </w:tc>
        <w:tc>
          <w:tcPr>
            <w:tcW w:w="3972" w:type="dxa"/>
            <w:tcBorders>
              <w:top w:val="single" w:sz="4" w:space="0" w:color="auto"/>
              <w:left w:val="nil"/>
              <w:bottom w:val="single" w:sz="4" w:space="0" w:color="auto"/>
              <w:right w:val="single" w:sz="4" w:space="0" w:color="auto"/>
            </w:tcBorders>
            <w:shd w:val="clear" w:color="auto" w:fill="auto"/>
            <w:vAlign w:val="center"/>
            <w:hideMark/>
          </w:tcPr>
          <w:p w14:paraId="0C764711" w14:textId="77777777" w:rsidR="00501FB8" w:rsidRPr="007434DA" w:rsidRDefault="00501FB8" w:rsidP="004A57B3">
            <w:pPr>
              <w:rPr>
                <w:rFonts w:cs="Calibri"/>
                <w:color w:val="000000"/>
                <w:sz w:val="18"/>
                <w:szCs w:val="18"/>
                <w:lang w:val="cs-CZ"/>
              </w:rPr>
            </w:pPr>
            <w:r w:rsidRPr="007434DA">
              <w:rPr>
                <w:rFonts w:cs="Calibri"/>
                <w:color w:val="000000"/>
                <w:sz w:val="18"/>
                <w:szCs w:val="18"/>
                <w:lang w:val="cs-CZ"/>
              </w:rPr>
              <w:t>4) Nedostatečná izolace střech stájí, nedostatečná ventilace, chybějící ochlazovací systémy na bázi vody</w:t>
            </w:r>
          </w:p>
        </w:tc>
        <w:tc>
          <w:tcPr>
            <w:tcW w:w="4674" w:type="dxa"/>
            <w:gridSpan w:val="2"/>
            <w:tcBorders>
              <w:top w:val="single" w:sz="4" w:space="0" w:color="auto"/>
              <w:left w:val="nil"/>
              <w:bottom w:val="single" w:sz="4" w:space="0" w:color="auto"/>
              <w:right w:val="single" w:sz="4" w:space="0" w:color="auto"/>
            </w:tcBorders>
            <w:shd w:val="clear" w:color="auto" w:fill="auto"/>
            <w:vAlign w:val="center"/>
            <w:hideMark/>
          </w:tcPr>
          <w:p w14:paraId="3090FD9E" w14:textId="77777777" w:rsidR="00501FB8" w:rsidRPr="007434DA" w:rsidRDefault="00501FB8" w:rsidP="004A57B3">
            <w:pPr>
              <w:rPr>
                <w:rFonts w:cs="Calibri"/>
                <w:color w:val="000000"/>
                <w:sz w:val="18"/>
                <w:szCs w:val="18"/>
                <w:lang w:val="cs-CZ"/>
              </w:rPr>
            </w:pPr>
            <w:r w:rsidRPr="007434DA">
              <w:rPr>
                <w:rFonts w:cs="Calibri"/>
                <w:color w:val="000000"/>
                <w:sz w:val="18"/>
                <w:szCs w:val="18"/>
                <w:lang w:val="cs-CZ"/>
              </w:rPr>
              <w:t xml:space="preserve">4) Odhad ÚZEI: 60 % </w:t>
            </w:r>
          </w:p>
        </w:tc>
      </w:tr>
      <w:tr w:rsidR="00501FB8" w:rsidRPr="0005469C" w14:paraId="14415740" w14:textId="77777777" w:rsidTr="004A57B3">
        <w:trPr>
          <w:gridAfter w:val="1"/>
          <w:wAfter w:w="75" w:type="dxa"/>
          <w:trHeight w:val="993"/>
        </w:trPr>
        <w:tc>
          <w:tcPr>
            <w:tcW w:w="863" w:type="dxa"/>
            <w:vMerge/>
            <w:tcBorders>
              <w:top w:val="single" w:sz="4" w:space="0" w:color="auto"/>
              <w:left w:val="single" w:sz="4" w:space="0" w:color="auto"/>
              <w:bottom w:val="single" w:sz="4" w:space="0" w:color="auto"/>
              <w:right w:val="single" w:sz="4" w:space="0" w:color="auto"/>
            </w:tcBorders>
            <w:shd w:val="clear" w:color="auto" w:fill="auto"/>
          </w:tcPr>
          <w:p w14:paraId="4E503C05" w14:textId="77777777" w:rsidR="00501FB8" w:rsidRPr="007434DA" w:rsidRDefault="00501FB8" w:rsidP="004A57B3">
            <w:pPr>
              <w:rPr>
                <w:rFonts w:cs="Calibri"/>
                <w:b/>
                <w:bCs/>
                <w:color w:val="000000"/>
                <w:sz w:val="18"/>
                <w:szCs w:val="18"/>
                <w:lang w:val="cs-CZ"/>
              </w:rPr>
            </w:pPr>
          </w:p>
        </w:tc>
        <w:tc>
          <w:tcPr>
            <w:tcW w:w="1960" w:type="dxa"/>
            <w:gridSpan w:val="2"/>
            <w:vMerge/>
            <w:tcBorders>
              <w:top w:val="single" w:sz="4" w:space="0" w:color="auto"/>
              <w:left w:val="single" w:sz="4" w:space="0" w:color="auto"/>
              <w:bottom w:val="single" w:sz="4" w:space="0" w:color="auto"/>
              <w:right w:val="single" w:sz="4" w:space="0" w:color="auto"/>
            </w:tcBorders>
          </w:tcPr>
          <w:p w14:paraId="771B6594" w14:textId="77777777" w:rsidR="00501FB8" w:rsidRPr="007434DA" w:rsidRDefault="00501FB8" w:rsidP="004A57B3">
            <w:pPr>
              <w:jc w:val="center"/>
              <w:rPr>
                <w:rFonts w:cs="Calibri"/>
                <w:color w:val="000000"/>
                <w:sz w:val="18"/>
                <w:szCs w:val="18"/>
                <w:lang w:val="cs-CZ"/>
              </w:rPr>
            </w:pPr>
          </w:p>
        </w:tc>
        <w:tc>
          <w:tcPr>
            <w:tcW w:w="3273" w:type="dxa"/>
            <w:gridSpan w:val="3"/>
            <w:tcBorders>
              <w:top w:val="single" w:sz="4" w:space="0" w:color="auto"/>
              <w:left w:val="nil"/>
              <w:bottom w:val="single" w:sz="4" w:space="0" w:color="auto"/>
              <w:right w:val="single" w:sz="4" w:space="0" w:color="auto"/>
            </w:tcBorders>
            <w:shd w:val="clear" w:color="auto" w:fill="auto"/>
          </w:tcPr>
          <w:p w14:paraId="7114CFD4" w14:textId="77777777" w:rsidR="00501FB8" w:rsidRPr="007434DA" w:rsidRDefault="00501FB8" w:rsidP="004A57B3">
            <w:pPr>
              <w:rPr>
                <w:rFonts w:cs="Calibri"/>
                <w:color w:val="000000"/>
                <w:sz w:val="18"/>
                <w:szCs w:val="18"/>
                <w:lang w:val="cs-CZ"/>
              </w:rPr>
            </w:pPr>
            <w:r w:rsidRPr="007434DA">
              <w:rPr>
                <w:rFonts w:cs="Calibri"/>
                <w:color w:val="000000"/>
                <w:sz w:val="18"/>
                <w:szCs w:val="18"/>
                <w:lang w:val="cs-CZ"/>
              </w:rPr>
              <w:t>5) Narušení welfare z důvodu nedostatečné plochy určené k odpočinku v leže</w:t>
            </w:r>
          </w:p>
        </w:tc>
        <w:tc>
          <w:tcPr>
            <w:tcW w:w="3972" w:type="dxa"/>
            <w:tcBorders>
              <w:top w:val="single" w:sz="4" w:space="0" w:color="auto"/>
              <w:left w:val="nil"/>
              <w:bottom w:val="single" w:sz="4" w:space="0" w:color="auto"/>
              <w:right w:val="single" w:sz="4" w:space="0" w:color="auto"/>
            </w:tcBorders>
            <w:shd w:val="clear" w:color="auto" w:fill="auto"/>
            <w:vAlign w:val="center"/>
          </w:tcPr>
          <w:p w14:paraId="4675FBF7" w14:textId="77777777" w:rsidR="00501FB8" w:rsidRPr="007434DA" w:rsidRDefault="00501FB8" w:rsidP="004A57B3">
            <w:pPr>
              <w:rPr>
                <w:rFonts w:cs="Calibri"/>
                <w:color w:val="000000"/>
                <w:sz w:val="18"/>
                <w:szCs w:val="18"/>
                <w:lang w:val="cs-CZ"/>
              </w:rPr>
            </w:pPr>
            <w:r w:rsidRPr="007434DA">
              <w:rPr>
                <w:rFonts w:cs="Calibri"/>
                <w:color w:val="000000"/>
                <w:sz w:val="18"/>
                <w:szCs w:val="18"/>
                <w:lang w:val="cs-CZ"/>
              </w:rPr>
              <w:t>5) Vlivem šlechtění dochází ke zvětšování tělesného rámce a průměrné živé hmotnosti jedinců, a tedy k větším nárokům na životní prostor.</w:t>
            </w:r>
          </w:p>
        </w:tc>
        <w:tc>
          <w:tcPr>
            <w:tcW w:w="4674" w:type="dxa"/>
            <w:gridSpan w:val="2"/>
            <w:tcBorders>
              <w:top w:val="single" w:sz="4" w:space="0" w:color="auto"/>
              <w:left w:val="nil"/>
              <w:bottom w:val="single" w:sz="4" w:space="0" w:color="auto"/>
              <w:right w:val="single" w:sz="4" w:space="0" w:color="auto"/>
            </w:tcBorders>
            <w:shd w:val="clear" w:color="auto" w:fill="auto"/>
          </w:tcPr>
          <w:p w14:paraId="375007A0" w14:textId="77777777" w:rsidR="00501FB8" w:rsidRPr="007434DA" w:rsidRDefault="00501FB8" w:rsidP="004A57B3">
            <w:pPr>
              <w:rPr>
                <w:rFonts w:cs="Calibri"/>
                <w:color w:val="000000"/>
                <w:sz w:val="18"/>
                <w:szCs w:val="18"/>
                <w:lang w:val="cs-CZ"/>
              </w:rPr>
            </w:pPr>
            <w:r w:rsidRPr="007434DA">
              <w:rPr>
                <w:rFonts w:cs="Calibri"/>
                <w:color w:val="000000"/>
                <w:sz w:val="18"/>
                <w:szCs w:val="18"/>
                <w:lang w:val="cs-CZ"/>
              </w:rPr>
              <w:t>5) Pod opatřením „Zvětšení lehacího prostoru v chovu dojnic“ bylo v letech 2015 – 2018 v průměru 50 % dojnic z celkového stavu dojnic chovaných v CŘ. Podle vyjádření Doc. Doležala, je žádoucí podpora každého opatření zaměřeného na zvětšení prostoru pro chovaná zvířata.</w:t>
            </w:r>
          </w:p>
        </w:tc>
      </w:tr>
      <w:tr w:rsidR="00501FB8" w:rsidRPr="0005469C" w14:paraId="6857AE75" w14:textId="77777777" w:rsidTr="004A57B3">
        <w:trPr>
          <w:gridAfter w:val="1"/>
          <w:wAfter w:w="75" w:type="dxa"/>
          <w:trHeight w:val="993"/>
        </w:trPr>
        <w:tc>
          <w:tcPr>
            <w:tcW w:w="86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9BCE8B9" w14:textId="77777777" w:rsidR="00501FB8" w:rsidRPr="007434DA" w:rsidRDefault="00501FB8" w:rsidP="004A57B3">
            <w:pPr>
              <w:rPr>
                <w:rFonts w:cs="Calibri"/>
                <w:b/>
                <w:bCs/>
                <w:color w:val="000000"/>
                <w:sz w:val="18"/>
                <w:szCs w:val="18"/>
                <w:lang w:val="cs-CZ"/>
              </w:rPr>
            </w:pPr>
          </w:p>
        </w:tc>
        <w:tc>
          <w:tcPr>
            <w:tcW w:w="1960" w:type="dxa"/>
            <w:gridSpan w:val="2"/>
            <w:vMerge/>
            <w:tcBorders>
              <w:top w:val="single" w:sz="4" w:space="0" w:color="auto"/>
              <w:left w:val="single" w:sz="4" w:space="0" w:color="auto"/>
              <w:bottom w:val="single" w:sz="4" w:space="0" w:color="auto"/>
              <w:right w:val="single" w:sz="4" w:space="0" w:color="auto"/>
            </w:tcBorders>
            <w:vAlign w:val="center"/>
          </w:tcPr>
          <w:p w14:paraId="4F38DD12" w14:textId="77777777" w:rsidR="00501FB8" w:rsidRPr="007434DA" w:rsidRDefault="00501FB8" w:rsidP="004A57B3">
            <w:pPr>
              <w:jc w:val="center"/>
              <w:rPr>
                <w:rFonts w:cs="Calibri"/>
                <w:color w:val="000000"/>
                <w:sz w:val="18"/>
                <w:szCs w:val="18"/>
                <w:lang w:val="cs-CZ"/>
              </w:rPr>
            </w:pPr>
          </w:p>
        </w:tc>
        <w:tc>
          <w:tcPr>
            <w:tcW w:w="3273" w:type="dxa"/>
            <w:gridSpan w:val="3"/>
            <w:tcBorders>
              <w:top w:val="single" w:sz="4" w:space="0" w:color="auto"/>
              <w:left w:val="nil"/>
              <w:bottom w:val="single" w:sz="4" w:space="0" w:color="auto"/>
              <w:right w:val="single" w:sz="4" w:space="0" w:color="auto"/>
            </w:tcBorders>
            <w:shd w:val="clear" w:color="auto" w:fill="auto"/>
            <w:vAlign w:val="center"/>
            <w:hideMark/>
          </w:tcPr>
          <w:p w14:paraId="5385C98A" w14:textId="77777777" w:rsidR="00501FB8" w:rsidRPr="007434DA" w:rsidRDefault="00501FB8" w:rsidP="004A57B3">
            <w:pPr>
              <w:rPr>
                <w:rFonts w:cs="Calibri"/>
                <w:color w:val="000000"/>
                <w:sz w:val="18"/>
                <w:szCs w:val="18"/>
                <w:lang w:val="cs-CZ"/>
              </w:rPr>
            </w:pPr>
            <w:r w:rsidRPr="007434DA">
              <w:rPr>
                <w:rFonts w:cs="Calibri"/>
                <w:color w:val="000000"/>
                <w:sz w:val="18"/>
                <w:szCs w:val="18"/>
                <w:lang w:val="cs-CZ"/>
              </w:rPr>
              <w:t xml:space="preserve">6) Onemocnění paznehtů, kulhání   </w:t>
            </w:r>
          </w:p>
        </w:tc>
        <w:tc>
          <w:tcPr>
            <w:tcW w:w="3972" w:type="dxa"/>
            <w:tcBorders>
              <w:top w:val="single" w:sz="4" w:space="0" w:color="auto"/>
              <w:left w:val="nil"/>
              <w:bottom w:val="single" w:sz="4" w:space="0" w:color="auto"/>
              <w:right w:val="single" w:sz="4" w:space="0" w:color="auto"/>
            </w:tcBorders>
            <w:shd w:val="clear" w:color="auto" w:fill="auto"/>
            <w:vAlign w:val="center"/>
            <w:hideMark/>
          </w:tcPr>
          <w:p w14:paraId="4E919058" w14:textId="77777777" w:rsidR="00501FB8" w:rsidRPr="007434DA" w:rsidRDefault="00501FB8" w:rsidP="004A57B3">
            <w:pPr>
              <w:rPr>
                <w:rFonts w:cs="Calibri"/>
                <w:color w:val="000000"/>
                <w:sz w:val="18"/>
                <w:szCs w:val="18"/>
                <w:lang w:val="cs-CZ"/>
              </w:rPr>
            </w:pPr>
            <w:r w:rsidRPr="007434DA">
              <w:rPr>
                <w:rFonts w:cs="Calibri"/>
                <w:color w:val="000000"/>
                <w:sz w:val="18"/>
                <w:szCs w:val="18"/>
                <w:lang w:val="cs-CZ"/>
              </w:rPr>
              <w:t>6) Neprobíhá preventivní ošetření vysokobřezích jalovic před přesunem na porodnu. Řada chovatelů neprovádí u dojnic preventivní koupele paznehtů v desinfekčním roztoku. Koupele by se měly dělat 2 x ročně, dělá se stěží 1 x.</w:t>
            </w:r>
          </w:p>
        </w:tc>
        <w:tc>
          <w:tcPr>
            <w:tcW w:w="4674" w:type="dxa"/>
            <w:gridSpan w:val="2"/>
            <w:tcBorders>
              <w:top w:val="single" w:sz="4" w:space="0" w:color="auto"/>
              <w:left w:val="nil"/>
              <w:bottom w:val="single" w:sz="4" w:space="0" w:color="auto"/>
              <w:right w:val="single" w:sz="4" w:space="0" w:color="auto"/>
            </w:tcBorders>
            <w:shd w:val="clear" w:color="auto" w:fill="auto"/>
            <w:vAlign w:val="center"/>
            <w:hideMark/>
          </w:tcPr>
          <w:p w14:paraId="415B584F" w14:textId="77777777" w:rsidR="00501FB8" w:rsidRPr="007434DA" w:rsidRDefault="00501FB8" w:rsidP="004A57B3">
            <w:pPr>
              <w:rPr>
                <w:rFonts w:cs="Calibri"/>
                <w:color w:val="000000"/>
                <w:sz w:val="18"/>
                <w:szCs w:val="18"/>
                <w:lang w:val="cs-CZ"/>
              </w:rPr>
            </w:pPr>
            <w:r w:rsidRPr="007434DA">
              <w:rPr>
                <w:rFonts w:cs="Calibri"/>
                <w:color w:val="000000"/>
                <w:sz w:val="18"/>
                <w:szCs w:val="18"/>
                <w:lang w:val="cs-CZ"/>
              </w:rPr>
              <w:t>6) Kvalifikovaný odhad VÚŽV: 45 % (podíl z celkového počtu chovů)</w:t>
            </w:r>
          </w:p>
        </w:tc>
      </w:tr>
      <w:tr w:rsidR="00501FB8" w:rsidRPr="0005469C" w14:paraId="06B253D2" w14:textId="77777777" w:rsidTr="004A57B3">
        <w:trPr>
          <w:gridAfter w:val="1"/>
          <w:wAfter w:w="75" w:type="dxa"/>
          <w:trHeight w:val="608"/>
        </w:trPr>
        <w:tc>
          <w:tcPr>
            <w:tcW w:w="86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6CC9D97" w14:textId="77777777" w:rsidR="00501FB8" w:rsidRPr="007434DA" w:rsidRDefault="00501FB8" w:rsidP="004A57B3">
            <w:pPr>
              <w:rPr>
                <w:rFonts w:cs="Calibri"/>
                <w:b/>
                <w:bCs/>
                <w:color w:val="000000"/>
                <w:sz w:val="18"/>
                <w:szCs w:val="18"/>
                <w:lang w:val="cs-CZ"/>
              </w:rPr>
            </w:pPr>
          </w:p>
        </w:tc>
        <w:tc>
          <w:tcPr>
            <w:tcW w:w="1960" w:type="dxa"/>
            <w:gridSpan w:val="2"/>
            <w:vMerge/>
            <w:tcBorders>
              <w:top w:val="single" w:sz="4" w:space="0" w:color="auto"/>
              <w:left w:val="single" w:sz="4" w:space="0" w:color="auto"/>
              <w:bottom w:val="single" w:sz="4" w:space="0" w:color="auto"/>
              <w:right w:val="single" w:sz="4" w:space="0" w:color="auto"/>
            </w:tcBorders>
            <w:vAlign w:val="center"/>
          </w:tcPr>
          <w:p w14:paraId="72C67096" w14:textId="77777777" w:rsidR="00501FB8" w:rsidRPr="007434DA" w:rsidRDefault="00501FB8" w:rsidP="004A57B3">
            <w:pPr>
              <w:jc w:val="center"/>
              <w:rPr>
                <w:rFonts w:cs="Calibri"/>
                <w:color w:val="000000"/>
                <w:sz w:val="18"/>
                <w:szCs w:val="18"/>
                <w:lang w:val="cs-CZ"/>
              </w:rPr>
            </w:pPr>
          </w:p>
        </w:tc>
        <w:tc>
          <w:tcPr>
            <w:tcW w:w="3273" w:type="dxa"/>
            <w:gridSpan w:val="3"/>
            <w:tcBorders>
              <w:top w:val="single" w:sz="4" w:space="0" w:color="auto"/>
              <w:left w:val="nil"/>
              <w:bottom w:val="single" w:sz="4" w:space="0" w:color="auto"/>
              <w:right w:val="single" w:sz="4" w:space="0" w:color="auto"/>
            </w:tcBorders>
            <w:shd w:val="clear" w:color="auto" w:fill="auto"/>
            <w:vAlign w:val="center"/>
            <w:hideMark/>
          </w:tcPr>
          <w:p w14:paraId="41DA1650" w14:textId="77777777" w:rsidR="00501FB8" w:rsidRPr="007434DA" w:rsidRDefault="00501FB8" w:rsidP="004A57B3">
            <w:pPr>
              <w:rPr>
                <w:rFonts w:cs="Calibri"/>
                <w:color w:val="000000"/>
                <w:sz w:val="18"/>
                <w:szCs w:val="18"/>
                <w:lang w:val="cs-CZ"/>
              </w:rPr>
            </w:pPr>
            <w:r w:rsidRPr="007434DA">
              <w:rPr>
                <w:rFonts w:cs="Calibri"/>
                <w:color w:val="000000"/>
                <w:sz w:val="18"/>
                <w:szCs w:val="18"/>
                <w:lang w:val="cs-CZ"/>
              </w:rPr>
              <w:t>7) Narušení welfare z důvodu nedostatečné evidence a analýzy výskytu klinických mastitid na farmě</w:t>
            </w:r>
          </w:p>
        </w:tc>
        <w:tc>
          <w:tcPr>
            <w:tcW w:w="3972" w:type="dxa"/>
            <w:tcBorders>
              <w:top w:val="single" w:sz="4" w:space="0" w:color="auto"/>
              <w:left w:val="nil"/>
              <w:bottom w:val="single" w:sz="4" w:space="0" w:color="auto"/>
              <w:right w:val="single" w:sz="4" w:space="0" w:color="auto"/>
            </w:tcBorders>
            <w:shd w:val="clear" w:color="auto" w:fill="auto"/>
            <w:vAlign w:val="center"/>
            <w:hideMark/>
          </w:tcPr>
          <w:p w14:paraId="6696E396" w14:textId="77777777" w:rsidR="00501FB8" w:rsidRPr="007434DA" w:rsidRDefault="00501FB8" w:rsidP="004A57B3">
            <w:pPr>
              <w:rPr>
                <w:rFonts w:cs="Calibri"/>
                <w:color w:val="000000"/>
                <w:sz w:val="18"/>
                <w:szCs w:val="18"/>
                <w:lang w:val="cs-CZ"/>
              </w:rPr>
            </w:pPr>
            <w:r w:rsidRPr="007434DA">
              <w:rPr>
                <w:rFonts w:cs="Calibri"/>
                <w:color w:val="000000"/>
                <w:sz w:val="18"/>
                <w:szCs w:val="18"/>
                <w:lang w:val="cs-CZ"/>
              </w:rPr>
              <w:t xml:space="preserve">7) Výskyt klinických mastitid představuje stálý problém v řadě stád a toto onemocnění způsobuje výrazné narušení welfare dojnic. Zavedení efektivních preventivních opatření vyžaduje podrobnou analýzu situace v chovu. ČMCHS nabízí v současné době chovatelům zdarma program umožňující evidenci klinických mastitid na farmě včetně původce, pokud je známý. Analýza výskytu mastitid v chovu pak umožňuje vyhodnocení výskytu nových zánětů, opakujících se mastitid, výskytu mastitid v závislosti na pořadí laktace, fázi laktace, ročním období apod. Dotace vázaná na zadávání dat do tohoto programu by stimulovala chovatele k využívání tohoto programu, přičemž analýza takto získaných dat by umožnila zavedení funkčních preventivních opatření, zlepšení zdravotního stavu zvířat a welfare zvířat (opatření navazuje na podporu bakteriologického vyšetření mléka na farmách). </w:t>
            </w:r>
          </w:p>
        </w:tc>
        <w:tc>
          <w:tcPr>
            <w:tcW w:w="4674" w:type="dxa"/>
            <w:gridSpan w:val="2"/>
            <w:tcBorders>
              <w:top w:val="single" w:sz="4" w:space="0" w:color="auto"/>
              <w:left w:val="nil"/>
              <w:bottom w:val="single" w:sz="4" w:space="0" w:color="auto"/>
              <w:right w:val="single" w:sz="4" w:space="0" w:color="auto"/>
            </w:tcBorders>
            <w:shd w:val="clear" w:color="auto" w:fill="auto"/>
            <w:vAlign w:val="center"/>
            <w:hideMark/>
          </w:tcPr>
          <w:p w14:paraId="45A5DA3E" w14:textId="77777777" w:rsidR="00501FB8" w:rsidRPr="007434DA" w:rsidRDefault="00501FB8" w:rsidP="004A57B3">
            <w:pPr>
              <w:rPr>
                <w:rFonts w:cs="Calibri"/>
                <w:color w:val="000000"/>
                <w:sz w:val="18"/>
                <w:szCs w:val="18"/>
                <w:lang w:val="cs-CZ"/>
              </w:rPr>
            </w:pPr>
            <w:r w:rsidRPr="007434DA">
              <w:rPr>
                <w:rFonts w:cs="Calibri"/>
                <w:color w:val="000000"/>
                <w:sz w:val="18"/>
                <w:szCs w:val="18"/>
                <w:lang w:val="cs-CZ"/>
              </w:rPr>
              <w:t xml:space="preserve">7) Pechová VFU 2018: Výskyt klinických mastitid v jednotlivých chovech se významně liší. Odhaduje se, že za rok onemocnění klinickou mastitidou v průměru 35% dojnic. Snížení tohoto procenta díky evidenci a odpovídající analýze dat by mohlo snížit výskyt mastitid v zapojených chovech o 5 - 10%.  </w:t>
            </w:r>
          </w:p>
        </w:tc>
      </w:tr>
      <w:tr w:rsidR="00C93043" w:rsidRPr="0005469C" w14:paraId="3BD532B6" w14:textId="77777777" w:rsidTr="004A57B3">
        <w:trPr>
          <w:gridAfter w:val="1"/>
          <w:wAfter w:w="75" w:type="dxa"/>
          <w:trHeight w:val="608"/>
        </w:trPr>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1CE65F95" w14:textId="77777777" w:rsidR="00C93043" w:rsidRPr="007434DA" w:rsidRDefault="00C93043" w:rsidP="004A57B3">
            <w:pPr>
              <w:rPr>
                <w:rFonts w:cs="Calibri"/>
                <w:b/>
                <w:bCs/>
                <w:color w:val="000000"/>
                <w:sz w:val="18"/>
                <w:szCs w:val="18"/>
                <w:lang w:val="cs-CZ"/>
              </w:rPr>
            </w:pPr>
          </w:p>
          <w:p w14:paraId="13A5B070" w14:textId="7D07521F" w:rsidR="00C93043" w:rsidRPr="007434DA" w:rsidRDefault="00C93043" w:rsidP="004A57B3">
            <w:pPr>
              <w:rPr>
                <w:rFonts w:cs="Calibri"/>
                <w:b/>
                <w:bCs/>
                <w:color w:val="000000"/>
                <w:sz w:val="18"/>
                <w:szCs w:val="18"/>
                <w:lang w:val="cs-CZ"/>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66E7F32" w14:textId="77777777" w:rsidR="00C93043" w:rsidRPr="007434DA" w:rsidRDefault="00C93043" w:rsidP="004A57B3">
            <w:pPr>
              <w:jc w:val="center"/>
              <w:rPr>
                <w:rFonts w:cs="Calibri"/>
                <w:color w:val="000000"/>
                <w:sz w:val="18"/>
                <w:szCs w:val="18"/>
                <w:lang w:val="cs-CZ"/>
              </w:rPr>
            </w:pPr>
          </w:p>
        </w:tc>
        <w:tc>
          <w:tcPr>
            <w:tcW w:w="3273" w:type="dxa"/>
            <w:gridSpan w:val="3"/>
            <w:tcBorders>
              <w:top w:val="single" w:sz="4" w:space="0" w:color="auto"/>
              <w:left w:val="nil"/>
              <w:bottom w:val="single" w:sz="4" w:space="0" w:color="auto"/>
              <w:right w:val="single" w:sz="4" w:space="0" w:color="auto"/>
            </w:tcBorders>
            <w:shd w:val="clear" w:color="auto" w:fill="auto"/>
            <w:vAlign w:val="center"/>
          </w:tcPr>
          <w:p w14:paraId="68127814" w14:textId="77777777" w:rsidR="00C93043" w:rsidRPr="007434DA" w:rsidRDefault="00C93043" w:rsidP="004A57B3">
            <w:pPr>
              <w:rPr>
                <w:rFonts w:cs="Calibri"/>
                <w:color w:val="000000"/>
                <w:sz w:val="18"/>
                <w:szCs w:val="18"/>
                <w:lang w:val="cs-CZ"/>
              </w:rPr>
            </w:pPr>
          </w:p>
        </w:tc>
        <w:tc>
          <w:tcPr>
            <w:tcW w:w="3972" w:type="dxa"/>
            <w:tcBorders>
              <w:top w:val="single" w:sz="4" w:space="0" w:color="auto"/>
              <w:left w:val="nil"/>
              <w:bottom w:val="single" w:sz="4" w:space="0" w:color="auto"/>
              <w:right w:val="single" w:sz="4" w:space="0" w:color="auto"/>
            </w:tcBorders>
            <w:shd w:val="clear" w:color="auto" w:fill="auto"/>
            <w:vAlign w:val="center"/>
          </w:tcPr>
          <w:p w14:paraId="27958C15" w14:textId="77777777" w:rsidR="00C93043" w:rsidRPr="007434DA" w:rsidRDefault="00C93043" w:rsidP="004A57B3">
            <w:pPr>
              <w:rPr>
                <w:rFonts w:cs="Calibri"/>
                <w:color w:val="000000"/>
                <w:sz w:val="18"/>
                <w:szCs w:val="18"/>
                <w:lang w:val="cs-CZ"/>
              </w:rPr>
            </w:pPr>
          </w:p>
        </w:tc>
        <w:tc>
          <w:tcPr>
            <w:tcW w:w="4674" w:type="dxa"/>
            <w:gridSpan w:val="2"/>
            <w:tcBorders>
              <w:top w:val="single" w:sz="4" w:space="0" w:color="auto"/>
              <w:left w:val="nil"/>
              <w:bottom w:val="single" w:sz="4" w:space="0" w:color="auto"/>
              <w:right w:val="single" w:sz="4" w:space="0" w:color="auto"/>
            </w:tcBorders>
            <w:shd w:val="clear" w:color="auto" w:fill="auto"/>
            <w:vAlign w:val="center"/>
          </w:tcPr>
          <w:p w14:paraId="2F2BBBED" w14:textId="77777777" w:rsidR="00C93043" w:rsidRPr="007434DA" w:rsidRDefault="00C93043" w:rsidP="004A57B3">
            <w:pPr>
              <w:rPr>
                <w:rFonts w:cs="Calibri"/>
                <w:color w:val="000000"/>
                <w:sz w:val="18"/>
                <w:szCs w:val="18"/>
                <w:lang w:val="cs-CZ"/>
              </w:rPr>
            </w:pPr>
          </w:p>
        </w:tc>
      </w:tr>
      <w:tr w:rsidR="00C93043" w:rsidRPr="0005469C" w14:paraId="0A8C564C" w14:textId="77777777" w:rsidTr="004A57B3">
        <w:trPr>
          <w:gridAfter w:val="1"/>
          <w:wAfter w:w="75" w:type="dxa"/>
          <w:trHeight w:val="608"/>
        </w:trPr>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50EEBD07" w14:textId="77777777" w:rsidR="00C93043" w:rsidRPr="007434DA" w:rsidRDefault="00C93043" w:rsidP="004A57B3">
            <w:pPr>
              <w:rPr>
                <w:rFonts w:cs="Calibri"/>
                <w:b/>
                <w:bCs/>
                <w:color w:val="000000"/>
                <w:sz w:val="18"/>
                <w:szCs w:val="18"/>
                <w:lang w:val="cs-CZ"/>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71D6979F" w14:textId="77777777" w:rsidR="00C93043" w:rsidRPr="007434DA" w:rsidRDefault="00C93043" w:rsidP="004A57B3">
            <w:pPr>
              <w:jc w:val="center"/>
              <w:rPr>
                <w:rFonts w:cs="Calibri"/>
                <w:color w:val="000000"/>
                <w:sz w:val="18"/>
                <w:szCs w:val="18"/>
                <w:lang w:val="cs-CZ"/>
              </w:rPr>
            </w:pPr>
          </w:p>
        </w:tc>
        <w:tc>
          <w:tcPr>
            <w:tcW w:w="3273" w:type="dxa"/>
            <w:gridSpan w:val="3"/>
            <w:tcBorders>
              <w:top w:val="single" w:sz="4" w:space="0" w:color="auto"/>
              <w:left w:val="nil"/>
              <w:bottom w:val="single" w:sz="4" w:space="0" w:color="auto"/>
              <w:right w:val="single" w:sz="4" w:space="0" w:color="auto"/>
            </w:tcBorders>
            <w:shd w:val="clear" w:color="auto" w:fill="auto"/>
            <w:vAlign w:val="center"/>
          </w:tcPr>
          <w:p w14:paraId="5083A60C" w14:textId="77777777" w:rsidR="00C93043" w:rsidRPr="007434DA" w:rsidRDefault="00C93043" w:rsidP="004A57B3">
            <w:pPr>
              <w:rPr>
                <w:rFonts w:cs="Calibri"/>
                <w:color w:val="000000"/>
                <w:sz w:val="18"/>
                <w:szCs w:val="18"/>
                <w:lang w:val="cs-CZ"/>
              </w:rPr>
            </w:pPr>
          </w:p>
        </w:tc>
        <w:tc>
          <w:tcPr>
            <w:tcW w:w="3972" w:type="dxa"/>
            <w:tcBorders>
              <w:top w:val="single" w:sz="4" w:space="0" w:color="auto"/>
              <w:left w:val="nil"/>
              <w:bottom w:val="single" w:sz="4" w:space="0" w:color="auto"/>
              <w:right w:val="single" w:sz="4" w:space="0" w:color="auto"/>
            </w:tcBorders>
            <w:shd w:val="clear" w:color="auto" w:fill="auto"/>
            <w:vAlign w:val="center"/>
          </w:tcPr>
          <w:p w14:paraId="6585FACA" w14:textId="77777777" w:rsidR="00C93043" w:rsidRPr="007434DA" w:rsidRDefault="00C93043" w:rsidP="004A57B3">
            <w:pPr>
              <w:rPr>
                <w:rFonts w:cs="Calibri"/>
                <w:color w:val="000000"/>
                <w:sz w:val="18"/>
                <w:szCs w:val="18"/>
                <w:lang w:val="cs-CZ"/>
              </w:rPr>
            </w:pPr>
          </w:p>
        </w:tc>
        <w:tc>
          <w:tcPr>
            <w:tcW w:w="4674" w:type="dxa"/>
            <w:gridSpan w:val="2"/>
            <w:tcBorders>
              <w:top w:val="single" w:sz="4" w:space="0" w:color="auto"/>
              <w:left w:val="nil"/>
              <w:bottom w:val="single" w:sz="4" w:space="0" w:color="auto"/>
              <w:right w:val="single" w:sz="4" w:space="0" w:color="auto"/>
            </w:tcBorders>
            <w:shd w:val="clear" w:color="auto" w:fill="auto"/>
            <w:vAlign w:val="center"/>
          </w:tcPr>
          <w:p w14:paraId="5FF30ED1" w14:textId="77777777" w:rsidR="00C93043" w:rsidRPr="007434DA" w:rsidRDefault="00C93043" w:rsidP="004A57B3">
            <w:pPr>
              <w:rPr>
                <w:rFonts w:cs="Calibri"/>
                <w:color w:val="000000"/>
                <w:sz w:val="18"/>
                <w:szCs w:val="18"/>
                <w:lang w:val="cs-CZ"/>
              </w:rPr>
            </w:pPr>
          </w:p>
        </w:tc>
      </w:tr>
    </w:tbl>
    <w:p w14:paraId="024643DC" w14:textId="77777777" w:rsidR="00501FB8" w:rsidRPr="007434DA" w:rsidRDefault="00501FB8" w:rsidP="00501FB8">
      <w:pPr>
        <w:rPr>
          <w:lang w:val="cs-CZ"/>
        </w:rPr>
      </w:pPr>
    </w:p>
    <w:tbl>
      <w:tblPr>
        <w:tblW w:w="14742" w:type="dxa"/>
        <w:tblInd w:w="-5" w:type="dxa"/>
        <w:tblCellMar>
          <w:left w:w="70" w:type="dxa"/>
          <w:right w:w="70" w:type="dxa"/>
        </w:tblCellMar>
        <w:tblLook w:val="04A0" w:firstRow="1" w:lastRow="0" w:firstColumn="1" w:lastColumn="0" w:noHBand="0" w:noVBand="1"/>
      </w:tblPr>
      <w:tblGrid>
        <w:gridCol w:w="901"/>
        <w:gridCol w:w="1956"/>
        <w:gridCol w:w="3264"/>
        <w:gridCol w:w="3962"/>
        <w:gridCol w:w="4659"/>
      </w:tblGrid>
      <w:tr w:rsidR="00501FB8" w:rsidRPr="0005469C" w14:paraId="7F272CE5" w14:textId="77777777" w:rsidTr="004A57B3">
        <w:trPr>
          <w:trHeight w:val="566"/>
        </w:trPr>
        <w:tc>
          <w:tcPr>
            <w:tcW w:w="863" w:type="dxa"/>
            <w:tcBorders>
              <w:top w:val="single" w:sz="4" w:space="0" w:color="auto"/>
              <w:left w:val="single" w:sz="4" w:space="0" w:color="auto"/>
              <w:bottom w:val="single" w:sz="4" w:space="0" w:color="auto"/>
              <w:right w:val="single" w:sz="4" w:space="0" w:color="auto"/>
            </w:tcBorders>
            <w:shd w:val="clear" w:color="000000" w:fill="B4C6E7"/>
            <w:vAlign w:val="center"/>
            <w:hideMark/>
          </w:tcPr>
          <w:p w14:paraId="5CA5F49C" w14:textId="77777777" w:rsidR="00501FB8" w:rsidRPr="007434DA" w:rsidRDefault="00501FB8" w:rsidP="004A57B3">
            <w:pPr>
              <w:jc w:val="center"/>
              <w:rPr>
                <w:rFonts w:cs="Calibri"/>
                <w:b/>
                <w:bCs/>
                <w:color w:val="000000"/>
                <w:sz w:val="18"/>
                <w:szCs w:val="18"/>
                <w:lang w:val="cs-CZ"/>
              </w:rPr>
            </w:pPr>
            <w:r w:rsidRPr="007434DA">
              <w:rPr>
                <w:rFonts w:cs="Calibri"/>
                <w:b/>
                <w:bCs/>
                <w:color w:val="000000"/>
                <w:sz w:val="18"/>
                <w:szCs w:val="18"/>
                <w:lang w:val="cs-CZ"/>
              </w:rPr>
              <w:t>Kategorie</w:t>
            </w:r>
          </w:p>
        </w:tc>
        <w:tc>
          <w:tcPr>
            <w:tcW w:w="1960" w:type="dxa"/>
            <w:tcBorders>
              <w:top w:val="single" w:sz="4" w:space="0" w:color="auto"/>
              <w:left w:val="nil"/>
              <w:bottom w:val="single" w:sz="4" w:space="0" w:color="auto"/>
              <w:right w:val="single" w:sz="4" w:space="0" w:color="auto"/>
            </w:tcBorders>
            <w:shd w:val="clear" w:color="000000" w:fill="B4C6E7"/>
            <w:vAlign w:val="center"/>
            <w:hideMark/>
          </w:tcPr>
          <w:p w14:paraId="65A5EC86" w14:textId="77777777" w:rsidR="00501FB8" w:rsidRPr="007434DA" w:rsidRDefault="00501FB8" w:rsidP="004A57B3">
            <w:pPr>
              <w:jc w:val="center"/>
              <w:rPr>
                <w:rFonts w:cs="Calibri"/>
                <w:b/>
                <w:bCs/>
                <w:color w:val="000000"/>
                <w:sz w:val="18"/>
                <w:szCs w:val="18"/>
                <w:lang w:val="cs-CZ"/>
              </w:rPr>
            </w:pPr>
            <w:r w:rsidRPr="007434DA">
              <w:rPr>
                <w:rFonts w:cs="Calibri"/>
                <w:b/>
                <w:bCs/>
                <w:color w:val="000000"/>
                <w:sz w:val="18"/>
                <w:szCs w:val="18"/>
                <w:lang w:val="cs-CZ"/>
              </w:rPr>
              <w:t>Stavy celkem</w:t>
            </w:r>
          </w:p>
        </w:tc>
        <w:tc>
          <w:tcPr>
            <w:tcW w:w="3273" w:type="dxa"/>
            <w:tcBorders>
              <w:top w:val="single" w:sz="4" w:space="0" w:color="auto"/>
              <w:left w:val="nil"/>
              <w:bottom w:val="single" w:sz="4" w:space="0" w:color="auto"/>
              <w:right w:val="single" w:sz="4" w:space="0" w:color="auto"/>
            </w:tcBorders>
            <w:shd w:val="clear" w:color="000000" w:fill="B4C6E7"/>
            <w:vAlign w:val="center"/>
            <w:hideMark/>
          </w:tcPr>
          <w:p w14:paraId="296FB815" w14:textId="77777777" w:rsidR="00501FB8" w:rsidRPr="007434DA" w:rsidRDefault="00501FB8" w:rsidP="004A57B3">
            <w:pPr>
              <w:jc w:val="center"/>
              <w:rPr>
                <w:rFonts w:cs="Calibri"/>
                <w:b/>
                <w:bCs/>
                <w:color w:val="000000"/>
                <w:sz w:val="18"/>
                <w:szCs w:val="18"/>
                <w:lang w:val="cs-CZ"/>
              </w:rPr>
            </w:pPr>
            <w:r w:rsidRPr="007434DA">
              <w:rPr>
                <w:rFonts w:cs="Calibri"/>
                <w:b/>
                <w:bCs/>
                <w:color w:val="000000"/>
                <w:sz w:val="18"/>
                <w:szCs w:val="18"/>
                <w:lang w:val="cs-CZ"/>
              </w:rPr>
              <w:t>Hlavní problémy</w:t>
            </w:r>
          </w:p>
        </w:tc>
        <w:tc>
          <w:tcPr>
            <w:tcW w:w="3972" w:type="dxa"/>
            <w:tcBorders>
              <w:top w:val="single" w:sz="4" w:space="0" w:color="auto"/>
              <w:left w:val="nil"/>
              <w:bottom w:val="single" w:sz="4" w:space="0" w:color="auto"/>
              <w:right w:val="single" w:sz="4" w:space="0" w:color="auto"/>
            </w:tcBorders>
            <w:shd w:val="clear" w:color="000000" w:fill="B4C6E7"/>
            <w:vAlign w:val="center"/>
            <w:hideMark/>
          </w:tcPr>
          <w:p w14:paraId="3DF5CA95" w14:textId="77777777" w:rsidR="00501FB8" w:rsidRPr="007434DA" w:rsidRDefault="00501FB8" w:rsidP="004A57B3">
            <w:pPr>
              <w:jc w:val="center"/>
              <w:rPr>
                <w:rFonts w:cs="Calibri"/>
                <w:b/>
                <w:bCs/>
                <w:color w:val="000000"/>
                <w:sz w:val="18"/>
                <w:szCs w:val="18"/>
                <w:lang w:val="cs-CZ"/>
              </w:rPr>
            </w:pPr>
            <w:r w:rsidRPr="007434DA">
              <w:rPr>
                <w:rFonts w:cs="Calibri"/>
                <w:b/>
                <w:bCs/>
                <w:color w:val="000000"/>
                <w:sz w:val="18"/>
                <w:szCs w:val="18"/>
                <w:lang w:val="cs-CZ"/>
              </w:rPr>
              <w:t>Příčina problému</w:t>
            </w:r>
          </w:p>
        </w:tc>
        <w:tc>
          <w:tcPr>
            <w:tcW w:w="4674" w:type="dxa"/>
            <w:tcBorders>
              <w:top w:val="single" w:sz="4" w:space="0" w:color="auto"/>
              <w:left w:val="nil"/>
              <w:bottom w:val="single" w:sz="4" w:space="0" w:color="auto"/>
              <w:right w:val="single" w:sz="4" w:space="0" w:color="auto"/>
            </w:tcBorders>
            <w:shd w:val="clear" w:color="000000" w:fill="B4C6E7"/>
            <w:vAlign w:val="center"/>
            <w:hideMark/>
          </w:tcPr>
          <w:p w14:paraId="19697E83" w14:textId="77777777" w:rsidR="00501FB8" w:rsidRPr="007434DA" w:rsidRDefault="00501FB8" w:rsidP="004A57B3">
            <w:pPr>
              <w:jc w:val="center"/>
              <w:rPr>
                <w:rFonts w:cs="Calibri"/>
                <w:b/>
                <w:bCs/>
                <w:color w:val="000000"/>
                <w:sz w:val="18"/>
                <w:szCs w:val="18"/>
                <w:lang w:val="cs-CZ"/>
              </w:rPr>
            </w:pPr>
            <w:r w:rsidRPr="007434DA">
              <w:rPr>
                <w:rFonts w:cs="Calibri"/>
                <w:b/>
                <w:bCs/>
                <w:color w:val="000000"/>
                <w:sz w:val="18"/>
                <w:szCs w:val="18"/>
                <w:lang w:val="cs-CZ"/>
              </w:rPr>
              <w:t>Dopad (podíl zasažených zvířat/chovů)</w:t>
            </w:r>
          </w:p>
        </w:tc>
      </w:tr>
      <w:tr w:rsidR="00501FB8" w:rsidRPr="0005469C" w14:paraId="6392687F" w14:textId="77777777" w:rsidTr="004A57B3">
        <w:trPr>
          <w:trHeight w:val="851"/>
        </w:trPr>
        <w:tc>
          <w:tcPr>
            <w:tcW w:w="863" w:type="dxa"/>
            <w:vMerge w:val="restart"/>
            <w:tcBorders>
              <w:left w:val="single" w:sz="4" w:space="0" w:color="auto"/>
              <w:right w:val="single" w:sz="4" w:space="0" w:color="auto"/>
            </w:tcBorders>
            <w:shd w:val="clear" w:color="auto" w:fill="auto"/>
            <w:vAlign w:val="center"/>
          </w:tcPr>
          <w:p w14:paraId="1CF24E12" w14:textId="77777777" w:rsidR="00501FB8" w:rsidRPr="007434DA" w:rsidRDefault="00501FB8" w:rsidP="004A57B3">
            <w:pPr>
              <w:rPr>
                <w:rFonts w:cs="Calibri"/>
                <w:b/>
                <w:bCs/>
                <w:color w:val="000000"/>
                <w:sz w:val="18"/>
                <w:szCs w:val="18"/>
                <w:lang w:val="cs-CZ"/>
              </w:rPr>
            </w:pPr>
            <w:r w:rsidRPr="007434DA">
              <w:rPr>
                <w:rFonts w:cs="Calibri"/>
                <w:b/>
                <w:bCs/>
                <w:color w:val="000000"/>
                <w:sz w:val="18"/>
                <w:szCs w:val="18"/>
                <w:lang w:val="cs-CZ"/>
              </w:rPr>
              <w:t>Dojnice</w:t>
            </w:r>
          </w:p>
          <w:p w14:paraId="16A9CC34" w14:textId="77777777" w:rsidR="00501FB8" w:rsidRPr="007434DA" w:rsidRDefault="00501FB8" w:rsidP="004A57B3">
            <w:pPr>
              <w:rPr>
                <w:rFonts w:cs="Calibri"/>
                <w:b/>
                <w:bCs/>
                <w:color w:val="000000"/>
                <w:sz w:val="18"/>
                <w:szCs w:val="18"/>
                <w:lang w:val="cs-CZ"/>
              </w:rPr>
            </w:pPr>
          </w:p>
        </w:tc>
        <w:tc>
          <w:tcPr>
            <w:tcW w:w="1960" w:type="dxa"/>
            <w:vMerge w:val="restart"/>
            <w:tcBorders>
              <w:left w:val="single" w:sz="4" w:space="0" w:color="auto"/>
              <w:right w:val="single" w:sz="4" w:space="0" w:color="auto"/>
            </w:tcBorders>
            <w:vAlign w:val="center"/>
          </w:tcPr>
          <w:p w14:paraId="0B0B9B32" w14:textId="77777777" w:rsidR="00501FB8" w:rsidRPr="007434DA" w:rsidRDefault="00501FB8" w:rsidP="004A57B3">
            <w:pPr>
              <w:rPr>
                <w:rFonts w:cs="Calibri"/>
                <w:color w:val="000000"/>
                <w:sz w:val="18"/>
                <w:szCs w:val="18"/>
                <w:lang w:val="cs-CZ"/>
              </w:rPr>
            </w:pPr>
            <w:r w:rsidRPr="007434DA">
              <w:rPr>
                <w:rFonts w:cs="Calibri"/>
                <w:color w:val="000000"/>
                <w:sz w:val="18"/>
                <w:szCs w:val="18"/>
                <w:lang w:val="cs-CZ"/>
              </w:rPr>
              <w:t>Stav 2017: 369,8 tis. ks; z toho v ekologickém režimu odhad 6,5 ks</w:t>
            </w:r>
          </w:p>
        </w:tc>
        <w:tc>
          <w:tcPr>
            <w:tcW w:w="3273" w:type="dxa"/>
            <w:tcBorders>
              <w:top w:val="single" w:sz="4" w:space="0" w:color="auto"/>
              <w:left w:val="nil"/>
              <w:bottom w:val="single" w:sz="4" w:space="0" w:color="auto"/>
              <w:right w:val="single" w:sz="4" w:space="0" w:color="auto"/>
            </w:tcBorders>
            <w:shd w:val="clear" w:color="auto" w:fill="auto"/>
            <w:vAlign w:val="center"/>
          </w:tcPr>
          <w:p w14:paraId="574D7866" w14:textId="77777777" w:rsidR="00501FB8" w:rsidRPr="007434DA" w:rsidDel="00CD47CC" w:rsidRDefault="00501FB8" w:rsidP="004A57B3">
            <w:pPr>
              <w:rPr>
                <w:rFonts w:cs="Calibri"/>
                <w:color w:val="000000"/>
                <w:sz w:val="18"/>
                <w:szCs w:val="18"/>
                <w:lang w:val="cs-CZ"/>
              </w:rPr>
            </w:pPr>
            <w:r w:rsidRPr="007434DA">
              <w:rPr>
                <w:rFonts w:cs="Calibri"/>
                <w:color w:val="000000"/>
                <w:sz w:val="18"/>
                <w:szCs w:val="18"/>
                <w:lang w:val="cs-CZ"/>
              </w:rPr>
              <w:t>8) Pohyb zvířat ve venkovních prostorách, který může mít pozitivní vliv na jejich zdravotní stav, je omezen</w:t>
            </w:r>
          </w:p>
        </w:tc>
        <w:tc>
          <w:tcPr>
            <w:tcW w:w="3972" w:type="dxa"/>
            <w:tcBorders>
              <w:top w:val="single" w:sz="4" w:space="0" w:color="auto"/>
              <w:left w:val="nil"/>
              <w:bottom w:val="single" w:sz="4" w:space="0" w:color="auto"/>
              <w:right w:val="single" w:sz="4" w:space="0" w:color="auto"/>
            </w:tcBorders>
            <w:shd w:val="clear" w:color="auto" w:fill="auto"/>
            <w:vAlign w:val="center"/>
          </w:tcPr>
          <w:p w14:paraId="5210B37A" w14:textId="77777777" w:rsidR="00501FB8" w:rsidRPr="007434DA" w:rsidRDefault="00501FB8" w:rsidP="004A57B3">
            <w:pPr>
              <w:rPr>
                <w:rFonts w:cs="Calibri"/>
                <w:color w:val="000000"/>
                <w:sz w:val="18"/>
                <w:szCs w:val="18"/>
                <w:lang w:val="cs-CZ"/>
              </w:rPr>
            </w:pPr>
            <w:r w:rsidRPr="007434DA">
              <w:rPr>
                <w:rFonts w:cs="Calibri"/>
                <w:color w:val="000000"/>
                <w:sz w:val="18"/>
                <w:szCs w:val="18"/>
                <w:lang w:val="cs-CZ"/>
              </w:rPr>
              <w:t>8) Se změnu technologie ustájení a krmení dojnic (zavedení TMR) došlo k postupnému omezení pastvy dojnic a pohybu zvířat ve venkovních prostorách</w:t>
            </w:r>
          </w:p>
        </w:tc>
        <w:tc>
          <w:tcPr>
            <w:tcW w:w="4674" w:type="dxa"/>
            <w:tcBorders>
              <w:top w:val="single" w:sz="4" w:space="0" w:color="auto"/>
              <w:left w:val="nil"/>
              <w:bottom w:val="single" w:sz="4" w:space="0" w:color="auto"/>
              <w:right w:val="single" w:sz="4" w:space="0" w:color="auto"/>
            </w:tcBorders>
            <w:shd w:val="clear" w:color="auto" w:fill="auto"/>
            <w:vAlign w:val="center"/>
          </w:tcPr>
          <w:p w14:paraId="65C221AA" w14:textId="77777777" w:rsidR="00501FB8" w:rsidRPr="007434DA" w:rsidRDefault="00501FB8" w:rsidP="004A57B3">
            <w:pPr>
              <w:rPr>
                <w:rFonts w:cs="Calibri"/>
                <w:color w:val="000000"/>
                <w:sz w:val="18"/>
                <w:szCs w:val="18"/>
                <w:lang w:val="cs-CZ"/>
              </w:rPr>
            </w:pPr>
            <w:r w:rsidRPr="007434DA">
              <w:rPr>
                <w:rFonts w:cs="Calibri"/>
                <w:color w:val="000000"/>
                <w:sz w:val="18"/>
                <w:szCs w:val="18"/>
                <w:lang w:val="cs-CZ"/>
              </w:rPr>
              <w:t>8) Pod opatřením „Zajištění přístupu do výběhu pro suchostojné krávy“ bylo v letech 2015 – 2018 v průměru 18 % dojnic z celkového stavu dojnic chovaných v CŘ.</w:t>
            </w:r>
          </w:p>
        </w:tc>
      </w:tr>
      <w:tr w:rsidR="00501FB8" w:rsidRPr="0005469C" w14:paraId="2F62A4E5" w14:textId="77777777" w:rsidTr="004A57B3">
        <w:trPr>
          <w:trHeight w:val="851"/>
        </w:trPr>
        <w:tc>
          <w:tcPr>
            <w:tcW w:w="863" w:type="dxa"/>
            <w:vMerge/>
            <w:tcBorders>
              <w:left w:val="single" w:sz="4" w:space="0" w:color="auto"/>
              <w:right w:val="single" w:sz="4" w:space="0" w:color="auto"/>
            </w:tcBorders>
            <w:shd w:val="clear" w:color="auto" w:fill="auto"/>
            <w:vAlign w:val="center"/>
          </w:tcPr>
          <w:p w14:paraId="02BFC601" w14:textId="77777777" w:rsidR="00501FB8" w:rsidRPr="007434DA" w:rsidRDefault="00501FB8" w:rsidP="004A57B3">
            <w:pPr>
              <w:rPr>
                <w:rFonts w:cs="Calibri"/>
                <w:b/>
                <w:bCs/>
                <w:color w:val="000000"/>
                <w:sz w:val="18"/>
                <w:szCs w:val="18"/>
                <w:lang w:val="cs-CZ"/>
              </w:rPr>
            </w:pPr>
          </w:p>
        </w:tc>
        <w:tc>
          <w:tcPr>
            <w:tcW w:w="1960" w:type="dxa"/>
            <w:vMerge/>
            <w:tcBorders>
              <w:left w:val="single" w:sz="4" w:space="0" w:color="auto"/>
              <w:right w:val="single" w:sz="4" w:space="0" w:color="auto"/>
            </w:tcBorders>
            <w:vAlign w:val="center"/>
          </w:tcPr>
          <w:p w14:paraId="121BBD21" w14:textId="77777777" w:rsidR="00501FB8" w:rsidRPr="007434DA" w:rsidRDefault="00501FB8" w:rsidP="004A57B3">
            <w:pPr>
              <w:rPr>
                <w:rFonts w:cs="Calibri"/>
                <w:color w:val="000000"/>
                <w:sz w:val="18"/>
                <w:szCs w:val="18"/>
                <w:lang w:val="cs-CZ"/>
              </w:rPr>
            </w:pPr>
          </w:p>
        </w:tc>
        <w:tc>
          <w:tcPr>
            <w:tcW w:w="3273" w:type="dxa"/>
            <w:tcBorders>
              <w:top w:val="single" w:sz="4" w:space="0" w:color="auto"/>
              <w:left w:val="nil"/>
              <w:bottom w:val="single" w:sz="4" w:space="0" w:color="auto"/>
              <w:right w:val="single" w:sz="4" w:space="0" w:color="auto"/>
            </w:tcBorders>
            <w:shd w:val="clear" w:color="auto" w:fill="auto"/>
            <w:vAlign w:val="center"/>
          </w:tcPr>
          <w:p w14:paraId="4D334746" w14:textId="77777777" w:rsidR="00501FB8" w:rsidRPr="007434DA" w:rsidDel="00CD47CC" w:rsidRDefault="00501FB8" w:rsidP="004A57B3">
            <w:pPr>
              <w:rPr>
                <w:rFonts w:cs="Calibri"/>
                <w:color w:val="000000"/>
                <w:sz w:val="18"/>
                <w:szCs w:val="18"/>
                <w:lang w:val="cs-CZ"/>
              </w:rPr>
            </w:pPr>
            <w:r w:rsidRPr="007434DA">
              <w:rPr>
                <w:rFonts w:cs="Calibri"/>
                <w:color w:val="000000"/>
                <w:sz w:val="18"/>
                <w:szCs w:val="18"/>
                <w:lang w:val="cs-CZ"/>
              </w:rPr>
              <w:t xml:space="preserve">9) Zhoršené výsledky reprodukce a s tím spojené používání hormonálních preparátů s dopadem na kvalitu mléka a masa    </w:t>
            </w:r>
          </w:p>
        </w:tc>
        <w:tc>
          <w:tcPr>
            <w:tcW w:w="3972" w:type="dxa"/>
            <w:tcBorders>
              <w:top w:val="single" w:sz="4" w:space="0" w:color="auto"/>
              <w:left w:val="nil"/>
              <w:bottom w:val="single" w:sz="4" w:space="0" w:color="auto"/>
              <w:right w:val="single" w:sz="4" w:space="0" w:color="auto"/>
            </w:tcBorders>
            <w:shd w:val="clear" w:color="auto" w:fill="auto"/>
            <w:vAlign w:val="center"/>
          </w:tcPr>
          <w:p w14:paraId="43422052" w14:textId="77777777" w:rsidR="00501FB8" w:rsidRPr="007434DA" w:rsidRDefault="00501FB8" w:rsidP="004A57B3">
            <w:pPr>
              <w:rPr>
                <w:rFonts w:cs="Calibri"/>
                <w:color w:val="000000"/>
                <w:sz w:val="18"/>
                <w:szCs w:val="18"/>
                <w:lang w:val="cs-CZ"/>
              </w:rPr>
            </w:pPr>
            <w:r w:rsidRPr="007434DA">
              <w:rPr>
                <w:rFonts w:cs="Calibri"/>
                <w:color w:val="000000"/>
                <w:sz w:val="18"/>
                <w:szCs w:val="18"/>
                <w:lang w:val="cs-CZ"/>
              </w:rPr>
              <w:t xml:space="preserve">9) Nedostatečná kontrola puerperia     </w:t>
            </w:r>
          </w:p>
        </w:tc>
        <w:tc>
          <w:tcPr>
            <w:tcW w:w="4674" w:type="dxa"/>
            <w:tcBorders>
              <w:top w:val="single" w:sz="4" w:space="0" w:color="auto"/>
              <w:left w:val="nil"/>
              <w:bottom w:val="single" w:sz="4" w:space="0" w:color="auto"/>
              <w:right w:val="single" w:sz="4" w:space="0" w:color="auto"/>
            </w:tcBorders>
            <w:shd w:val="clear" w:color="auto" w:fill="auto"/>
            <w:vAlign w:val="center"/>
          </w:tcPr>
          <w:p w14:paraId="5ADEC619" w14:textId="77777777" w:rsidR="00501FB8" w:rsidRPr="007434DA" w:rsidRDefault="00501FB8" w:rsidP="004A57B3">
            <w:pPr>
              <w:rPr>
                <w:rFonts w:cs="Calibri"/>
                <w:color w:val="000000"/>
                <w:sz w:val="18"/>
                <w:szCs w:val="18"/>
                <w:lang w:val="cs-CZ"/>
              </w:rPr>
            </w:pPr>
            <w:r w:rsidRPr="007434DA">
              <w:rPr>
                <w:rFonts w:cs="Calibri"/>
                <w:color w:val="000000"/>
                <w:sz w:val="18"/>
                <w:szCs w:val="18"/>
                <w:lang w:val="cs-CZ"/>
              </w:rPr>
              <w:t>9) Kvalifikovaný odhad VÚŽV: 20 % (podíl z celkového počtu chovů)</w:t>
            </w:r>
          </w:p>
        </w:tc>
      </w:tr>
      <w:tr w:rsidR="00501FB8" w:rsidRPr="0005469C" w14:paraId="56668347" w14:textId="77777777" w:rsidTr="004A57B3">
        <w:trPr>
          <w:trHeight w:val="851"/>
        </w:trPr>
        <w:tc>
          <w:tcPr>
            <w:tcW w:w="863" w:type="dxa"/>
            <w:vMerge/>
            <w:tcBorders>
              <w:left w:val="single" w:sz="4" w:space="0" w:color="auto"/>
              <w:bottom w:val="single" w:sz="4" w:space="0" w:color="auto"/>
              <w:right w:val="single" w:sz="4" w:space="0" w:color="auto"/>
            </w:tcBorders>
            <w:shd w:val="clear" w:color="auto" w:fill="auto"/>
            <w:vAlign w:val="center"/>
          </w:tcPr>
          <w:p w14:paraId="765CA9AC" w14:textId="77777777" w:rsidR="00501FB8" w:rsidRPr="007434DA" w:rsidRDefault="00501FB8" w:rsidP="004A57B3">
            <w:pPr>
              <w:rPr>
                <w:rFonts w:cs="Calibri"/>
                <w:b/>
                <w:bCs/>
                <w:color w:val="000000"/>
                <w:sz w:val="18"/>
                <w:szCs w:val="18"/>
                <w:lang w:val="cs-CZ"/>
              </w:rPr>
            </w:pPr>
          </w:p>
        </w:tc>
        <w:tc>
          <w:tcPr>
            <w:tcW w:w="1960" w:type="dxa"/>
            <w:vMerge/>
            <w:tcBorders>
              <w:left w:val="single" w:sz="4" w:space="0" w:color="auto"/>
              <w:bottom w:val="single" w:sz="4" w:space="0" w:color="000000"/>
              <w:right w:val="single" w:sz="4" w:space="0" w:color="auto"/>
            </w:tcBorders>
            <w:vAlign w:val="center"/>
          </w:tcPr>
          <w:p w14:paraId="5BE62C6F" w14:textId="77777777" w:rsidR="00501FB8" w:rsidRPr="007434DA" w:rsidRDefault="00501FB8" w:rsidP="004A57B3">
            <w:pPr>
              <w:rPr>
                <w:rFonts w:cs="Calibri"/>
                <w:color w:val="000000"/>
                <w:sz w:val="18"/>
                <w:szCs w:val="18"/>
                <w:lang w:val="cs-CZ"/>
              </w:rPr>
            </w:pPr>
          </w:p>
        </w:tc>
        <w:tc>
          <w:tcPr>
            <w:tcW w:w="3273" w:type="dxa"/>
            <w:tcBorders>
              <w:top w:val="single" w:sz="4" w:space="0" w:color="auto"/>
              <w:left w:val="nil"/>
              <w:bottom w:val="single" w:sz="4" w:space="0" w:color="auto"/>
              <w:right w:val="single" w:sz="4" w:space="0" w:color="auto"/>
            </w:tcBorders>
            <w:shd w:val="clear" w:color="auto" w:fill="auto"/>
            <w:vAlign w:val="center"/>
          </w:tcPr>
          <w:p w14:paraId="28438F65" w14:textId="77777777" w:rsidR="00501FB8" w:rsidRPr="007434DA" w:rsidRDefault="00501FB8" w:rsidP="004A57B3">
            <w:pPr>
              <w:rPr>
                <w:rFonts w:cs="Calibri"/>
                <w:color w:val="000000"/>
                <w:sz w:val="18"/>
                <w:szCs w:val="18"/>
                <w:lang w:val="cs-CZ"/>
              </w:rPr>
            </w:pPr>
            <w:r w:rsidRPr="007434DA">
              <w:rPr>
                <w:rFonts w:cs="Calibri"/>
                <w:color w:val="000000"/>
                <w:sz w:val="18"/>
                <w:szCs w:val="18"/>
                <w:lang w:val="cs-CZ"/>
              </w:rPr>
              <w:t>10) Omezení pohybu zvířat díky nevhodné technologii ustájení, neumožnění uspokojování přirozených potřeb zvířat, zdravotní komplikace, projevy stereotypního chování</w:t>
            </w:r>
          </w:p>
        </w:tc>
        <w:tc>
          <w:tcPr>
            <w:tcW w:w="3972" w:type="dxa"/>
            <w:tcBorders>
              <w:top w:val="single" w:sz="4" w:space="0" w:color="auto"/>
              <w:left w:val="nil"/>
              <w:bottom w:val="single" w:sz="4" w:space="0" w:color="auto"/>
              <w:right w:val="single" w:sz="4" w:space="0" w:color="auto"/>
            </w:tcBorders>
            <w:shd w:val="clear" w:color="auto" w:fill="auto"/>
            <w:vAlign w:val="center"/>
          </w:tcPr>
          <w:p w14:paraId="42E0CCD7" w14:textId="77777777" w:rsidR="00501FB8" w:rsidRPr="007434DA" w:rsidRDefault="00501FB8" w:rsidP="004A57B3">
            <w:pPr>
              <w:rPr>
                <w:rFonts w:cs="Calibri"/>
                <w:color w:val="000000"/>
                <w:sz w:val="18"/>
                <w:szCs w:val="18"/>
                <w:lang w:val="cs-CZ"/>
              </w:rPr>
            </w:pPr>
            <w:r w:rsidRPr="007434DA">
              <w:rPr>
                <w:rFonts w:cs="Calibri"/>
                <w:color w:val="000000"/>
                <w:sz w:val="18"/>
                <w:szCs w:val="18"/>
                <w:lang w:val="cs-CZ"/>
              </w:rPr>
              <w:t>10) Využívání vazného ustájení v chovech dojnic (a jalovic).</w:t>
            </w:r>
          </w:p>
        </w:tc>
        <w:tc>
          <w:tcPr>
            <w:tcW w:w="4674" w:type="dxa"/>
            <w:tcBorders>
              <w:top w:val="single" w:sz="4" w:space="0" w:color="auto"/>
              <w:left w:val="nil"/>
              <w:bottom w:val="single" w:sz="4" w:space="0" w:color="auto"/>
              <w:right w:val="single" w:sz="4" w:space="0" w:color="auto"/>
            </w:tcBorders>
            <w:shd w:val="clear" w:color="auto" w:fill="auto"/>
            <w:vAlign w:val="center"/>
          </w:tcPr>
          <w:p w14:paraId="451F21F5" w14:textId="77777777" w:rsidR="00501FB8" w:rsidRPr="007434DA" w:rsidRDefault="00501FB8" w:rsidP="004A57B3">
            <w:pPr>
              <w:rPr>
                <w:rFonts w:cs="Calibri"/>
                <w:color w:val="000000"/>
                <w:sz w:val="18"/>
                <w:szCs w:val="18"/>
                <w:lang w:val="cs-CZ"/>
              </w:rPr>
            </w:pPr>
            <w:r w:rsidRPr="007434DA">
              <w:rPr>
                <w:rFonts w:cs="Calibri"/>
                <w:color w:val="000000"/>
                <w:sz w:val="18"/>
                <w:szCs w:val="18"/>
                <w:lang w:val="cs-CZ"/>
              </w:rPr>
              <w:t>10) Vazné ustájení (Doležal, Staněk 2015): ze 136 chovů zařazených do výzkumu využívalo vazné ustájení dojnic 3,5 % (jalovic 5,8 %).</w:t>
            </w:r>
          </w:p>
        </w:tc>
      </w:tr>
      <w:tr w:rsidR="00501FB8" w:rsidRPr="0005469C" w14:paraId="75E08C8F" w14:textId="77777777" w:rsidTr="004A57B3">
        <w:trPr>
          <w:trHeight w:val="501"/>
        </w:trPr>
        <w:tc>
          <w:tcPr>
            <w:tcW w:w="8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5C71B60" w14:textId="77777777" w:rsidR="00501FB8" w:rsidRPr="007434DA" w:rsidRDefault="00501FB8" w:rsidP="004A57B3">
            <w:pPr>
              <w:rPr>
                <w:rFonts w:cs="Calibri"/>
                <w:b/>
                <w:bCs/>
                <w:color w:val="000000"/>
                <w:sz w:val="18"/>
                <w:szCs w:val="18"/>
                <w:lang w:val="cs-CZ"/>
              </w:rPr>
            </w:pPr>
            <w:r w:rsidRPr="007434DA">
              <w:rPr>
                <w:rFonts w:cs="Calibri"/>
                <w:b/>
                <w:bCs/>
                <w:color w:val="000000"/>
                <w:sz w:val="18"/>
                <w:szCs w:val="18"/>
                <w:lang w:val="cs-CZ"/>
              </w:rPr>
              <w:t>KBTPM</w:t>
            </w:r>
          </w:p>
        </w:tc>
        <w:tc>
          <w:tcPr>
            <w:tcW w:w="1960" w:type="dxa"/>
            <w:vMerge w:val="restart"/>
            <w:tcBorders>
              <w:top w:val="nil"/>
              <w:left w:val="single" w:sz="4" w:space="0" w:color="auto"/>
              <w:bottom w:val="single" w:sz="4" w:space="0" w:color="auto"/>
              <w:right w:val="single" w:sz="4" w:space="0" w:color="auto"/>
            </w:tcBorders>
            <w:shd w:val="clear" w:color="auto" w:fill="auto"/>
            <w:vAlign w:val="center"/>
            <w:hideMark/>
          </w:tcPr>
          <w:p w14:paraId="327210E3" w14:textId="77777777" w:rsidR="00501FB8" w:rsidRPr="007434DA" w:rsidRDefault="00501FB8" w:rsidP="004A57B3">
            <w:pPr>
              <w:jc w:val="center"/>
              <w:rPr>
                <w:rFonts w:cs="Calibri"/>
                <w:color w:val="000000"/>
                <w:sz w:val="18"/>
                <w:szCs w:val="18"/>
                <w:lang w:val="cs-CZ"/>
              </w:rPr>
            </w:pPr>
            <w:r w:rsidRPr="007434DA">
              <w:rPr>
                <w:rFonts w:cs="Calibri"/>
                <w:color w:val="000000"/>
                <w:sz w:val="18"/>
                <w:szCs w:val="18"/>
                <w:lang w:val="cs-CZ"/>
              </w:rPr>
              <w:t>Stav 2017: 216,1 tis. ks z toho v ekologickém režimu: 52 % (112,2 tis. ks (2016)</w:t>
            </w:r>
          </w:p>
        </w:tc>
        <w:tc>
          <w:tcPr>
            <w:tcW w:w="3273" w:type="dxa"/>
            <w:tcBorders>
              <w:top w:val="nil"/>
              <w:left w:val="nil"/>
              <w:bottom w:val="single" w:sz="4" w:space="0" w:color="auto"/>
              <w:right w:val="single" w:sz="4" w:space="0" w:color="auto"/>
            </w:tcBorders>
            <w:shd w:val="clear" w:color="auto" w:fill="auto"/>
            <w:vAlign w:val="center"/>
            <w:hideMark/>
          </w:tcPr>
          <w:p w14:paraId="5CFE943A" w14:textId="77777777" w:rsidR="00501FB8" w:rsidRPr="007434DA" w:rsidRDefault="00501FB8" w:rsidP="004A57B3">
            <w:pPr>
              <w:rPr>
                <w:rFonts w:cs="Calibri"/>
                <w:color w:val="000000"/>
                <w:sz w:val="18"/>
                <w:szCs w:val="18"/>
                <w:lang w:val="cs-CZ"/>
              </w:rPr>
            </w:pPr>
            <w:r w:rsidRPr="007434DA">
              <w:rPr>
                <w:rFonts w:cs="Calibri"/>
                <w:color w:val="000000"/>
                <w:sz w:val="18"/>
                <w:szCs w:val="18"/>
                <w:lang w:val="cs-CZ"/>
              </w:rPr>
              <w:t>1) Parazitární onemocnění (i mezidruhové)</w:t>
            </w:r>
          </w:p>
        </w:tc>
        <w:tc>
          <w:tcPr>
            <w:tcW w:w="3972" w:type="dxa"/>
            <w:tcBorders>
              <w:top w:val="nil"/>
              <w:left w:val="nil"/>
              <w:bottom w:val="single" w:sz="4" w:space="0" w:color="auto"/>
              <w:right w:val="single" w:sz="4" w:space="0" w:color="auto"/>
            </w:tcBorders>
            <w:shd w:val="clear" w:color="auto" w:fill="auto"/>
            <w:vAlign w:val="center"/>
            <w:hideMark/>
          </w:tcPr>
          <w:p w14:paraId="2D896504" w14:textId="77777777" w:rsidR="00501FB8" w:rsidRPr="007434DA" w:rsidRDefault="00501FB8" w:rsidP="004A57B3">
            <w:pPr>
              <w:rPr>
                <w:rFonts w:cs="Calibri"/>
                <w:color w:val="000000"/>
                <w:sz w:val="18"/>
                <w:szCs w:val="18"/>
                <w:lang w:val="cs-CZ"/>
              </w:rPr>
            </w:pPr>
            <w:r w:rsidRPr="007434DA">
              <w:rPr>
                <w:rFonts w:cs="Calibri"/>
                <w:color w:val="000000"/>
                <w:sz w:val="18"/>
                <w:szCs w:val="18"/>
                <w:lang w:val="cs-CZ"/>
              </w:rPr>
              <w:t xml:space="preserve">1) Špatný management ošetřování pastvin a odčervovací program, přenos parazitů z volně žijící zvěře. </w:t>
            </w:r>
          </w:p>
        </w:tc>
        <w:tc>
          <w:tcPr>
            <w:tcW w:w="4674" w:type="dxa"/>
            <w:tcBorders>
              <w:top w:val="nil"/>
              <w:left w:val="nil"/>
              <w:bottom w:val="single" w:sz="4" w:space="0" w:color="auto"/>
              <w:right w:val="single" w:sz="4" w:space="0" w:color="auto"/>
            </w:tcBorders>
            <w:shd w:val="clear" w:color="auto" w:fill="auto"/>
            <w:vAlign w:val="center"/>
            <w:hideMark/>
          </w:tcPr>
          <w:p w14:paraId="0AF50C2B" w14:textId="77777777" w:rsidR="00501FB8" w:rsidRPr="007434DA" w:rsidRDefault="00501FB8" w:rsidP="004A57B3">
            <w:pPr>
              <w:rPr>
                <w:rFonts w:cs="Calibri"/>
                <w:color w:val="000000"/>
                <w:sz w:val="18"/>
                <w:szCs w:val="18"/>
                <w:lang w:val="cs-CZ"/>
              </w:rPr>
            </w:pPr>
            <w:r w:rsidRPr="007434DA">
              <w:rPr>
                <w:rFonts w:cs="Calibri"/>
                <w:color w:val="000000"/>
                <w:sz w:val="18"/>
                <w:szCs w:val="18"/>
                <w:lang w:val="cs-CZ"/>
              </w:rPr>
              <w:t>1) Kvalifikovaný odhad VÚŽV: 60 % (podíl z celkového počtu chovů)</w:t>
            </w:r>
          </w:p>
        </w:tc>
      </w:tr>
      <w:tr w:rsidR="00501FB8" w:rsidRPr="0005469C" w14:paraId="2BA8A2B1" w14:textId="77777777" w:rsidTr="004A57B3">
        <w:trPr>
          <w:trHeight w:val="577"/>
        </w:trPr>
        <w:tc>
          <w:tcPr>
            <w:tcW w:w="863" w:type="dxa"/>
            <w:vMerge/>
            <w:tcBorders>
              <w:top w:val="nil"/>
              <w:left w:val="single" w:sz="4" w:space="0" w:color="auto"/>
              <w:bottom w:val="single" w:sz="4" w:space="0" w:color="auto"/>
              <w:right w:val="single" w:sz="4" w:space="0" w:color="auto"/>
            </w:tcBorders>
            <w:vAlign w:val="center"/>
            <w:hideMark/>
          </w:tcPr>
          <w:p w14:paraId="427D39F8" w14:textId="77777777" w:rsidR="00501FB8" w:rsidRPr="007434DA" w:rsidRDefault="00501FB8" w:rsidP="004A57B3">
            <w:pPr>
              <w:rPr>
                <w:rFonts w:cs="Calibri"/>
                <w:b/>
                <w:bCs/>
                <w:color w:val="000000"/>
                <w:sz w:val="18"/>
                <w:szCs w:val="18"/>
                <w:lang w:val="cs-CZ"/>
              </w:rPr>
            </w:pPr>
          </w:p>
        </w:tc>
        <w:tc>
          <w:tcPr>
            <w:tcW w:w="1960" w:type="dxa"/>
            <w:vMerge/>
            <w:tcBorders>
              <w:top w:val="nil"/>
              <w:left w:val="single" w:sz="4" w:space="0" w:color="auto"/>
              <w:bottom w:val="single" w:sz="4" w:space="0" w:color="auto"/>
              <w:right w:val="single" w:sz="4" w:space="0" w:color="auto"/>
            </w:tcBorders>
            <w:vAlign w:val="center"/>
            <w:hideMark/>
          </w:tcPr>
          <w:p w14:paraId="5925A7D9" w14:textId="77777777" w:rsidR="00501FB8" w:rsidRPr="007434DA" w:rsidRDefault="00501FB8" w:rsidP="004A57B3">
            <w:pPr>
              <w:rPr>
                <w:rFonts w:cs="Calibri"/>
                <w:color w:val="000000"/>
                <w:sz w:val="18"/>
                <w:szCs w:val="18"/>
                <w:lang w:val="cs-CZ"/>
              </w:rPr>
            </w:pPr>
          </w:p>
        </w:tc>
        <w:tc>
          <w:tcPr>
            <w:tcW w:w="3273" w:type="dxa"/>
            <w:tcBorders>
              <w:top w:val="nil"/>
              <w:left w:val="nil"/>
              <w:bottom w:val="single" w:sz="4" w:space="0" w:color="auto"/>
              <w:right w:val="single" w:sz="4" w:space="0" w:color="auto"/>
            </w:tcBorders>
            <w:shd w:val="clear" w:color="auto" w:fill="auto"/>
            <w:vAlign w:val="center"/>
            <w:hideMark/>
          </w:tcPr>
          <w:p w14:paraId="14A517FC" w14:textId="77777777" w:rsidR="00501FB8" w:rsidRPr="007434DA" w:rsidRDefault="00501FB8" w:rsidP="004A57B3">
            <w:pPr>
              <w:rPr>
                <w:rFonts w:cs="Calibri"/>
                <w:color w:val="000000"/>
                <w:sz w:val="18"/>
                <w:szCs w:val="18"/>
                <w:lang w:val="cs-CZ"/>
              </w:rPr>
            </w:pPr>
            <w:r w:rsidRPr="007434DA">
              <w:rPr>
                <w:rFonts w:cs="Calibri"/>
                <w:color w:val="000000"/>
                <w:sz w:val="18"/>
                <w:szCs w:val="18"/>
                <w:lang w:val="cs-CZ"/>
              </w:rPr>
              <w:t>2) Tepelný stres zvířat</w:t>
            </w:r>
          </w:p>
        </w:tc>
        <w:tc>
          <w:tcPr>
            <w:tcW w:w="3972" w:type="dxa"/>
            <w:tcBorders>
              <w:top w:val="nil"/>
              <w:left w:val="nil"/>
              <w:bottom w:val="single" w:sz="4" w:space="0" w:color="auto"/>
              <w:right w:val="single" w:sz="4" w:space="0" w:color="auto"/>
            </w:tcBorders>
            <w:shd w:val="clear" w:color="auto" w:fill="auto"/>
            <w:vAlign w:val="center"/>
            <w:hideMark/>
          </w:tcPr>
          <w:p w14:paraId="1C95E475" w14:textId="77777777" w:rsidR="00501FB8" w:rsidRPr="007434DA" w:rsidRDefault="00501FB8" w:rsidP="004A57B3">
            <w:pPr>
              <w:rPr>
                <w:rFonts w:cs="Calibri"/>
                <w:color w:val="000000"/>
                <w:sz w:val="18"/>
                <w:szCs w:val="18"/>
                <w:lang w:val="cs-CZ"/>
              </w:rPr>
            </w:pPr>
            <w:r w:rsidRPr="007434DA">
              <w:rPr>
                <w:rFonts w:cs="Calibri"/>
                <w:color w:val="000000"/>
                <w:sz w:val="18"/>
                <w:szCs w:val="18"/>
                <w:lang w:val="cs-CZ"/>
              </w:rPr>
              <w:t>2) Nedostatečná zastíněná plocha na pastvinách, nedostatek napájecí vody</w:t>
            </w:r>
          </w:p>
        </w:tc>
        <w:tc>
          <w:tcPr>
            <w:tcW w:w="4674" w:type="dxa"/>
            <w:tcBorders>
              <w:top w:val="nil"/>
              <w:left w:val="nil"/>
              <w:bottom w:val="single" w:sz="4" w:space="0" w:color="auto"/>
              <w:right w:val="single" w:sz="4" w:space="0" w:color="auto"/>
            </w:tcBorders>
            <w:shd w:val="clear" w:color="auto" w:fill="auto"/>
            <w:vAlign w:val="center"/>
            <w:hideMark/>
          </w:tcPr>
          <w:p w14:paraId="3D6A220A" w14:textId="77777777" w:rsidR="00501FB8" w:rsidRPr="007434DA" w:rsidRDefault="00501FB8" w:rsidP="004A57B3">
            <w:pPr>
              <w:rPr>
                <w:rFonts w:cs="Calibri"/>
                <w:color w:val="000000"/>
                <w:sz w:val="18"/>
                <w:szCs w:val="18"/>
                <w:lang w:val="cs-CZ"/>
              </w:rPr>
            </w:pPr>
            <w:r w:rsidRPr="007434DA">
              <w:rPr>
                <w:rFonts w:cs="Calibri"/>
                <w:color w:val="000000"/>
                <w:sz w:val="18"/>
                <w:szCs w:val="18"/>
                <w:lang w:val="cs-CZ"/>
              </w:rPr>
              <w:t>2) Kvalifikovaný odhad VÚŽV: 60 % (podíl z celkového počtu chovů)</w:t>
            </w:r>
          </w:p>
        </w:tc>
      </w:tr>
      <w:tr w:rsidR="00501FB8" w:rsidRPr="0005469C" w14:paraId="6A66768E" w14:textId="77777777" w:rsidTr="004A57B3">
        <w:trPr>
          <w:trHeight w:val="440"/>
        </w:trPr>
        <w:tc>
          <w:tcPr>
            <w:tcW w:w="863" w:type="dxa"/>
            <w:vMerge/>
            <w:tcBorders>
              <w:top w:val="nil"/>
              <w:left w:val="single" w:sz="4" w:space="0" w:color="auto"/>
              <w:bottom w:val="single" w:sz="4" w:space="0" w:color="auto"/>
              <w:right w:val="single" w:sz="4" w:space="0" w:color="auto"/>
            </w:tcBorders>
            <w:vAlign w:val="center"/>
            <w:hideMark/>
          </w:tcPr>
          <w:p w14:paraId="7F761798" w14:textId="77777777" w:rsidR="00501FB8" w:rsidRPr="007434DA" w:rsidRDefault="00501FB8" w:rsidP="004A57B3">
            <w:pPr>
              <w:rPr>
                <w:rFonts w:cs="Calibri"/>
                <w:b/>
                <w:bCs/>
                <w:color w:val="000000"/>
                <w:sz w:val="18"/>
                <w:szCs w:val="18"/>
                <w:lang w:val="cs-CZ"/>
              </w:rPr>
            </w:pPr>
          </w:p>
        </w:tc>
        <w:tc>
          <w:tcPr>
            <w:tcW w:w="1960" w:type="dxa"/>
            <w:vMerge/>
            <w:tcBorders>
              <w:top w:val="nil"/>
              <w:left w:val="single" w:sz="4" w:space="0" w:color="auto"/>
              <w:bottom w:val="single" w:sz="4" w:space="0" w:color="auto"/>
              <w:right w:val="single" w:sz="4" w:space="0" w:color="auto"/>
            </w:tcBorders>
            <w:vAlign w:val="center"/>
            <w:hideMark/>
          </w:tcPr>
          <w:p w14:paraId="7074245E" w14:textId="77777777" w:rsidR="00501FB8" w:rsidRPr="007434DA" w:rsidRDefault="00501FB8" w:rsidP="004A57B3">
            <w:pPr>
              <w:rPr>
                <w:rFonts w:cs="Calibri"/>
                <w:color w:val="000000"/>
                <w:sz w:val="18"/>
                <w:szCs w:val="18"/>
                <w:lang w:val="cs-CZ"/>
              </w:rPr>
            </w:pPr>
          </w:p>
        </w:tc>
        <w:tc>
          <w:tcPr>
            <w:tcW w:w="3273" w:type="dxa"/>
            <w:tcBorders>
              <w:top w:val="nil"/>
              <w:left w:val="nil"/>
              <w:bottom w:val="single" w:sz="4" w:space="0" w:color="auto"/>
              <w:right w:val="single" w:sz="4" w:space="0" w:color="auto"/>
            </w:tcBorders>
            <w:shd w:val="clear" w:color="auto" w:fill="auto"/>
            <w:vAlign w:val="center"/>
            <w:hideMark/>
          </w:tcPr>
          <w:p w14:paraId="32A4179F" w14:textId="77777777" w:rsidR="00501FB8" w:rsidRPr="007434DA" w:rsidRDefault="00501FB8" w:rsidP="004A57B3">
            <w:pPr>
              <w:rPr>
                <w:rFonts w:cs="Calibri"/>
                <w:color w:val="000000"/>
                <w:sz w:val="18"/>
                <w:szCs w:val="18"/>
                <w:lang w:val="cs-CZ"/>
              </w:rPr>
            </w:pPr>
            <w:r w:rsidRPr="007434DA">
              <w:rPr>
                <w:rFonts w:cs="Calibri"/>
                <w:color w:val="000000"/>
                <w:sz w:val="18"/>
                <w:szCs w:val="18"/>
                <w:lang w:val="cs-CZ"/>
              </w:rPr>
              <w:t>3) Vyšší infekční tlak v zimovištích</w:t>
            </w:r>
          </w:p>
        </w:tc>
        <w:tc>
          <w:tcPr>
            <w:tcW w:w="3972" w:type="dxa"/>
            <w:tcBorders>
              <w:top w:val="nil"/>
              <w:left w:val="nil"/>
              <w:bottom w:val="single" w:sz="4" w:space="0" w:color="auto"/>
              <w:right w:val="single" w:sz="4" w:space="0" w:color="auto"/>
            </w:tcBorders>
            <w:shd w:val="clear" w:color="auto" w:fill="auto"/>
            <w:vAlign w:val="center"/>
            <w:hideMark/>
          </w:tcPr>
          <w:p w14:paraId="5C2AF0C6" w14:textId="77777777" w:rsidR="00501FB8" w:rsidRPr="007434DA" w:rsidRDefault="00501FB8" w:rsidP="004A57B3">
            <w:pPr>
              <w:rPr>
                <w:rFonts w:cs="Calibri"/>
                <w:color w:val="000000"/>
                <w:sz w:val="18"/>
                <w:szCs w:val="18"/>
                <w:lang w:val="cs-CZ"/>
              </w:rPr>
            </w:pPr>
            <w:r w:rsidRPr="007434DA">
              <w:rPr>
                <w:rFonts w:cs="Calibri"/>
                <w:color w:val="000000"/>
                <w:sz w:val="18"/>
                <w:szCs w:val="18"/>
                <w:lang w:val="cs-CZ"/>
              </w:rPr>
              <w:t xml:space="preserve">3) Nedodržování zásad zoohygieny a biosecurity </w:t>
            </w:r>
          </w:p>
        </w:tc>
        <w:tc>
          <w:tcPr>
            <w:tcW w:w="4674" w:type="dxa"/>
            <w:tcBorders>
              <w:top w:val="nil"/>
              <w:left w:val="nil"/>
              <w:bottom w:val="single" w:sz="4" w:space="0" w:color="auto"/>
              <w:right w:val="single" w:sz="4" w:space="0" w:color="auto"/>
            </w:tcBorders>
            <w:shd w:val="clear" w:color="auto" w:fill="auto"/>
            <w:vAlign w:val="center"/>
            <w:hideMark/>
          </w:tcPr>
          <w:p w14:paraId="7663B6BD" w14:textId="77777777" w:rsidR="00501FB8" w:rsidRPr="007434DA" w:rsidRDefault="00501FB8" w:rsidP="004A57B3">
            <w:pPr>
              <w:rPr>
                <w:rFonts w:cs="Calibri"/>
                <w:color w:val="000000"/>
                <w:sz w:val="18"/>
                <w:szCs w:val="18"/>
                <w:lang w:val="cs-CZ"/>
              </w:rPr>
            </w:pPr>
            <w:r w:rsidRPr="007434DA">
              <w:rPr>
                <w:rFonts w:cs="Calibri"/>
                <w:color w:val="000000"/>
                <w:sz w:val="18"/>
                <w:szCs w:val="18"/>
                <w:lang w:val="cs-CZ"/>
              </w:rPr>
              <w:t>3) Kvalifikovaný odhad VÚŽV: 40 % (podíl z celkového počtu chovů)</w:t>
            </w:r>
          </w:p>
        </w:tc>
      </w:tr>
      <w:tr w:rsidR="00501FB8" w:rsidRPr="0005469C" w14:paraId="63808CF4" w14:textId="77777777" w:rsidTr="004A57B3">
        <w:trPr>
          <w:trHeight w:val="440"/>
        </w:trPr>
        <w:tc>
          <w:tcPr>
            <w:tcW w:w="863" w:type="dxa"/>
            <w:tcBorders>
              <w:top w:val="single" w:sz="4" w:space="0" w:color="auto"/>
              <w:left w:val="single" w:sz="4" w:space="0" w:color="auto"/>
              <w:bottom w:val="single" w:sz="4" w:space="0" w:color="auto"/>
              <w:right w:val="single" w:sz="4" w:space="0" w:color="auto"/>
            </w:tcBorders>
            <w:vAlign w:val="center"/>
          </w:tcPr>
          <w:p w14:paraId="77DF1633" w14:textId="77777777" w:rsidR="00501FB8" w:rsidRPr="007434DA" w:rsidRDefault="00501FB8" w:rsidP="004A57B3">
            <w:pPr>
              <w:rPr>
                <w:rFonts w:cs="Calibri"/>
                <w:b/>
                <w:bCs/>
                <w:color w:val="000000"/>
                <w:sz w:val="18"/>
                <w:szCs w:val="18"/>
                <w:lang w:val="cs-CZ"/>
              </w:rPr>
            </w:pPr>
            <w:r w:rsidRPr="007434DA">
              <w:rPr>
                <w:rFonts w:cs="Calibri"/>
                <w:b/>
                <w:bCs/>
                <w:color w:val="000000"/>
                <w:sz w:val="18"/>
                <w:szCs w:val="18"/>
                <w:lang w:val="cs-CZ"/>
              </w:rPr>
              <w:t>Býci ve výkrmu</w:t>
            </w:r>
          </w:p>
        </w:tc>
        <w:tc>
          <w:tcPr>
            <w:tcW w:w="1960" w:type="dxa"/>
            <w:tcBorders>
              <w:top w:val="single" w:sz="4" w:space="0" w:color="auto"/>
              <w:left w:val="single" w:sz="4" w:space="0" w:color="auto"/>
              <w:bottom w:val="single" w:sz="4" w:space="0" w:color="auto"/>
              <w:right w:val="single" w:sz="4" w:space="0" w:color="auto"/>
            </w:tcBorders>
            <w:vAlign w:val="center"/>
          </w:tcPr>
          <w:p w14:paraId="4463A2F4" w14:textId="77777777" w:rsidR="00501FB8" w:rsidRPr="007434DA" w:rsidRDefault="00501FB8" w:rsidP="004A57B3">
            <w:pPr>
              <w:rPr>
                <w:rFonts w:cs="Calibri"/>
                <w:color w:val="000000"/>
                <w:sz w:val="18"/>
                <w:szCs w:val="18"/>
                <w:lang w:val="cs-CZ"/>
              </w:rPr>
            </w:pPr>
            <w:r w:rsidRPr="007434DA">
              <w:rPr>
                <w:rFonts w:cs="Calibri"/>
                <w:color w:val="000000"/>
                <w:sz w:val="18"/>
                <w:szCs w:val="18"/>
                <w:lang w:val="cs-CZ"/>
              </w:rPr>
              <w:t>Stav 2017: 124,6 tis. ks; z toho v ekologickém režimu odhad 6,5 ks</w:t>
            </w:r>
          </w:p>
        </w:tc>
        <w:tc>
          <w:tcPr>
            <w:tcW w:w="3273" w:type="dxa"/>
            <w:tcBorders>
              <w:top w:val="single" w:sz="4" w:space="0" w:color="auto"/>
              <w:left w:val="nil"/>
              <w:bottom w:val="single" w:sz="4" w:space="0" w:color="auto"/>
              <w:right w:val="single" w:sz="4" w:space="0" w:color="auto"/>
            </w:tcBorders>
            <w:shd w:val="clear" w:color="auto" w:fill="auto"/>
            <w:vAlign w:val="center"/>
          </w:tcPr>
          <w:p w14:paraId="3D6F515E" w14:textId="77777777" w:rsidR="00501FB8" w:rsidRPr="007434DA" w:rsidRDefault="00501FB8" w:rsidP="004A57B3">
            <w:pPr>
              <w:rPr>
                <w:rFonts w:cs="Calibri"/>
                <w:color w:val="000000"/>
                <w:sz w:val="18"/>
                <w:szCs w:val="18"/>
                <w:lang w:val="cs-CZ"/>
              </w:rPr>
            </w:pPr>
            <w:r w:rsidRPr="007434DA">
              <w:rPr>
                <w:rFonts w:cs="Calibri"/>
                <w:color w:val="000000"/>
                <w:sz w:val="18"/>
                <w:szCs w:val="18"/>
                <w:lang w:val="cs-CZ"/>
              </w:rPr>
              <w:t>1) Nedostatečný přístup k napájecí vodě - využívání tlačítkových napáječek nebo míčových napajedel</w:t>
            </w:r>
          </w:p>
        </w:tc>
        <w:tc>
          <w:tcPr>
            <w:tcW w:w="3972" w:type="dxa"/>
            <w:tcBorders>
              <w:top w:val="single" w:sz="4" w:space="0" w:color="auto"/>
              <w:left w:val="nil"/>
              <w:bottom w:val="single" w:sz="4" w:space="0" w:color="auto"/>
              <w:right w:val="single" w:sz="4" w:space="0" w:color="auto"/>
            </w:tcBorders>
            <w:shd w:val="clear" w:color="auto" w:fill="auto"/>
            <w:vAlign w:val="center"/>
          </w:tcPr>
          <w:p w14:paraId="72915E1C" w14:textId="77777777" w:rsidR="00501FB8" w:rsidRPr="007434DA" w:rsidRDefault="00501FB8" w:rsidP="004A57B3">
            <w:pPr>
              <w:rPr>
                <w:rFonts w:cs="Calibri"/>
                <w:color w:val="000000"/>
                <w:sz w:val="18"/>
                <w:szCs w:val="18"/>
                <w:lang w:val="cs-CZ"/>
              </w:rPr>
            </w:pPr>
            <w:r w:rsidRPr="007434DA">
              <w:rPr>
                <w:rFonts w:cs="Calibri"/>
                <w:color w:val="000000"/>
                <w:sz w:val="18"/>
                <w:szCs w:val="18"/>
                <w:lang w:val="cs-CZ"/>
              </w:rPr>
              <w:t>1) Ve výkrmu býků jsou často používány nevhodné typy napajedel (miskové, míčové) - problematická je hygiena napájení, nedostatečná měrná délka na ustájený kus (vhodné jsou molo/velkoobjemové napájecí žlaby).</w:t>
            </w:r>
          </w:p>
        </w:tc>
        <w:tc>
          <w:tcPr>
            <w:tcW w:w="4674" w:type="dxa"/>
            <w:tcBorders>
              <w:top w:val="single" w:sz="4" w:space="0" w:color="auto"/>
              <w:left w:val="nil"/>
              <w:bottom w:val="single" w:sz="4" w:space="0" w:color="auto"/>
              <w:right w:val="single" w:sz="4" w:space="0" w:color="auto"/>
            </w:tcBorders>
            <w:shd w:val="clear" w:color="auto" w:fill="auto"/>
            <w:vAlign w:val="center"/>
          </w:tcPr>
          <w:p w14:paraId="4DD445A4" w14:textId="77777777" w:rsidR="00501FB8" w:rsidRPr="007434DA" w:rsidRDefault="00501FB8" w:rsidP="004A57B3">
            <w:pPr>
              <w:rPr>
                <w:rFonts w:cs="Calibri"/>
                <w:color w:val="000000"/>
                <w:sz w:val="18"/>
                <w:szCs w:val="18"/>
                <w:lang w:val="cs-CZ"/>
              </w:rPr>
            </w:pPr>
            <w:r w:rsidRPr="007434DA">
              <w:rPr>
                <w:rFonts w:cs="Calibri"/>
                <w:color w:val="000000"/>
                <w:sz w:val="18"/>
                <w:szCs w:val="18"/>
                <w:lang w:val="cs-CZ"/>
              </w:rPr>
              <w:t>1) Napájení býků ve výkrmnách (Doležal, Staněk 2015): ze 136 chovů zařazených do výzkumu provádělo výkrm býků 81 (60 %) z toho miskové napáječky využívalo 45,8 %, míčové napáječky 13,3 %.</w:t>
            </w:r>
          </w:p>
        </w:tc>
      </w:tr>
    </w:tbl>
    <w:p w14:paraId="55AC4774" w14:textId="77777777" w:rsidR="00501FB8" w:rsidRPr="007434DA" w:rsidRDefault="00501FB8" w:rsidP="00501FB8">
      <w:pPr>
        <w:spacing w:line="240" w:lineRule="atLeast"/>
        <w:rPr>
          <w:rFonts w:cs="Times New Roman"/>
          <w:i/>
          <w:sz w:val="18"/>
          <w:szCs w:val="18"/>
          <w:lang w:val="cs-CZ"/>
        </w:rPr>
      </w:pPr>
      <w:r w:rsidRPr="007434DA">
        <w:rPr>
          <w:rFonts w:cs="Times New Roman"/>
          <w:i/>
          <w:sz w:val="18"/>
          <w:szCs w:val="18"/>
          <w:lang w:val="cs-CZ"/>
        </w:rPr>
        <w:t xml:space="preserve">Pramen: Podklady VÚŽV, odhady ÚZEI, </w:t>
      </w:r>
    </w:p>
    <w:p w14:paraId="4D3E0CAC" w14:textId="77777777" w:rsidR="00501FB8" w:rsidRPr="007434DA" w:rsidRDefault="00501FB8" w:rsidP="00501FB8">
      <w:pPr>
        <w:spacing w:line="240" w:lineRule="atLeast"/>
        <w:rPr>
          <w:rStyle w:val="Zdraznnintenzivn"/>
          <w:rFonts w:cs="Times New Roman"/>
          <w:color w:val="auto"/>
          <w:sz w:val="18"/>
          <w:szCs w:val="18"/>
          <w:lang w:val="cs-CZ"/>
        </w:rPr>
      </w:pPr>
      <w:r w:rsidRPr="007434DA">
        <w:rPr>
          <w:rStyle w:val="Zdraznnintenzivn"/>
          <w:rFonts w:cs="Times New Roman"/>
          <w:color w:val="auto"/>
          <w:sz w:val="18"/>
          <w:szCs w:val="18"/>
          <w:lang w:val="cs-CZ"/>
        </w:rPr>
        <w:t>Pozn.: Čísla znamenají významnost problému, nebo příčiny, když nejnižší číslo označuje nejvyšší míru závažnosti.</w:t>
      </w:r>
    </w:p>
    <w:p w14:paraId="6E8DA202" w14:textId="00233FC2" w:rsidR="007E78A2" w:rsidRPr="007434DA" w:rsidRDefault="007E78A2" w:rsidP="00D0389D">
      <w:pPr>
        <w:pStyle w:val="UZEINormaln"/>
        <w:rPr>
          <w:rFonts w:cs="Times New Roman"/>
          <w:b/>
          <w:bCs/>
          <w:sz w:val="20"/>
          <w:szCs w:val="20"/>
        </w:rPr>
      </w:pPr>
      <w:r w:rsidRPr="007434DA">
        <w:rPr>
          <w:rFonts w:cs="Times New Roman"/>
          <w:b/>
          <w:bCs/>
          <w:sz w:val="20"/>
          <w:szCs w:val="20"/>
        </w:rPr>
        <w:br w:type="page"/>
      </w:r>
    </w:p>
    <w:p w14:paraId="12813903" w14:textId="77777777" w:rsidR="002C39AF" w:rsidRPr="007434DA" w:rsidRDefault="002C39AF" w:rsidP="002C39AF">
      <w:pPr>
        <w:spacing w:before="120" w:line="240" w:lineRule="atLeast"/>
        <w:rPr>
          <w:rFonts w:cs="Times New Roman"/>
          <w:b/>
          <w:sz w:val="20"/>
          <w:szCs w:val="20"/>
          <w:lang w:val="cs-CZ"/>
        </w:rPr>
      </w:pPr>
      <w:r w:rsidRPr="007434DA">
        <w:rPr>
          <w:rFonts w:cs="Times New Roman"/>
          <w:b/>
          <w:sz w:val="20"/>
          <w:szCs w:val="20"/>
          <w:lang w:val="cs-CZ"/>
        </w:rPr>
        <w:t>Příloha B.2: Chov prasat – identifikace hlavních problémů a jejich příčin podle jednotlivých kategorií</w:t>
      </w:r>
    </w:p>
    <w:tbl>
      <w:tblPr>
        <w:tblW w:w="14270" w:type="dxa"/>
        <w:tblInd w:w="75" w:type="dxa"/>
        <w:tblCellMar>
          <w:left w:w="70" w:type="dxa"/>
          <w:right w:w="70" w:type="dxa"/>
        </w:tblCellMar>
        <w:tblLook w:val="04A0" w:firstRow="1" w:lastRow="0" w:firstColumn="1" w:lastColumn="0" w:noHBand="0" w:noVBand="1"/>
      </w:tblPr>
      <w:tblGrid>
        <w:gridCol w:w="1074"/>
        <w:gridCol w:w="1398"/>
        <w:gridCol w:w="1570"/>
        <w:gridCol w:w="1690"/>
        <w:gridCol w:w="2222"/>
        <w:gridCol w:w="4316"/>
        <w:gridCol w:w="2000"/>
      </w:tblGrid>
      <w:tr w:rsidR="002C39AF" w:rsidRPr="0005469C" w14:paraId="57229E33" w14:textId="77777777" w:rsidTr="004A57B3">
        <w:trPr>
          <w:trHeight w:val="572"/>
        </w:trPr>
        <w:tc>
          <w:tcPr>
            <w:tcW w:w="1074" w:type="dxa"/>
            <w:tcBorders>
              <w:top w:val="single" w:sz="4" w:space="0" w:color="auto"/>
              <w:left w:val="single" w:sz="4" w:space="0" w:color="auto"/>
              <w:bottom w:val="single" w:sz="4" w:space="0" w:color="auto"/>
              <w:right w:val="single" w:sz="4" w:space="0" w:color="auto"/>
            </w:tcBorders>
            <w:shd w:val="clear" w:color="000000" w:fill="B4C6E7"/>
            <w:vAlign w:val="center"/>
            <w:hideMark/>
          </w:tcPr>
          <w:p w14:paraId="0274E4B6" w14:textId="77777777" w:rsidR="002C39AF" w:rsidRPr="007434DA" w:rsidRDefault="002C39AF" w:rsidP="004A57B3">
            <w:pPr>
              <w:rPr>
                <w:rFonts w:cs="Calibri"/>
                <w:b/>
                <w:bCs/>
                <w:color w:val="000000"/>
                <w:sz w:val="18"/>
                <w:szCs w:val="18"/>
                <w:lang w:val="cs-CZ"/>
              </w:rPr>
            </w:pPr>
            <w:r w:rsidRPr="007434DA">
              <w:rPr>
                <w:rFonts w:cs="Calibri"/>
                <w:b/>
                <w:bCs/>
                <w:color w:val="000000"/>
                <w:sz w:val="18"/>
                <w:szCs w:val="18"/>
                <w:lang w:val="cs-CZ"/>
              </w:rPr>
              <w:t>Kategorie</w:t>
            </w:r>
          </w:p>
        </w:tc>
        <w:tc>
          <w:tcPr>
            <w:tcW w:w="1398" w:type="dxa"/>
            <w:tcBorders>
              <w:top w:val="single" w:sz="4" w:space="0" w:color="auto"/>
              <w:left w:val="nil"/>
              <w:bottom w:val="single" w:sz="4" w:space="0" w:color="auto"/>
              <w:right w:val="single" w:sz="4" w:space="0" w:color="auto"/>
            </w:tcBorders>
            <w:shd w:val="clear" w:color="000000" w:fill="B4C6E7"/>
            <w:vAlign w:val="center"/>
            <w:hideMark/>
          </w:tcPr>
          <w:p w14:paraId="5976CB92" w14:textId="77777777" w:rsidR="002C39AF" w:rsidRPr="007434DA" w:rsidRDefault="002C39AF" w:rsidP="004A57B3">
            <w:pPr>
              <w:jc w:val="center"/>
              <w:rPr>
                <w:rFonts w:cs="Calibri"/>
                <w:b/>
                <w:bCs/>
                <w:color w:val="000000"/>
                <w:sz w:val="18"/>
                <w:szCs w:val="18"/>
                <w:lang w:val="cs-CZ"/>
              </w:rPr>
            </w:pPr>
            <w:r w:rsidRPr="007434DA">
              <w:rPr>
                <w:rFonts w:cs="Calibri"/>
                <w:b/>
                <w:bCs/>
                <w:color w:val="000000"/>
                <w:sz w:val="18"/>
                <w:szCs w:val="18"/>
                <w:lang w:val="cs-CZ"/>
              </w:rPr>
              <w:t>Stavy celkem</w:t>
            </w:r>
          </w:p>
        </w:tc>
        <w:tc>
          <w:tcPr>
            <w:tcW w:w="1570" w:type="dxa"/>
            <w:tcBorders>
              <w:top w:val="single" w:sz="4" w:space="0" w:color="auto"/>
              <w:left w:val="nil"/>
              <w:bottom w:val="single" w:sz="4" w:space="0" w:color="auto"/>
              <w:right w:val="single" w:sz="4" w:space="0" w:color="auto"/>
            </w:tcBorders>
            <w:shd w:val="clear" w:color="000000" w:fill="B4C6E7"/>
            <w:vAlign w:val="center"/>
            <w:hideMark/>
          </w:tcPr>
          <w:p w14:paraId="3D6C7563" w14:textId="77777777" w:rsidR="002C39AF" w:rsidRPr="007434DA" w:rsidRDefault="002C39AF" w:rsidP="004A57B3">
            <w:pPr>
              <w:jc w:val="center"/>
              <w:rPr>
                <w:rFonts w:cs="Calibri"/>
                <w:b/>
                <w:bCs/>
                <w:color w:val="000000"/>
                <w:sz w:val="18"/>
                <w:szCs w:val="18"/>
                <w:lang w:val="cs-CZ"/>
              </w:rPr>
            </w:pPr>
            <w:r w:rsidRPr="007434DA">
              <w:rPr>
                <w:rFonts w:cs="Calibri"/>
                <w:b/>
                <w:bCs/>
                <w:color w:val="000000"/>
                <w:sz w:val="18"/>
                <w:szCs w:val="18"/>
                <w:lang w:val="cs-CZ"/>
              </w:rPr>
              <w:t>Stavy dle užitkového typu</w:t>
            </w:r>
          </w:p>
        </w:tc>
        <w:tc>
          <w:tcPr>
            <w:tcW w:w="1690" w:type="dxa"/>
            <w:tcBorders>
              <w:top w:val="single" w:sz="4" w:space="0" w:color="auto"/>
              <w:left w:val="nil"/>
              <w:bottom w:val="single" w:sz="4" w:space="0" w:color="auto"/>
              <w:right w:val="single" w:sz="4" w:space="0" w:color="auto"/>
            </w:tcBorders>
            <w:shd w:val="clear" w:color="000000" w:fill="B4C6E7"/>
            <w:vAlign w:val="center"/>
            <w:hideMark/>
          </w:tcPr>
          <w:p w14:paraId="04E01D2D" w14:textId="77777777" w:rsidR="002C39AF" w:rsidRPr="007434DA" w:rsidRDefault="002C39AF" w:rsidP="004A57B3">
            <w:pPr>
              <w:jc w:val="center"/>
              <w:rPr>
                <w:rFonts w:cs="Calibri"/>
                <w:b/>
                <w:bCs/>
                <w:color w:val="000000"/>
                <w:sz w:val="18"/>
                <w:szCs w:val="18"/>
                <w:lang w:val="cs-CZ"/>
              </w:rPr>
            </w:pPr>
            <w:r w:rsidRPr="007434DA">
              <w:rPr>
                <w:rFonts w:cs="Calibri"/>
                <w:b/>
                <w:bCs/>
                <w:color w:val="000000"/>
                <w:sz w:val="18"/>
                <w:szCs w:val="18"/>
                <w:lang w:val="cs-CZ"/>
              </w:rPr>
              <w:t>Technologie (podíl chovaných zvířat)</w:t>
            </w:r>
          </w:p>
        </w:tc>
        <w:tc>
          <w:tcPr>
            <w:tcW w:w="2222" w:type="dxa"/>
            <w:tcBorders>
              <w:top w:val="single" w:sz="4" w:space="0" w:color="auto"/>
              <w:left w:val="nil"/>
              <w:bottom w:val="single" w:sz="4" w:space="0" w:color="auto"/>
              <w:right w:val="single" w:sz="4" w:space="0" w:color="auto"/>
            </w:tcBorders>
            <w:shd w:val="clear" w:color="000000" w:fill="B4C6E7"/>
            <w:vAlign w:val="center"/>
            <w:hideMark/>
          </w:tcPr>
          <w:p w14:paraId="24CC0265" w14:textId="77777777" w:rsidR="002C39AF" w:rsidRPr="007434DA" w:rsidRDefault="002C39AF" w:rsidP="004A57B3">
            <w:pPr>
              <w:jc w:val="center"/>
              <w:rPr>
                <w:rFonts w:cs="Calibri"/>
                <w:b/>
                <w:bCs/>
                <w:color w:val="000000"/>
                <w:sz w:val="18"/>
                <w:szCs w:val="18"/>
                <w:lang w:val="cs-CZ"/>
              </w:rPr>
            </w:pPr>
            <w:r w:rsidRPr="007434DA">
              <w:rPr>
                <w:rFonts w:cs="Calibri"/>
                <w:b/>
                <w:bCs/>
                <w:color w:val="000000"/>
                <w:sz w:val="18"/>
                <w:szCs w:val="18"/>
                <w:lang w:val="cs-CZ"/>
              </w:rPr>
              <w:t>Hlavní problémy (obecně)</w:t>
            </w:r>
          </w:p>
        </w:tc>
        <w:tc>
          <w:tcPr>
            <w:tcW w:w="4316" w:type="dxa"/>
            <w:tcBorders>
              <w:top w:val="single" w:sz="4" w:space="0" w:color="auto"/>
              <w:left w:val="nil"/>
              <w:bottom w:val="single" w:sz="4" w:space="0" w:color="auto"/>
              <w:right w:val="single" w:sz="4" w:space="0" w:color="auto"/>
            </w:tcBorders>
            <w:shd w:val="clear" w:color="000000" w:fill="B4C6E7"/>
            <w:vAlign w:val="center"/>
            <w:hideMark/>
          </w:tcPr>
          <w:p w14:paraId="41849543" w14:textId="77777777" w:rsidR="002C39AF" w:rsidRPr="007434DA" w:rsidRDefault="002C39AF" w:rsidP="004A57B3">
            <w:pPr>
              <w:jc w:val="center"/>
              <w:rPr>
                <w:rFonts w:cs="Calibri"/>
                <w:b/>
                <w:bCs/>
                <w:color w:val="000000"/>
                <w:sz w:val="18"/>
                <w:szCs w:val="18"/>
                <w:lang w:val="cs-CZ"/>
              </w:rPr>
            </w:pPr>
            <w:r w:rsidRPr="007434DA">
              <w:rPr>
                <w:rFonts w:cs="Calibri"/>
                <w:b/>
                <w:bCs/>
                <w:color w:val="000000"/>
                <w:sz w:val="18"/>
                <w:szCs w:val="18"/>
                <w:lang w:val="cs-CZ"/>
              </w:rPr>
              <w:t>Příčiny problémů</w:t>
            </w:r>
          </w:p>
        </w:tc>
        <w:tc>
          <w:tcPr>
            <w:tcW w:w="2000" w:type="dxa"/>
            <w:tcBorders>
              <w:top w:val="single" w:sz="4" w:space="0" w:color="auto"/>
              <w:left w:val="nil"/>
              <w:bottom w:val="single" w:sz="4" w:space="0" w:color="auto"/>
              <w:right w:val="single" w:sz="4" w:space="0" w:color="auto"/>
            </w:tcBorders>
            <w:shd w:val="clear" w:color="000000" w:fill="B4C6E7"/>
            <w:vAlign w:val="center"/>
            <w:hideMark/>
          </w:tcPr>
          <w:p w14:paraId="165F0A80" w14:textId="77777777" w:rsidR="002C39AF" w:rsidRPr="007434DA" w:rsidRDefault="002C39AF" w:rsidP="004A57B3">
            <w:pPr>
              <w:jc w:val="center"/>
              <w:rPr>
                <w:rFonts w:cs="Calibri"/>
                <w:b/>
                <w:bCs/>
                <w:color w:val="000000"/>
                <w:sz w:val="18"/>
                <w:szCs w:val="18"/>
                <w:lang w:val="cs-CZ"/>
              </w:rPr>
            </w:pPr>
            <w:r w:rsidRPr="007434DA">
              <w:rPr>
                <w:rFonts w:cs="Calibri"/>
                <w:b/>
                <w:bCs/>
                <w:color w:val="000000"/>
                <w:sz w:val="18"/>
                <w:szCs w:val="18"/>
                <w:lang w:val="cs-CZ"/>
              </w:rPr>
              <w:t>Dopad (podíl zasažených zvířat/chovů)</w:t>
            </w:r>
          </w:p>
        </w:tc>
      </w:tr>
      <w:tr w:rsidR="002C39AF" w:rsidRPr="0005469C" w14:paraId="088C6221" w14:textId="77777777" w:rsidTr="004A57B3">
        <w:trPr>
          <w:trHeight w:val="630"/>
        </w:trPr>
        <w:tc>
          <w:tcPr>
            <w:tcW w:w="1074" w:type="dxa"/>
            <w:vMerge w:val="restart"/>
            <w:tcBorders>
              <w:top w:val="nil"/>
              <w:left w:val="single" w:sz="4" w:space="0" w:color="auto"/>
              <w:bottom w:val="single" w:sz="4" w:space="0" w:color="auto"/>
              <w:right w:val="single" w:sz="4" w:space="0" w:color="auto"/>
            </w:tcBorders>
            <w:shd w:val="clear" w:color="auto" w:fill="auto"/>
            <w:vAlign w:val="center"/>
            <w:hideMark/>
          </w:tcPr>
          <w:p w14:paraId="661BF23A" w14:textId="77777777" w:rsidR="002C39AF" w:rsidRPr="007434DA" w:rsidRDefault="002C39AF" w:rsidP="004A57B3">
            <w:pPr>
              <w:jc w:val="center"/>
              <w:rPr>
                <w:rFonts w:cstheme="minorHAnsi"/>
                <w:b/>
                <w:color w:val="000000"/>
                <w:sz w:val="18"/>
                <w:szCs w:val="18"/>
                <w:lang w:val="cs-CZ"/>
              </w:rPr>
            </w:pPr>
            <w:r w:rsidRPr="007434DA">
              <w:rPr>
                <w:rFonts w:cstheme="minorHAnsi"/>
                <w:b/>
                <w:color w:val="000000"/>
                <w:sz w:val="18"/>
                <w:szCs w:val="18"/>
                <w:lang w:val="cs-CZ"/>
              </w:rPr>
              <w:t>Selata</w:t>
            </w:r>
          </w:p>
          <w:p w14:paraId="592883E5" w14:textId="77777777" w:rsidR="002C39AF" w:rsidRPr="007434DA" w:rsidRDefault="002C39AF" w:rsidP="004A57B3">
            <w:pPr>
              <w:jc w:val="center"/>
              <w:rPr>
                <w:rFonts w:cstheme="minorHAnsi"/>
                <w:color w:val="000000"/>
                <w:sz w:val="18"/>
                <w:szCs w:val="18"/>
                <w:lang w:val="cs-CZ"/>
              </w:rPr>
            </w:pPr>
          </w:p>
        </w:tc>
        <w:tc>
          <w:tcPr>
            <w:tcW w:w="1398" w:type="dxa"/>
            <w:vMerge w:val="restart"/>
            <w:tcBorders>
              <w:top w:val="nil"/>
              <w:left w:val="single" w:sz="4" w:space="0" w:color="auto"/>
              <w:bottom w:val="single" w:sz="4" w:space="0" w:color="auto"/>
              <w:right w:val="single" w:sz="4" w:space="0" w:color="auto"/>
            </w:tcBorders>
            <w:shd w:val="clear" w:color="auto" w:fill="auto"/>
            <w:vAlign w:val="center"/>
            <w:hideMark/>
          </w:tcPr>
          <w:p w14:paraId="0258C675" w14:textId="77777777" w:rsidR="002C39AF" w:rsidRPr="007434DA" w:rsidRDefault="002C39AF" w:rsidP="004A57B3">
            <w:pPr>
              <w:jc w:val="center"/>
              <w:rPr>
                <w:rFonts w:cstheme="minorHAnsi"/>
                <w:color w:val="000000"/>
                <w:sz w:val="18"/>
                <w:szCs w:val="18"/>
                <w:lang w:val="cs-CZ"/>
              </w:rPr>
            </w:pPr>
            <w:r w:rsidRPr="007434DA">
              <w:rPr>
                <w:rFonts w:cstheme="minorHAnsi"/>
                <w:color w:val="000000"/>
                <w:sz w:val="18"/>
                <w:szCs w:val="18"/>
                <w:lang w:val="cs-CZ"/>
              </w:rPr>
              <w:t xml:space="preserve">Stav 2017: </w:t>
            </w:r>
            <w:r w:rsidRPr="007434DA">
              <w:rPr>
                <w:rFonts w:cstheme="minorHAnsi"/>
                <w:color w:val="000000"/>
                <w:sz w:val="18"/>
                <w:szCs w:val="18"/>
                <w:lang w:val="cs-CZ"/>
              </w:rPr>
              <w:br/>
              <w:t>Selata do 20 kg</w:t>
            </w:r>
            <w:r w:rsidRPr="007434DA">
              <w:rPr>
                <w:rFonts w:cstheme="minorHAnsi"/>
                <w:color w:val="000000"/>
                <w:sz w:val="18"/>
                <w:szCs w:val="18"/>
                <w:lang w:val="cs-CZ"/>
              </w:rPr>
              <w:br/>
              <w:t xml:space="preserve"> 426,1 tis. ks</w:t>
            </w:r>
          </w:p>
          <w:p w14:paraId="22C216F3" w14:textId="77777777" w:rsidR="002C39AF" w:rsidRPr="007434DA" w:rsidRDefault="002C39AF" w:rsidP="004A57B3">
            <w:pPr>
              <w:jc w:val="center"/>
              <w:rPr>
                <w:rFonts w:cstheme="minorHAnsi"/>
                <w:color w:val="000000"/>
                <w:sz w:val="18"/>
                <w:szCs w:val="18"/>
                <w:lang w:val="cs-CZ"/>
              </w:rPr>
            </w:pPr>
          </w:p>
        </w:tc>
        <w:tc>
          <w:tcPr>
            <w:tcW w:w="1570" w:type="dxa"/>
            <w:vMerge w:val="restart"/>
            <w:tcBorders>
              <w:top w:val="nil"/>
              <w:left w:val="single" w:sz="4" w:space="0" w:color="auto"/>
              <w:bottom w:val="single" w:sz="4" w:space="0" w:color="auto"/>
              <w:right w:val="single" w:sz="4" w:space="0" w:color="auto"/>
            </w:tcBorders>
            <w:shd w:val="clear" w:color="auto" w:fill="auto"/>
            <w:vAlign w:val="center"/>
            <w:hideMark/>
          </w:tcPr>
          <w:p w14:paraId="0AF734B6" w14:textId="77777777" w:rsidR="002C39AF" w:rsidRPr="007434DA" w:rsidRDefault="002C39AF" w:rsidP="004A57B3">
            <w:pPr>
              <w:jc w:val="center"/>
              <w:rPr>
                <w:rFonts w:cstheme="minorHAnsi"/>
                <w:b/>
                <w:bCs/>
                <w:color w:val="000000"/>
                <w:sz w:val="18"/>
                <w:szCs w:val="18"/>
                <w:lang w:val="cs-CZ"/>
              </w:rPr>
            </w:pPr>
            <w:r w:rsidRPr="007434DA">
              <w:rPr>
                <w:rFonts w:cstheme="minorHAnsi"/>
                <w:color w:val="000000"/>
                <w:sz w:val="18"/>
                <w:szCs w:val="18"/>
                <w:lang w:val="cs-CZ"/>
              </w:rPr>
              <w:t> </w:t>
            </w:r>
          </w:p>
          <w:p w14:paraId="48ADD8B9" w14:textId="77777777" w:rsidR="002C39AF" w:rsidRPr="007434DA" w:rsidRDefault="002C39AF" w:rsidP="004A57B3">
            <w:pPr>
              <w:jc w:val="center"/>
              <w:rPr>
                <w:rFonts w:cstheme="minorHAnsi"/>
                <w:b/>
                <w:bCs/>
                <w:color w:val="000000"/>
                <w:sz w:val="18"/>
                <w:szCs w:val="18"/>
                <w:lang w:val="cs-CZ"/>
              </w:rPr>
            </w:pPr>
            <w:r w:rsidRPr="007434DA">
              <w:rPr>
                <w:rFonts w:cstheme="minorHAnsi"/>
                <w:color w:val="000000"/>
                <w:sz w:val="18"/>
                <w:szCs w:val="18"/>
                <w:lang w:val="cs-CZ"/>
              </w:rPr>
              <w:t> </w:t>
            </w:r>
          </w:p>
        </w:tc>
        <w:tc>
          <w:tcPr>
            <w:tcW w:w="1690" w:type="dxa"/>
            <w:vMerge w:val="restart"/>
            <w:tcBorders>
              <w:top w:val="nil"/>
              <w:left w:val="single" w:sz="4" w:space="0" w:color="auto"/>
              <w:bottom w:val="single" w:sz="4" w:space="0" w:color="auto"/>
              <w:right w:val="single" w:sz="4" w:space="0" w:color="auto"/>
            </w:tcBorders>
            <w:shd w:val="clear" w:color="auto" w:fill="auto"/>
            <w:vAlign w:val="center"/>
            <w:hideMark/>
          </w:tcPr>
          <w:p w14:paraId="50600A4C" w14:textId="77777777" w:rsidR="002C39AF" w:rsidRPr="007434DA" w:rsidRDefault="002C39AF" w:rsidP="004A57B3">
            <w:pPr>
              <w:jc w:val="center"/>
              <w:rPr>
                <w:rFonts w:cstheme="minorHAnsi"/>
                <w:color w:val="000000"/>
                <w:sz w:val="18"/>
                <w:szCs w:val="18"/>
                <w:lang w:val="cs-CZ"/>
              </w:rPr>
            </w:pPr>
            <w:r w:rsidRPr="007434DA">
              <w:rPr>
                <w:rFonts w:cstheme="minorHAnsi"/>
                <w:color w:val="000000"/>
                <w:sz w:val="18"/>
                <w:szCs w:val="18"/>
                <w:lang w:val="cs-CZ"/>
              </w:rPr>
              <w:t>Bezstelivový provoz: 90 % chovů;                                  Denní přistýlání: 10 % chovů</w:t>
            </w:r>
          </w:p>
          <w:p w14:paraId="0F77DE54" w14:textId="77777777" w:rsidR="002C39AF" w:rsidRPr="007434DA" w:rsidRDefault="002C39AF" w:rsidP="004A57B3">
            <w:pPr>
              <w:jc w:val="center"/>
              <w:rPr>
                <w:rFonts w:cstheme="minorHAnsi"/>
                <w:color w:val="000000"/>
                <w:sz w:val="18"/>
                <w:szCs w:val="18"/>
                <w:lang w:val="cs-CZ"/>
              </w:rPr>
            </w:pPr>
          </w:p>
        </w:tc>
        <w:tc>
          <w:tcPr>
            <w:tcW w:w="2222" w:type="dxa"/>
            <w:tcBorders>
              <w:top w:val="nil"/>
              <w:left w:val="nil"/>
              <w:bottom w:val="single" w:sz="4" w:space="0" w:color="auto"/>
              <w:right w:val="single" w:sz="4" w:space="0" w:color="auto"/>
            </w:tcBorders>
            <w:shd w:val="clear" w:color="auto" w:fill="auto"/>
            <w:hideMark/>
          </w:tcPr>
          <w:p w14:paraId="0498F265" w14:textId="77777777" w:rsidR="002C39AF" w:rsidRPr="007434DA" w:rsidRDefault="002C39AF" w:rsidP="004A57B3">
            <w:pPr>
              <w:rPr>
                <w:rFonts w:cstheme="minorHAnsi"/>
                <w:color w:val="000000"/>
                <w:sz w:val="18"/>
                <w:szCs w:val="18"/>
                <w:lang w:val="cs-CZ"/>
              </w:rPr>
            </w:pPr>
            <w:r w:rsidRPr="007434DA">
              <w:rPr>
                <w:rFonts w:cstheme="minorHAnsi"/>
                <w:sz w:val="18"/>
                <w:szCs w:val="18"/>
                <w:lang w:val="cs-CZ"/>
              </w:rPr>
              <w:t>1)  Krácení ocásků selat: bolestivost při zákroku i následná infekce selat</w:t>
            </w:r>
          </w:p>
        </w:tc>
        <w:tc>
          <w:tcPr>
            <w:tcW w:w="4316" w:type="dxa"/>
            <w:tcBorders>
              <w:top w:val="nil"/>
              <w:left w:val="nil"/>
              <w:bottom w:val="single" w:sz="4" w:space="0" w:color="auto"/>
              <w:right w:val="single" w:sz="4" w:space="0" w:color="auto"/>
            </w:tcBorders>
            <w:shd w:val="clear" w:color="auto" w:fill="auto"/>
            <w:hideMark/>
          </w:tcPr>
          <w:p w14:paraId="7A97B0CE" w14:textId="77777777" w:rsidR="002C39AF" w:rsidRPr="007434DA" w:rsidRDefault="002C39AF" w:rsidP="004A57B3">
            <w:pPr>
              <w:rPr>
                <w:rFonts w:cstheme="minorHAnsi"/>
                <w:sz w:val="18"/>
                <w:szCs w:val="18"/>
                <w:lang w:val="cs-CZ"/>
              </w:rPr>
            </w:pPr>
            <w:r w:rsidRPr="007434DA">
              <w:rPr>
                <w:rFonts w:cstheme="minorHAnsi"/>
                <w:sz w:val="18"/>
                <w:szCs w:val="18"/>
                <w:lang w:val="cs-CZ"/>
              </w:rPr>
              <w:t xml:space="preserve">1) Krácení ocásků jako plošné preventivní opatření pro možnosti okusování ocásků  </w:t>
            </w:r>
          </w:p>
        </w:tc>
        <w:tc>
          <w:tcPr>
            <w:tcW w:w="2000" w:type="dxa"/>
            <w:tcBorders>
              <w:top w:val="nil"/>
              <w:left w:val="nil"/>
              <w:bottom w:val="single" w:sz="4" w:space="0" w:color="auto"/>
              <w:right w:val="single" w:sz="4" w:space="0" w:color="auto"/>
            </w:tcBorders>
            <w:shd w:val="clear" w:color="auto" w:fill="auto"/>
            <w:noWrap/>
            <w:hideMark/>
          </w:tcPr>
          <w:p w14:paraId="2866BDCE" w14:textId="77777777" w:rsidR="002C39AF" w:rsidRPr="007434DA" w:rsidRDefault="002C39AF" w:rsidP="004A57B3">
            <w:pPr>
              <w:rPr>
                <w:rFonts w:cstheme="minorHAnsi"/>
                <w:color w:val="000000"/>
                <w:sz w:val="18"/>
                <w:szCs w:val="18"/>
                <w:lang w:val="cs-CZ"/>
              </w:rPr>
            </w:pPr>
            <w:r w:rsidRPr="007434DA">
              <w:rPr>
                <w:rFonts w:cstheme="minorHAnsi"/>
                <w:sz w:val="18"/>
                <w:szCs w:val="18"/>
                <w:lang w:val="cs-CZ"/>
              </w:rPr>
              <w:t>1) odhad VÚŽV 90 % (</w:t>
            </w:r>
            <w:r w:rsidRPr="007434DA">
              <w:rPr>
                <w:rFonts w:cs="Calibri"/>
                <w:color w:val="000000"/>
                <w:sz w:val="18"/>
                <w:szCs w:val="18"/>
                <w:lang w:val="cs-CZ"/>
              </w:rPr>
              <w:t>podíl z celkového počtu chovů)</w:t>
            </w:r>
          </w:p>
        </w:tc>
      </w:tr>
      <w:tr w:rsidR="002C39AF" w:rsidRPr="0005469C" w14:paraId="3E83054F" w14:textId="77777777" w:rsidTr="004A57B3">
        <w:trPr>
          <w:trHeight w:val="477"/>
        </w:trPr>
        <w:tc>
          <w:tcPr>
            <w:tcW w:w="1074" w:type="dxa"/>
            <w:vMerge/>
            <w:tcBorders>
              <w:top w:val="nil"/>
              <w:left w:val="single" w:sz="4" w:space="0" w:color="auto"/>
              <w:bottom w:val="single" w:sz="4" w:space="0" w:color="auto"/>
              <w:right w:val="single" w:sz="4" w:space="0" w:color="auto"/>
            </w:tcBorders>
            <w:vAlign w:val="center"/>
            <w:hideMark/>
          </w:tcPr>
          <w:p w14:paraId="0C9D3ABF" w14:textId="77777777" w:rsidR="002C39AF" w:rsidRPr="007434DA" w:rsidRDefault="002C39AF" w:rsidP="004A57B3">
            <w:pPr>
              <w:rPr>
                <w:rFonts w:cstheme="minorHAnsi"/>
                <w:color w:val="000000"/>
                <w:sz w:val="18"/>
                <w:szCs w:val="18"/>
                <w:lang w:val="cs-CZ"/>
              </w:rPr>
            </w:pPr>
          </w:p>
        </w:tc>
        <w:tc>
          <w:tcPr>
            <w:tcW w:w="1398" w:type="dxa"/>
            <w:vMerge/>
            <w:tcBorders>
              <w:top w:val="nil"/>
              <w:left w:val="single" w:sz="4" w:space="0" w:color="auto"/>
              <w:bottom w:val="single" w:sz="4" w:space="0" w:color="auto"/>
              <w:right w:val="single" w:sz="4" w:space="0" w:color="auto"/>
            </w:tcBorders>
            <w:vAlign w:val="center"/>
            <w:hideMark/>
          </w:tcPr>
          <w:p w14:paraId="06E3720E" w14:textId="77777777" w:rsidR="002C39AF" w:rsidRPr="007434DA" w:rsidRDefault="002C39AF" w:rsidP="004A57B3">
            <w:pPr>
              <w:rPr>
                <w:rFonts w:cstheme="minorHAnsi"/>
                <w:color w:val="000000"/>
                <w:sz w:val="18"/>
                <w:szCs w:val="18"/>
                <w:lang w:val="cs-CZ"/>
              </w:rPr>
            </w:pPr>
          </w:p>
        </w:tc>
        <w:tc>
          <w:tcPr>
            <w:tcW w:w="1570" w:type="dxa"/>
            <w:vMerge/>
            <w:tcBorders>
              <w:top w:val="nil"/>
              <w:left w:val="single" w:sz="4" w:space="0" w:color="auto"/>
              <w:bottom w:val="single" w:sz="4" w:space="0" w:color="auto"/>
              <w:right w:val="single" w:sz="4" w:space="0" w:color="auto"/>
            </w:tcBorders>
            <w:vAlign w:val="center"/>
            <w:hideMark/>
          </w:tcPr>
          <w:p w14:paraId="5E9B2D32" w14:textId="77777777" w:rsidR="002C39AF" w:rsidRPr="007434DA" w:rsidRDefault="002C39AF" w:rsidP="004A57B3">
            <w:pPr>
              <w:rPr>
                <w:rFonts w:cstheme="minorHAnsi"/>
                <w:b/>
                <w:bCs/>
                <w:color w:val="000000"/>
                <w:sz w:val="18"/>
                <w:szCs w:val="18"/>
                <w:lang w:val="cs-CZ"/>
              </w:rPr>
            </w:pPr>
          </w:p>
        </w:tc>
        <w:tc>
          <w:tcPr>
            <w:tcW w:w="1690" w:type="dxa"/>
            <w:vMerge/>
            <w:tcBorders>
              <w:top w:val="nil"/>
              <w:left w:val="single" w:sz="4" w:space="0" w:color="auto"/>
              <w:bottom w:val="single" w:sz="4" w:space="0" w:color="auto"/>
              <w:right w:val="single" w:sz="4" w:space="0" w:color="auto"/>
            </w:tcBorders>
            <w:vAlign w:val="center"/>
            <w:hideMark/>
          </w:tcPr>
          <w:p w14:paraId="0221B427" w14:textId="77777777" w:rsidR="002C39AF" w:rsidRPr="007434DA" w:rsidRDefault="002C39AF" w:rsidP="004A57B3">
            <w:pPr>
              <w:rPr>
                <w:rFonts w:cstheme="minorHAnsi"/>
                <w:color w:val="000000"/>
                <w:sz w:val="18"/>
                <w:szCs w:val="18"/>
                <w:lang w:val="cs-CZ"/>
              </w:rPr>
            </w:pPr>
          </w:p>
        </w:tc>
        <w:tc>
          <w:tcPr>
            <w:tcW w:w="2222" w:type="dxa"/>
            <w:tcBorders>
              <w:top w:val="nil"/>
              <w:left w:val="nil"/>
              <w:bottom w:val="single" w:sz="4" w:space="0" w:color="auto"/>
              <w:right w:val="single" w:sz="4" w:space="0" w:color="auto"/>
            </w:tcBorders>
            <w:shd w:val="clear" w:color="auto" w:fill="auto"/>
            <w:hideMark/>
          </w:tcPr>
          <w:p w14:paraId="6208FF9A" w14:textId="77777777" w:rsidR="002C39AF" w:rsidRPr="007434DA" w:rsidRDefault="002C39AF" w:rsidP="004A57B3">
            <w:pPr>
              <w:rPr>
                <w:rFonts w:cstheme="minorHAnsi"/>
                <w:color w:val="000000"/>
                <w:sz w:val="18"/>
                <w:szCs w:val="18"/>
                <w:lang w:val="cs-CZ"/>
              </w:rPr>
            </w:pPr>
            <w:r w:rsidRPr="007434DA">
              <w:rPr>
                <w:rFonts w:cstheme="minorHAnsi"/>
                <w:sz w:val="18"/>
                <w:szCs w:val="18"/>
                <w:lang w:val="cs-CZ"/>
              </w:rPr>
              <w:t>2)</w:t>
            </w:r>
            <w:r w:rsidRPr="007434DA">
              <w:rPr>
                <w:rFonts w:cstheme="minorHAnsi"/>
                <w:lang w:val="cs-CZ"/>
              </w:rPr>
              <w:t xml:space="preserve"> </w:t>
            </w:r>
            <w:r w:rsidRPr="007434DA">
              <w:rPr>
                <w:rFonts w:cstheme="minorHAnsi"/>
                <w:sz w:val="18"/>
                <w:szCs w:val="18"/>
                <w:lang w:val="cs-CZ"/>
              </w:rPr>
              <w:t>Kastrace kanečků bez anestezie: Bolestivost při zákroku i v následujících dnech, stres, riziko infekce do otevřené rány</w:t>
            </w:r>
          </w:p>
        </w:tc>
        <w:tc>
          <w:tcPr>
            <w:tcW w:w="4316" w:type="dxa"/>
            <w:tcBorders>
              <w:top w:val="nil"/>
              <w:left w:val="nil"/>
              <w:bottom w:val="single" w:sz="4" w:space="0" w:color="auto"/>
              <w:right w:val="single" w:sz="4" w:space="0" w:color="auto"/>
            </w:tcBorders>
            <w:shd w:val="clear" w:color="auto" w:fill="auto"/>
            <w:hideMark/>
          </w:tcPr>
          <w:p w14:paraId="0E42A313" w14:textId="77777777" w:rsidR="002C39AF" w:rsidRPr="007434DA" w:rsidRDefault="002C39AF" w:rsidP="004A57B3">
            <w:pPr>
              <w:rPr>
                <w:rFonts w:cstheme="minorHAnsi"/>
                <w:color w:val="000000"/>
                <w:sz w:val="18"/>
                <w:szCs w:val="18"/>
                <w:lang w:val="cs-CZ"/>
              </w:rPr>
            </w:pPr>
            <w:r w:rsidRPr="007434DA">
              <w:rPr>
                <w:rFonts w:cstheme="minorHAnsi"/>
                <w:sz w:val="18"/>
                <w:szCs w:val="18"/>
                <w:lang w:val="cs-CZ"/>
              </w:rPr>
              <w:t>2)</w:t>
            </w:r>
            <w:r w:rsidRPr="007434DA">
              <w:rPr>
                <w:rFonts w:cstheme="minorHAnsi"/>
                <w:lang w:val="cs-CZ"/>
              </w:rPr>
              <w:t xml:space="preserve"> </w:t>
            </w:r>
            <w:r w:rsidRPr="007434DA">
              <w:rPr>
                <w:rFonts w:cstheme="minorHAnsi"/>
                <w:sz w:val="18"/>
                <w:szCs w:val="18"/>
                <w:lang w:val="cs-CZ"/>
              </w:rPr>
              <w:t>Porážková váha kanečků přinášející riziko nežádoucího pachu masa; dosud se na evropské úrovni jasně neprosadil široce použitelný alternativní způsob kastrace</w:t>
            </w:r>
          </w:p>
        </w:tc>
        <w:tc>
          <w:tcPr>
            <w:tcW w:w="2000" w:type="dxa"/>
            <w:tcBorders>
              <w:top w:val="nil"/>
              <w:left w:val="nil"/>
              <w:bottom w:val="single" w:sz="4" w:space="0" w:color="auto"/>
              <w:right w:val="single" w:sz="4" w:space="0" w:color="auto"/>
            </w:tcBorders>
            <w:shd w:val="clear" w:color="auto" w:fill="auto"/>
            <w:noWrap/>
            <w:hideMark/>
          </w:tcPr>
          <w:p w14:paraId="2D76B824" w14:textId="77777777" w:rsidR="002C39AF" w:rsidRPr="007434DA" w:rsidRDefault="002C39AF" w:rsidP="004A57B3">
            <w:pPr>
              <w:rPr>
                <w:rFonts w:cstheme="minorHAnsi"/>
                <w:color w:val="000000"/>
                <w:sz w:val="18"/>
                <w:szCs w:val="18"/>
                <w:lang w:val="cs-CZ"/>
              </w:rPr>
            </w:pPr>
            <w:r w:rsidRPr="007434DA">
              <w:rPr>
                <w:rFonts w:cstheme="minorHAnsi"/>
                <w:sz w:val="18"/>
                <w:szCs w:val="18"/>
                <w:lang w:val="cs-CZ"/>
              </w:rPr>
              <w:t xml:space="preserve">2) odhad VÚŽV 50 % pozn.: týká se prakticky všech kanečků, ale nikoli prasniček </w:t>
            </w:r>
            <w:r w:rsidRPr="007434DA">
              <w:rPr>
                <w:rFonts w:cs="Calibri"/>
                <w:color w:val="000000"/>
                <w:sz w:val="18"/>
                <w:szCs w:val="18"/>
                <w:lang w:val="cs-CZ"/>
              </w:rPr>
              <w:t>(podíl z celkového počtu chovů)</w:t>
            </w:r>
          </w:p>
        </w:tc>
      </w:tr>
      <w:tr w:rsidR="002C39AF" w:rsidRPr="0005469C" w14:paraId="693E83CD" w14:textId="77777777" w:rsidTr="004A57B3">
        <w:trPr>
          <w:trHeight w:val="400"/>
        </w:trPr>
        <w:tc>
          <w:tcPr>
            <w:tcW w:w="1074" w:type="dxa"/>
            <w:vMerge/>
            <w:tcBorders>
              <w:top w:val="nil"/>
              <w:left w:val="single" w:sz="4" w:space="0" w:color="auto"/>
              <w:bottom w:val="single" w:sz="4" w:space="0" w:color="auto"/>
              <w:right w:val="single" w:sz="4" w:space="0" w:color="auto"/>
            </w:tcBorders>
            <w:vAlign w:val="center"/>
            <w:hideMark/>
          </w:tcPr>
          <w:p w14:paraId="436F856F" w14:textId="77777777" w:rsidR="002C39AF" w:rsidRPr="007434DA" w:rsidRDefault="002C39AF" w:rsidP="004A57B3">
            <w:pPr>
              <w:rPr>
                <w:rFonts w:cstheme="minorHAnsi"/>
                <w:color w:val="000000"/>
                <w:sz w:val="18"/>
                <w:szCs w:val="18"/>
                <w:lang w:val="cs-CZ"/>
              </w:rPr>
            </w:pPr>
          </w:p>
        </w:tc>
        <w:tc>
          <w:tcPr>
            <w:tcW w:w="1398" w:type="dxa"/>
            <w:vMerge/>
            <w:tcBorders>
              <w:top w:val="nil"/>
              <w:left w:val="single" w:sz="4" w:space="0" w:color="auto"/>
              <w:bottom w:val="single" w:sz="4" w:space="0" w:color="auto"/>
              <w:right w:val="single" w:sz="4" w:space="0" w:color="auto"/>
            </w:tcBorders>
            <w:vAlign w:val="center"/>
            <w:hideMark/>
          </w:tcPr>
          <w:p w14:paraId="285ED615" w14:textId="77777777" w:rsidR="002C39AF" w:rsidRPr="007434DA" w:rsidRDefault="002C39AF" w:rsidP="004A57B3">
            <w:pPr>
              <w:rPr>
                <w:rFonts w:cstheme="minorHAnsi"/>
                <w:color w:val="000000"/>
                <w:sz w:val="18"/>
                <w:szCs w:val="18"/>
                <w:lang w:val="cs-CZ"/>
              </w:rPr>
            </w:pPr>
          </w:p>
        </w:tc>
        <w:tc>
          <w:tcPr>
            <w:tcW w:w="1570" w:type="dxa"/>
            <w:vMerge/>
            <w:tcBorders>
              <w:top w:val="nil"/>
              <w:left w:val="single" w:sz="4" w:space="0" w:color="auto"/>
              <w:bottom w:val="single" w:sz="4" w:space="0" w:color="auto"/>
              <w:right w:val="single" w:sz="4" w:space="0" w:color="auto"/>
            </w:tcBorders>
            <w:vAlign w:val="center"/>
            <w:hideMark/>
          </w:tcPr>
          <w:p w14:paraId="5947A68A" w14:textId="77777777" w:rsidR="002C39AF" w:rsidRPr="007434DA" w:rsidRDefault="002C39AF" w:rsidP="004A57B3">
            <w:pPr>
              <w:rPr>
                <w:rFonts w:cstheme="minorHAnsi"/>
                <w:b/>
                <w:bCs/>
                <w:color w:val="000000"/>
                <w:sz w:val="18"/>
                <w:szCs w:val="18"/>
                <w:lang w:val="cs-CZ"/>
              </w:rPr>
            </w:pPr>
          </w:p>
        </w:tc>
        <w:tc>
          <w:tcPr>
            <w:tcW w:w="1690" w:type="dxa"/>
            <w:vMerge/>
            <w:tcBorders>
              <w:top w:val="nil"/>
              <w:left w:val="single" w:sz="4" w:space="0" w:color="auto"/>
              <w:bottom w:val="single" w:sz="4" w:space="0" w:color="auto"/>
              <w:right w:val="single" w:sz="4" w:space="0" w:color="auto"/>
            </w:tcBorders>
            <w:vAlign w:val="center"/>
            <w:hideMark/>
          </w:tcPr>
          <w:p w14:paraId="2CCCDDD7" w14:textId="77777777" w:rsidR="002C39AF" w:rsidRPr="007434DA" w:rsidRDefault="002C39AF" w:rsidP="004A57B3">
            <w:pPr>
              <w:rPr>
                <w:rFonts w:cstheme="minorHAnsi"/>
                <w:color w:val="000000"/>
                <w:sz w:val="18"/>
                <w:szCs w:val="18"/>
                <w:lang w:val="cs-CZ"/>
              </w:rPr>
            </w:pPr>
          </w:p>
        </w:tc>
        <w:tc>
          <w:tcPr>
            <w:tcW w:w="2222" w:type="dxa"/>
            <w:tcBorders>
              <w:top w:val="nil"/>
              <w:left w:val="nil"/>
              <w:bottom w:val="single" w:sz="4" w:space="0" w:color="auto"/>
              <w:right w:val="single" w:sz="4" w:space="0" w:color="auto"/>
            </w:tcBorders>
            <w:shd w:val="clear" w:color="auto" w:fill="auto"/>
          </w:tcPr>
          <w:p w14:paraId="4A67558D" w14:textId="77777777" w:rsidR="002C39AF" w:rsidRPr="007434DA" w:rsidRDefault="002C39AF" w:rsidP="004A57B3">
            <w:pPr>
              <w:rPr>
                <w:rFonts w:cstheme="minorHAnsi"/>
                <w:color w:val="000000"/>
                <w:sz w:val="18"/>
                <w:szCs w:val="18"/>
                <w:lang w:val="cs-CZ"/>
              </w:rPr>
            </w:pPr>
          </w:p>
        </w:tc>
        <w:tc>
          <w:tcPr>
            <w:tcW w:w="4316" w:type="dxa"/>
            <w:tcBorders>
              <w:top w:val="nil"/>
              <w:left w:val="nil"/>
              <w:bottom w:val="single" w:sz="4" w:space="0" w:color="auto"/>
              <w:right w:val="single" w:sz="4" w:space="0" w:color="auto"/>
            </w:tcBorders>
            <w:shd w:val="clear" w:color="auto" w:fill="auto"/>
          </w:tcPr>
          <w:p w14:paraId="7949D0E5" w14:textId="77777777" w:rsidR="002C39AF" w:rsidRPr="007434DA" w:rsidRDefault="002C39AF" w:rsidP="004A57B3">
            <w:pPr>
              <w:rPr>
                <w:rFonts w:cstheme="minorHAnsi"/>
                <w:color w:val="000000"/>
                <w:sz w:val="18"/>
                <w:szCs w:val="18"/>
                <w:lang w:val="cs-CZ"/>
              </w:rPr>
            </w:pPr>
          </w:p>
        </w:tc>
        <w:tc>
          <w:tcPr>
            <w:tcW w:w="2000" w:type="dxa"/>
            <w:tcBorders>
              <w:top w:val="nil"/>
              <w:left w:val="nil"/>
              <w:bottom w:val="single" w:sz="4" w:space="0" w:color="auto"/>
              <w:right w:val="single" w:sz="4" w:space="0" w:color="auto"/>
            </w:tcBorders>
            <w:shd w:val="clear" w:color="auto" w:fill="auto"/>
            <w:noWrap/>
          </w:tcPr>
          <w:p w14:paraId="1FDFD6C2" w14:textId="77777777" w:rsidR="002C39AF" w:rsidRPr="007434DA" w:rsidRDefault="002C39AF" w:rsidP="004A57B3">
            <w:pPr>
              <w:rPr>
                <w:rFonts w:cstheme="minorHAnsi"/>
                <w:color w:val="000000"/>
                <w:sz w:val="18"/>
                <w:szCs w:val="18"/>
                <w:lang w:val="cs-CZ"/>
              </w:rPr>
            </w:pPr>
          </w:p>
        </w:tc>
      </w:tr>
      <w:tr w:rsidR="002C39AF" w:rsidRPr="0005469C" w14:paraId="55E895A5" w14:textId="77777777" w:rsidTr="004A57B3">
        <w:trPr>
          <w:trHeight w:val="461"/>
        </w:trPr>
        <w:tc>
          <w:tcPr>
            <w:tcW w:w="1074" w:type="dxa"/>
            <w:vMerge/>
            <w:tcBorders>
              <w:top w:val="nil"/>
              <w:left w:val="single" w:sz="4" w:space="0" w:color="auto"/>
              <w:bottom w:val="single" w:sz="4" w:space="0" w:color="auto"/>
              <w:right w:val="single" w:sz="4" w:space="0" w:color="auto"/>
            </w:tcBorders>
            <w:vAlign w:val="center"/>
            <w:hideMark/>
          </w:tcPr>
          <w:p w14:paraId="1E533993" w14:textId="77777777" w:rsidR="002C39AF" w:rsidRPr="007434DA" w:rsidRDefault="002C39AF" w:rsidP="004A57B3">
            <w:pPr>
              <w:rPr>
                <w:rFonts w:cstheme="minorHAnsi"/>
                <w:color w:val="000000"/>
                <w:sz w:val="18"/>
                <w:szCs w:val="18"/>
                <w:lang w:val="cs-CZ"/>
              </w:rPr>
            </w:pPr>
          </w:p>
        </w:tc>
        <w:tc>
          <w:tcPr>
            <w:tcW w:w="1398" w:type="dxa"/>
            <w:vMerge/>
            <w:tcBorders>
              <w:top w:val="nil"/>
              <w:left w:val="single" w:sz="4" w:space="0" w:color="auto"/>
              <w:bottom w:val="single" w:sz="4" w:space="0" w:color="auto"/>
              <w:right w:val="single" w:sz="4" w:space="0" w:color="auto"/>
            </w:tcBorders>
            <w:vAlign w:val="center"/>
            <w:hideMark/>
          </w:tcPr>
          <w:p w14:paraId="79D477AB" w14:textId="77777777" w:rsidR="002C39AF" w:rsidRPr="007434DA" w:rsidRDefault="002C39AF" w:rsidP="004A57B3">
            <w:pPr>
              <w:rPr>
                <w:rFonts w:cstheme="minorHAnsi"/>
                <w:color w:val="000000"/>
                <w:sz w:val="18"/>
                <w:szCs w:val="18"/>
                <w:lang w:val="cs-CZ"/>
              </w:rPr>
            </w:pPr>
          </w:p>
        </w:tc>
        <w:tc>
          <w:tcPr>
            <w:tcW w:w="1570" w:type="dxa"/>
            <w:vMerge/>
            <w:tcBorders>
              <w:top w:val="nil"/>
              <w:left w:val="single" w:sz="4" w:space="0" w:color="auto"/>
              <w:bottom w:val="single" w:sz="4" w:space="0" w:color="auto"/>
              <w:right w:val="single" w:sz="4" w:space="0" w:color="auto"/>
            </w:tcBorders>
            <w:vAlign w:val="center"/>
            <w:hideMark/>
          </w:tcPr>
          <w:p w14:paraId="66FFCEF5" w14:textId="77777777" w:rsidR="002C39AF" w:rsidRPr="007434DA" w:rsidRDefault="002C39AF" w:rsidP="004A57B3">
            <w:pPr>
              <w:rPr>
                <w:rFonts w:cstheme="minorHAnsi"/>
                <w:b/>
                <w:bCs/>
                <w:color w:val="000000"/>
                <w:sz w:val="18"/>
                <w:szCs w:val="18"/>
                <w:lang w:val="cs-CZ"/>
              </w:rPr>
            </w:pPr>
          </w:p>
        </w:tc>
        <w:tc>
          <w:tcPr>
            <w:tcW w:w="1690" w:type="dxa"/>
            <w:vMerge/>
            <w:tcBorders>
              <w:top w:val="nil"/>
              <w:left w:val="single" w:sz="4" w:space="0" w:color="auto"/>
              <w:bottom w:val="single" w:sz="4" w:space="0" w:color="auto"/>
              <w:right w:val="single" w:sz="4" w:space="0" w:color="auto"/>
            </w:tcBorders>
            <w:vAlign w:val="center"/>
            <w:hideMark/>
          </w:tcPr>
          <w:p w14:paraId="7EB3864F" w14:textId="77777777" w:rsidR="002C39AF" w:rsidRPr="007434DA" w:rsidRDefault="002C39AF" w:rsidP="004A57B3">
            <w:pPr>
              <w:rPr>
                <w:rFonts w:cstheme="minorHAnsi"/>
                <w:color w:val="000000"/>
                <w:sz w:val="18"/>
                <w:szCs w:val="18"/>
                <w:lang w:val="cs-CZ"/>
              </w:rPr>
            </w:pPr>
          </w:p>
        </w:tc>
        <w:tc>
          <w:tcPr>
            <w:tcW w:w="2222" w:type="dxa"/>
            <w:tcBorders>
              <w:top w:val="nil"/>
              <w:left w:val="nil"/>
              <w:bottom w:val="single" w:sz="4" w:space="0" w:color="auto"/>
              <w:right w:val="single" w:sz="4" w:space="0" w:color="auto"/>
            </w:tcBorders>
            <w:shd w:val="clear" w:color="auto" w:fill="auto"/>
            <w:hideMark/>
          </w:tcPr>
          <w:p w14:paraId="483487D3" w14:textId="77777777" w:rsidR="002C39AF" w:rsidRPr="007434DA" w:rsidRDefault="002C39AF" w:rsidP="004A57B3">
            <w:pPr>
              <w:rPr>
                <w:rFonts w:cstheme="minorHAnsi"/>
                <w:color w:val="000000"/>
                <w:sz w:val="18"/>
                <w:szCs w:val="18"/>
                <w:lang w:val="cs-CZ"/>
              </w:rPr>
            </w:pPr>
            <w:r w:rsidRPr="007434DA">
              <w:rPr>
                <w:rFonts w:cstheme="minorHAnsi"/>
                <w:sz w:val="18"/>
                <w:szCs w:val="18"/>
                <w:lang w:val="cs-CZ"/>
              </w:rPr>
              <w:t xml:space="preserve">3) Infekce trávicího aparátu selat po odstavu, pokles váhy, agrese mezi selaty     </w:t>
            </w:r>
          </w:p>
        </w:tc>
        <w:tc>
          <w:tcPr>
            <w:tcW w:w="4316" w:type="dxa"/>
            <w:tcBorders>
              <w:top w:val="nil"/>
              <w:left w:val="nil"/>
              <w:bottom w:val="single" w:sz="4" w:space="0" w:color="auto"/>
              <w:right w:val="single" w:sz="4" w:space="0" w:color="auto"/>
            </w:tcBorders>
            <w:shd w:val="clear" w:color="auto" w:fill="auto"/>
            <w:hideMark/>
          </w:tcPr>
          <w:p w14:paraId="224B7EB3" w14:textId="77777777" w:rsidR="002C39AF" w:rsidRPr="007434DA" w:rsidRDefault="002C39AF" w:rsidP="004A57B3">
            <w:pPr>
              <w:rPr>
                <w:rFonts w:cstheme="minorHAnsi"/>
                <w:sz w:val="18"/>
                <w:szCs w:val="18"/>
                <w:lang w:val="cs-CZ"/>
              </w:rPr>
            </w:pPr>
            <w:r w:rsidRPr="007434DA">
              <w:rPr>
                <w:rFonts w:cstheme="minorHAnsi"/>
                <w:sz w:val="18"/>
                <w:szCs w:val="18"/>
                <w:lang w:val="cs-CZ"/>
              </w:rPr>
              <w:t>3) Poodstavový stres, způsobený současným odstavem od matky, přesunem do jiného prostředí, změnou výživy a vytvářením skupin z různých vrhů</w:t>
            </w:r>
          </w:p>
          <w:p w14:paraId="454852B9" w14:textId="77777777" w:rsidR="002C39AF" w:rsidRPr="007434DA" w:rsidRDefault="002C39AF" w:rsidP="004A57B3">
            <w:pPr>
              <w:rPr>
                <w:rFonts w:cstheme="minorHAnsi"/>
                <w:color w:val="000000"/>
                <w:sz w:val="18"/>
                <w:szCs w:val="18"/>
                <w:lang w:val="cs-CZ"/>
              </w:rPr>
            </w:pPr>
            <w:r w:rsidRPr="007434DA">
              <w:rPr>
                <w:rFonts w:cstheme="minorHAnsi"/>
                <w:sz w:val="18"/>
                <w:szCs w:val="18"/>
                <w:lang w:val="cs-CZ"/>
              </w:rPr>
              <w:t xml:space="preserve">Příznivý vliv na zvládnutí poodstavového stresu může mít mimo jiné poskytnutí dostatečného prostoru. Na splnění tohoto faktoru je zaměřeno stávající opatření „Zvětšení plochy pro odstavená selata“   </w:t>
            </w:r>
          </w:p>
        </w:tc>
        <w:tc>
          <w:tcPr>
            <w:tcW w:w="2000" w:type="dxa"/>
            <w:tcBorders>
              <w:top w:val="nil"/>
              <w:left w:val="nil"/>
              <w:bottom w:val="single" w:sz="4" w:space="0" w:color="auto"/>
              <w:right w:val="single" w:sz="4" w:space="0" w:color="auto"/>
            </w:tcBorders>
            <w:shd w:val="clear" w:color="auto" w:fill="auto"/>
            <w:noWrap/>
            <w:hideMark/>
          </w:tcPr>
          <w:p w14:paraId="029A57CE" w14:textId="77777777" w:rsidR="002C39AF" w:rsidRPr="007434DA" w:rsidRDefault="002C39AF" w:rsidP="004A57B3">
            <w:pPr>
              <w:rPr>
                <w:rFonts w:cstheme="minorHAnsi"/>
                <w:sz w:val="18"/>
                <w:szCs w:val="18"/>
                <w:lang w:val="cs-CZ"/>
              </w:rPr>
            </w:pPr>
            <w:r w:rsidRPr="007434DA">
              <w:rPr>
                <w:rFonts w:cstheme="minorHAnsi"/>
                <w:sz w:val="18"/>
                <w:szCs w:val="18"/>
                <w:lang w:val="cs-CZ"/>
              </w:rPr>
              <w:t>3) odhad SCHP 40 %</w:t>
            </w:r>
          </w:p>
          <w:p w14:paraId="76273015" w14:textId="77777777" w:rsidR="002C39AF" w:rsidRPr="007434DA" w:rsidRDefault="002C39AF" w:rsidP="004A57B3">
            <w:pPr>
              <w:rPr>
                <w:rFonts w:cstheme="minorHAnsi"/>
                <w:sz w:val="18"/>
                <w:szCs w:val="18"/>
                <w:lang w:val="cs-CZ"/>
              </w:rPr>
            </w:pPr>
            <w:r w:rsidRPr="007434DA">
              <w:rPr>
                <w:rFonts w:cstheme="minorHAnsi"/>
                <w:sz w:val="18"/>
                <w:szCs w:val="18"/>
                <w:lang w:val="cs-CZ"/>
              </w:rPr>
              <w:t>Pod opatřením „Zvětšení plochy pro odstavená selata“ bylo v letech 2015 – 2018 zařazeno průměrně 44 % selat.</w:t>
            </w:r>
          </w:p>
          <w:p w14:paraId="586C82F3" w14:textId="77777777" w:rsidR="002C39AF" w:rsidRPr="007434DA" w:rsidRDefault="002C39AF" w:rsidP="004A57B3">
            <w:pPr>
              <w:rPr>
                <w:rFonts w:cstheme="minorHAnsi"/>
                <w:color w:val="000000"/>
                <w:sz w:val="18"/>
                <w:szCs w:val="18"/>
                <w:lang w:val="cs-CZ"/>
              </w:rPr>
            </w:pPr>
          </w:p>
        </w:tc>
      </w:tr>
      <w:tr w:rsidR="002C39AF" w:rsidRPr="0005469C" w14:paraId="7C0B41CE" w14:textId="77777777" w:rsidTr="004A57B3">
        <w:trPr>
          <w:trHeight w:val="754"/>
        </w:trPr>
        <w:tc>
          <w:tcPr>
            <w:tcW w:w="1074" w:type="dxa"/>
            <w:vMerge/>
            <w:tcBorders>
              <w:top w:val="nil"/>
              <w:left w:val="single" w:sz="4" w:space="0" w:color="auto"/>
              <w:bottom w:val="single" w:sz="4" w:space="0" w:color="auto"/>
              <w:right w:val="single" w:sz="4" w:space="0" w:color="auto"/>
            </w:tcBorders>
            <w:vAlign w:val="center"/>
            <w:hideMark/>
          </w:tcPr>
          <w:p w14:paraId="56C1ADF6" w14:textId="77777777" w:rsidR="002C39AF" w:rsidRPr="007434DA" w:rsidRDefault="002C39AF" w:rsidP="004A57B3">
            <w:pPr>
              <w:rPr>
                <w:rFonts w:cstheme="minorHAnsi"/>
                <w:color w:val="000000"/>
                <w:sz w:val="18"/>
                <w:szCs w:val="18"/>
                <w:lang w:val="cs-CZ"/>
              </w:rPr>
            </w:pPr>
          </w:p>
        </w:tc>
        <w:tc>
          <w:tcPr>
            <w:tcW w:w="1398" w:type="dxa"/>
            <w:vMerge/>
            <w:tcBorders>
              <w:top w:val="nil"/>
              <w:left w:val="single" w:sz="4" w:space="0" w:color="auto"/>
              <w:bottom w:val="single" w:sz="4" w:space="0" w:color="auto"/>
              <w:right w:val="single" w:sz="4" w:space="0" w:color="auto"/>
            </w:tcBorders>
            <w:vAlign w:val="center"/>
            <w:hideMark/>
          </w:tcPr>
          <w:p w14:paraId="5F3B9A18" w14:textId="77777777" w:rsidR="002C39AF" w:rsidRPr="007434DA" w:rsidRDefault="002C39AF" w:rsidP="004A57B3">
            <w:pPr>
              <w:rPr>
                <w:rFonts w:cstheme="minorHAnsi"/>
                <w:color w:val="000000"/>
                <w:sz w:val="18"/>
                <w:szCs w:val="18"/>
                <w:lang w:val="cs-CZ"/>
              </w:rPr>
            </w:pPr>
          </w:p>
        </w:tc>
        <w:tc>
          <w:tcPr>
            <w:tcW w:w="1570" w:type="dxa"/>
            <w:vMerge/>
            <w:tcBorders>
              <w:top w:val="nil"/>
              <w:left w:val="single" w:sz="4" w:space="0" w:color="auto"/>
              <w:bottom w:val="single" w:sz="4" w:space="0" w:color="auto"/>
              <w:right w:val="single" w:sz="4" w:space="0" w:color="auto"/>
            </w:tcBorders>
            <w:vAlign w:val="center"/>
            <w:hideMark/>
          </w:tcPr>
          <w:p w14:paraId="0C9381DC" w14:textId="77777777" w:rsidR="002C39AF" w:rsidRPr="007434DA" w:rsidRDefault="002C39AF" w:rsidP="004A57B3">
            <w:pPr>
              <w:rPr>
                <w:rFonts w:cstheme="minorHAnsi"/>
                <w:b/>
                <w:bCs/>
                <w:color w:val="000000"/>
                <w:sz w:val="18"/>
                <w:szCs w:val="18"/>
                <w:lang w:val="cs-CZ"/>
              </w:rPr>
            </w:pPr>
          </w:p>
        </w:tc>
        <w:tc>
          <w:tcPr>
            <w:tcW w:w="1690" w:type="dxa"/>
            <w:vMerge/>
            <w:tcBorders>
              <w:top w:val="nil"/>
              <w:left w:val="single" w:sz="4" w:space="0" w:color="auto"/>
              <w:bottom w:val="single" w:sz="4" w:space="0" w:color="auto"/>
              <w:right w:val="single" w:sz="4" w:space="0" w:color="auto"/>
            </w:tcBorders>
            <w:vAlign w:val="center"/>
            <w:hideMark/>
          </w:tcPr>
          <w:p w14:paraId="11E9810F" w14:textId="77777777" w:rsidR="002C39AF" w:rsidRPr="007434DA" w:rsidRDefault="002C39AF" w:rsidP="004A57B3">
            <w:pPr>
              <w:rPr>
                <w:rFonts w:cstheme="minorHAnsi"/>
                <w:color w:val="000000"/>
                <w:sz w:val="18"/>
                <w:szCs w:val="18"/>
                <w:lang w:val="cs-CZ"/>
              </w:rPr>
            </w:pPr>
          </w:p>
        </w:tc>
        <w:tc>
          <w:tcPr>
            <w:tcW w:w="2222" w:type="dxa"/>
            <w:tcBorders>
              <w:top w:val="nil"/>
              <w:left w:val="nil"/>
              <w:bottom w:val="single" w:sz="4" w:space="0" w:color="auto"/>
              <w:right w:val="single" w:sz="4" w:space="0" w:color="auto"/>
            </w:tcBorders>
            <w:shd w:val="clear" w:color="auto" w:fill="auto"/>
            <w:hideMark/>
          </w:tcPr>
          <w:p w14:paraId="4608CF67" w14:textId="77777777" w:rsidR="002C39AF" w:rsidRPr="007434DA" w:rsidRDefault="002C39AF" w:rsidP="004A57B3">
            <w:pPr>
              <w:rPr>
                <w:rFonts w:cstheme="minorHAnsi"/>
                <w:color w:val="000000"/>
                <w:sz w:val="18"/>
                <w:szCs w:val="18"/>
                <w:lang w:val="cs-CZ"/>
              </w:rPr>
            </w:pPr>
            <w:r w:rsidRPr="007434DA">
              <w:rPr>
                <w:rFonts w:cstheme="minorHAnsi"/>
                <w:sz w:val="18"/>
                <w:szCs w:val="18"/>
                <w:lang w:val="cs-CZ"/>
              </w:rPr>
              <w:t>4) Ztráty selat při porodu</w:t>
            </w:r>
          </w:p>
        </w:tc>
        <w:tc>
          <w:tcPr>
            <w:tcW w:w="4316" w:type="dxa"/>
            <w:tcBorders>
              <w:top w:val="nil"/>
              <w:left w:val="nil"/>
              <w:bottom w:val="single" w:sz="4" w:space="0" w:color="auto"/>
              <w:right w:val="single" w:sz="4" w:space="0" w:color="auto"/>
            </w:tcBorders>
            <w:shd w:val="clear" w:color="auto" w:fill="auto"/>
            <w:hideMark/>
          </w:tcPr>
          <w:p w14:paraId="5B0969AC" w14:textId="77777777" w:rsidR="002C39AF" w:rsidRPr="007434DA" w:rsidRDefault="002C39AF" w:rsidP="004A57B3">
            <w:pPr>
              <w:rPr>
                <w:rFonts w:cstheme="minorHAnsi"/>
                <w:color w:val="000000"/>
                <w:sz w:val="18"/>
                <w:szCs w:val="18"/>
                <w:lang w:val="cs-CZ"/>
              </w:rPr>
            </w:pPr>
            <w:r w:rsidRPr="007434DA">
              <w:rPr>
                <w:rFonts w:cstheme="minorHAnsi"/>
                <w:sz w:val="18"/>
                <w:szCs w:val="18"/>
                <w:lang w:val="cs-CZ"/>
              </w:rPr>
              <w:t>4) Nedostatečné personální zajištění, nízká kvalifikace pracovníků, chybějící celodenní chovatelská péče a dozor</w:t>
            </w:r>
          </w:p>
        </w:tc>
        <w:tc>
          <w:tcPr>
            <w:tcW w:w="2000" w:type="dxa"/>
            <w:tcBorders>
              <w:top w:val="nil"/>
              <w:left w:val="nil"/>
              <w:bottom w:val="single" w:sz="4" w:space="0" w:color="auto"/>
              <w:right w:val="single" w:sz="4" w:space="0" w:color="auto"/>
            </w:tcBorders>
            <w:shd w:val="clear" w:color="auto" w:fill="auto"/>
            <w:noWrap/>
            <w:hideMark/>
          </w:tcPr>
          <w:p w14:paraId="1327E1B9" w14:textId="77777777" w:rsidR="002C39AF" w:rsidRPr="007434DA" w:rsidRDefault="002C39AF" w:rsidP="004A57B3">
            <w:pPr>
              <w:rPr>
                <w:rFonts w:cstheme="minorHAnsi"/>
                <w:color w:val="000000"/>
                <w:sz w:val="18"/>
                <w:szCs w:val="18"/>
                <w:lang w:val="cs-CZ"/>
              </w:rPr>
            </w:pPr>
            <w:r w:rsidRPr="007434DA">
              <w:rPr>
                <w:rFonts w:cstheme="minorHAnsi"/>
                <w:sz w:val="18"/>
                <w:szCs w:val="18"/>
                <w:lang w:val="cs-CZ"/>
              </w:rPr>
              <w:t xml:space="preserve">4) odhad VÚŽV 5-10 % </w:t>
            </w:r>
            <w:r w:rsidRPr="007434DA">
              <w:rPr>
                <w:rFonts w:cs="Calibri"/>
                <w:color w:val="000000"/>
                <w:sz w:val="18"/>
                <w:szCs w:val="18"/>
                <w:lang w:val="cs-CZ"/>
              </w:rPr>
              <w:t>(podíl z celkového počtu chovů)</w:t>
            </w:r>
          </w:p>
        </w:tc>
      </w:tr>
    </w:tbl>
    <w:p w14:paraId="6351A594" w14:textId="4E4A1022" w:rsidR="003D3582" w:rsidRPr="007434DA" w:rsidRDefault="003D3582" w:rsidP="00D0389D">
      <w:pPr>
        <w:pStyle w:val="UZEINormaln"/>
        <w:rPr>
          <w:b/>
          <w:bCs/>
          <w:sz w:val="20"/>
          <w:szCs w:val="20"/>
        </w:rPr>
      </w:pPr>
    </w:p>
    <w:p w14:paraId="53698AFF" w14:textId="77777777" w:rsidR="00A94746" w:rsidRPr="007434DA" w:rsidRDefault="00A94746" w:rsidP="00AA5BA3">
      <w:pPr>
        <w:spacing w:before="120"/>
        <w:rPr>
          <w:rFonts w:cs="Times New Roman"/>
          <w:b/>
          <w:sz w:val="20"/>
          <w:szCs w:val="20"/>
          <w:lang w:val="cs-CZ"/>
        </w:rPr>
      </w:pPr>
    </w:p>
    <w:p w14:paraId="70AB79E7" w14:textId="77777777" w:rsidR="00A94746" w:rsidRPr="007434DA" w:rsidRDefault="00A94746" w:rsidP="00AA5BA3">
      <w:pPr>
        <w:spacing w:before="120"/>
        <w:rPr>
          <w:rFonts w:cs="Times New Roman"/>
          <w:b/>
          <w:sz w:val="20"/>
          <w:szCs w:val="20"/>
          <w:lang w:val="cs-CZ"/>
        </w:rPr>
      </w:pPr>
    </w:p>
    <w:p w14:paraId="6089F7DF" w14:textId="77777777" w:rsidR="00A94746" w:rsidRPr="007434DA" w:rsidRDefault="00A94746" w:rsidP="00AA5BA3">
      <w:pPr>
        <w:spacing w:before="120"/>
        <w:rPr>
          <w:rFonts w:cs="Times New Roman"/>
          <w:b/>
          <w:sz w:val="20"/>
          <w:szCs w:val="20"/>
          <w:lang w:val="cs-CZ"/>
        </w:rPr>
      </w:pPr>
    </w:p>
    <w:p w14:paraId="4D87F46A" w14:textId="77777777" w:rsidR="00A94746" w:rsidRPr="007434DA" w:rsidRDefault="00A94746" w:rsidP="00AA5BA3">
      <w:pPr>
        <w:spacing w:before="120"/>
        <w:rPr>
          <w:rFonts w:cs="Times New Roman"/>
          <w:b/>
          <w:sz w:val="20"/>
          <w:szCs w:val="20"/>
          <w:lang w:val="cs-CZ"/>
        </w:rPr>
      </w:pPr>
    </w:p>
    <w:p w14:paraId="02B9CEFE" w14:textId="77777777" w:rsidR="00A94746" w:rsidRPr="007434DA" w:rsidRDefault="00A94746" w:rsidP="00AA5BA3">
      <w:pPr>
        <w:spacing w:before="120"/>
        <w:rPr>
          <w:rFonts w:cs="Times New Roman"/>
          <w:b/>
          <w:sz w:val="20"/>
          <w:szCs w:val="20"/>
          <w:lang w:val="cs-CZ"/>
        </w:rPr>
      </w:pPr>
    </w:p>
    <w:p w14:paraId="074EBA65" w14:textId="77777777" w:rsidR="00A94746" w:rsidRPr="007434DA" w:rsidRDefault="00A94746" w:rsidP="00AA5BA3">
      <w:pPr>
        <w:spacing w:before="120"/>
        <w:rPr>
          <w:rFonts w:cs="Times New Roman"/>
          <w:b/>
          <w:sz w:val="20"/>
          <w:szCs w:val="20"/>
          <w:lang w:val="cs-CZ"/>
        </w:rPr>
      </w:pPr>
    </w:p>
    <w:p w14:paraId="392CDEC0" w14:textId="77777777" w:rsidR="00A94746" w:rsidRPr="007434DA" w:rsidRDefault="00A94746" w:rsidP="00AA5BA3">
      <w:pPr>
        <w:spacing w:before="120"/>
        <w:rPr>
          <w:rFonts w:cs="Times New Roman"/>
          <w:b/>
          <w:sz w:val="20"/>
          <w:szCs w:val="20"/>
          <w:lang w:val="cs-CZ"/>
        </w:rPr>
      </w:pPr>
    </w:p>
    <w:p w14:paraId="4A841FFB" w14:textId="77777777" w:rsidR="00A94746" w:rsidRPr="007434DA" w:rsidRDefault="00A94746" w:rsidP="00AA5BA3">
      <w:pPr>
        <w:spacing w:before="120"/>
        <w:rPr>
          <w:rFonts w:cs="Times New Roman"/>
          <w:b/>
          <w:sz w:val="20"/>
          <w:szCs w:val="20"/>
          <w:lang w:val="cs-CZ"/>
        </w:rPr>
      </w:pPr>
    </w:p>
    <w:p w14:paraId="257EA2F1" w14:textId="77777777" w:rsidR="00A94746" w:rsidRPr="007434DA" w:rsidRDefault="00A94746" w:rsidP="00AA5BA3">
      <w:pPr>
        <w:spacing w:before="120"/>
        <w:rPr>
          <w:rFonts w:cs="Times New Roman"/>
          <w:b/>
          <w:sz w:val="20"/>
          <w:szCs w:val="20"/>
          <w:lang w:val="cs-CZ"/>
        </w:rPr>
      </w:pPr>
    </w:p>
    <w:p w14:paraId="0B99C662" w14:textId="77777777" w:rsidR="00A94746" w:rsidRPr="007434DA" w:rsidRDefault="00A94746" w:rsidP="00AA5BA3">
      <w:pPr>
        <w:spacing w:before="120"/>
        <w:rPr>
          <w:rFonts w:cs="Times New Roman"/>
          <w:b/>
          <w:sz w:val="20"/>
          <w:szCs w:val="20"/>
          <w:lang w:val="cs-CZ"/>
        </w:rPr>
      </w:pPr>
    </w:p>
    <w:tbl>
      <w:tblPr>
        <w:tblW w:w="14284" w:type="dxa"/>
        <w:tblInd w:w="75" w:type="dxa"/>
        <w:tblCellMar>
          <w:left w:w="70" w:type="dxa"/>
          <w:right w:w="70" w:type="dxa"/>
        </w:tblCellMar>
        <w:tblLook w:val="04A0" w:firstRow="1" w:lastRow="0" w:firstColumn="1" w:lastColumn="0" w:noHBand="0" w:noVBand="1"/>
      </w:tblPr>
      <w:tblGrid>
        <w:gridCol w:w="1074"/>
        <w:gridCol w:w="1398"/>
        <w:gridCol w:w="1559"/>
        <w:gridCol w:w="1701"/>
        <w:gridCol w:w="2222"/>
        <w:gridCol w:w="45"/>
        <w:gridCol w:w="4271"/>
        <w:gridCol w:w="2000"/>
        <w:gridCol w:w="14"/>
      </w:tblGrid>
      <w:tr w:rsidR="003361B0" w:rsidRPr="0005469C" w14:paraId="6ABAE78D" w14:textId="77777777" w:rsidTr="004A57B3">
        <w:trPr>
          <w:gridAfter w:val="1"/>
          <w:wAfter w:w="14" w:type="dxa"/>
          <w:trHeight w:val="552"/>
        </w:trPr>
        <w:tc>
          <w:tcPr>
            <w:tcW w:w="1074" w:type="dxa"/>
            <w:tcBorders>
              <w:top w:val="single" w:sz="4" w:space="0" w:color="auto"/>
              <w:left w:val="single" w:sz="4" w:space="0" w:color="auto"/>
              <w:bottom w:val="single" w:sz="4" w:space="0" w:color="auto"/>
              <w:right w:val="single" w:sz="4" w:space="0" w:color="auto"/>
            </w:tcBorders>
            <w:shd w:val="clear" w:color="000000" w:fill="B4C6E7"/>
            <w:vAlign w:val="center"/>
            <w:hideMark/>
          </w:tcPr>
          <w:p w14:paraId="1BC597F8" w14:textId="77777777" w:rsidR="003361B0" w:rsidRPr="007434DA" w:rsidRDefault="003361B0" w:rsidP="004A57B3">
            <w:pPr>
              <w:rPr>
                <w:rFonts w:cs="Calibri"/>
                <w:b/>
                <w:bCs/>
                <w:color w:val="000000"/>
                <w:sz w:val="18"/>
                <w:szCs w:val="18"/>
                <w:lang w:val="cs-CZ"/>
              </w:rPr>
            </w:pPr>
            <w:r w:rsidRPr="007434DA">
              <w:rPr>
                <w:rFonts w:cs="Calibri"/>
                <w:b/>
                <w:bCs/>
                <w:color w:val="000000"/>
                <w:sz w:val="18"/>
                <w:szCs w:val="18"/>
                <w:lang w:val="cs-CZ"/>
              </w:rPr>
              <w:t>Kategorie</w:t>
            </w:r>
          </w:p>
        </w:tc>
        <w:tc>
          <w:tcPr>
            <w:tcW w:w="1398" w:type="dxa"/>
            <w:tcBorders>
              <w:top w:val="single" w:sz="4" w:space="0" w:color="auto"/>
              <w:left w:val="nil"/>
              <w:bottom w:val="single" w:sz="4" w:space="0" w:color="auto"/>
              <w:right w:val="single" w:sz="4" w:space="0" w:color="auto"/>
            </w:tcBorders>
            <w:shd w:val="clear" w:color="000000" w:fill="B4C6E7"/>
            <w:vAlign w:val="center"/>
            <w:hideMark/>
          </w:tcPr>
          <w:p w14:paraId="0663B534" w14:textId="77777777" w:rsidR="003361B0" w:rsidRPr="007434DA" w:rsidRDefault="003361B0" w:rsidP="004A57B3">
            <w:pPr>
              <w:jc w:val="center"/>
              <w:rPr>
                <w:rFonts w:cs="Calibri"/>
                <w:b/>
                <w:bCs/>
                <w:color w:val="000000"/>
                <w:sz w:val="18"/>
                <w:szCs w:val="18"/>
                <w:lang w:val="cs-CZ"/>
              </w:rPr>
            </w:pPr>
            <w:r w:rsidRPr="007434DA">
              <w:rPr>
                <w:rFonts w:cs="Calibri"/>
                <w:b/>
                <w:bCs/>
                <w:color w:val="000000"/>
                <w:sz w:val="18"/>
                <w:szCs w:val="18"/>
                <w:lang w:val="cs-CZ"/>
              </w:rPr>
              <w:t>Stavy celkem</w:t>
            </w:r>
          </w:p>
        </w:tc>
        <w:tc>
          <w:tcPr>
            <w:tcW w:w="1559" w:type="dxa"/>
            <w:tcBorders>
              <w:top w:val="single" w:sz="4" w:space="0" w:color="auto"/>
              <w:left w:val="nil"/>
              <w:bottom w:val="single" w:sz="4" w:space="0" w:color="auto"/>
              <w:right w:val="single" w:sz="4" w:space="0" w:color="auto"/>
            </w:tcBorders>
            <w:shd w:val="clear" w:color="000000" w:fill="B4C6E7"/>
            <w:vAlign w:val="center"/>
            <w:hideMark/>
          </w:tcPr>
          <w:p w14:paraId="3A2B3088" w14:textId="77777777" w:rsidR="003361B0" w:rsidRPr="007434DA" w:rsidRDefault="003361B0" w:rsidP="004A57B3">
            <w:pPr>
              <w:jc w:val="center"/>
              <w:rPr>
                <w:rFonts w:cs="Calibri"/>
                <w:b/>
                <w:bCs/>
                <w:color w:val="000000"/>
                <w:sz w:val="18"/>
                <w:szCs w:val="18"/>
                <w:lang w:val="cs-CZ"/>
              </w:rPr>
            </w:pPr>
            <w:r w:rsidRPr="007434DA">
              <w:rPr>
                <w:rFonts w:cs="Calibri"/>
                <w:b/>
                <w:bCs/>
                <w:color w:val="000000"/>
                <w:sz w:val="18"/>
                <w:szCs w:val="18"/>
                <w:lang w:val="cs-CZ"/>
              </w:rPr>
              <w:t>Stavy dle užitkového typu</w:t>
            </w:r>
          </w:p>
        </w:tc>
        <w:tc>
          <w:tcPr>
            <w:tcW w:w="1701" w:type="dxa"/>
            <w:tcBorders>
              <w:top w:val="single" w:sz="4" w:space="0" w:color="auto"/>
              <w:left w:val="nil"/>
              <w:bottom w:val="single" w:sz="4" w:space="0" w:color="auto"/>
              <w:right w:val="single" w:sz="4" w:space="0" w:color="auto"/>
            </w:tcBorders>
            <w:shd w:val="clear" w:color="000000" w:fill="B4C6E7"/>
            <w:vAlign w:val="center"/>
            <w:hideMark/>
          </w:tcPr>
          <w:p w14:paraId="25F1A46E" w14:textId="77777777" w:rsidR="003361B0" w:rsidRPr="007434DA" w:rsidRDefault="003361B0" w:rsidP="004A57B3">
            <w:pPr>
              <w:jc w:val="center"/>
              <w:rPr>
                <w:rFonts w:cs="Calibri"/>
                <w:b/>
                <w:bCs/>
                <w:color w:val="000000"/>
                <w:sz w:val="18"/>
                <w:szCs w:val="18"/>
                <w:lang w:val="cs-CZ"/>
              </w:rPr>
            </w:pPr>
            <w:r w:rsidRPr="007434DA">
              <w:rPr>
                <w:rFonts w:cs="Calibri"/>
                <w:b/>
                <w:bCs/>
                <w:color w:val="000000"/>
                <w:sz w:val="18"/>
                <w:szCs w:val="18"/>
                <w:lang w:val="cs-CZ"/>
              </w:rPr>
              <w:t>Technologie (podíl chovaných zvířat)</w:t>
            </w:r>
          </w:p>
        </w:tc>
        <w:tc>
          <w:tcPr>
            <w:tcW w:w="2222" w:type="dxa"/>
            <w:tcBorders>
              <w:top w:val="single" w:sz="4" w:space="0" w:color="auto"/>
              <w:left w:val="nil"/>
              <w:bottom w:val="single" w:sz="4" w:space="0" w:color="auto"/>
              <w:right w:val="single" w:sz="4" w:space="0" w:color="auto"/>
            </w:tcBorders>
            <w:shd w:val="clear" w:color="000000" w:fill="B4C6E7"/>
            <w:vAlign w:val="center"/>
            <w:hideMark/>
          </w:tcPr>
          <w:p w14:paraId="423DCD54" w14:textId="77777777" w:rsidR="003361B0" w:rsidRPr="007434DA" w:rsidRDefault="003361B0" w:rsidP="004A57B3">
            <w:pPr>
              <w:jc w:val="center"/>
              <w:rPr>
                <w:rFonts w:cs="Calibri"/>
                <w:b/>
                <w:bCs/>
                <w:color w:val="000000"/>
                <w:sz w:val="18"/>
                <w:szCs w:val="18"/>
                <w:lang w:val="cs-CZ"/>
              </w:rPr>
            </w:pPr>
            <w:r w:rsidRPr="007434DA">
              <w:rPr>
                <w:rFonts w:cs="Calibri"/>
                <w:b/>
                <w:bCs/>
                <w:color w:val="000000"/>
                <w:sz w:val="18"/>
                <w:szCs w:val="18"/>
                <w:lang w:val="cs-CZ"/>
              </w:rPr>
              <w:t>Hlavní problémy (obecně)</w:t>
            </w:r>
          </w:p>
        </w:tc>
        <w:tc>
          <w:tcPr>
            <w:tcW w:w="4316" w:type="dxa"/>
            <w:gridSpan w:val="2"/>
            <w:tcBorders>
              <w:top w:val="single" w:sz="4" w:space="0" w:color="auto"/>
              <w:left w:val="nil"/>
              <w:bottom w:val="single" w:sz="4" w:space="0" w:color="auto"/>
              <w:right w:val="single" w:sz="4" w:space="0" w:color="auto"/>
            </w:tcBorders>
            <w:shd w:val="clear" w:color="000000" w:fill="B4C6E7"/>
            <w:vAlign w:val="center"/>
            <w:hideMark/>
          </w:tcPr>
          <w:p w14:paraId="57FAE04A" w14:textId="77777777" w:rsidR="003361B0" w:rsidRPr="007434DA" w:rsidRDefault="003361B0" w:rsidP="004A57B3">
            <w:pPr>
              <w:jc w:val="center"/>
              <w:rPr>
                <w:rFonts w:cs="Calibri"/>
                <w:b/>
                <w:bCs/>
                <w:color w:val="000000"/>
                <w:sz w:val="18"/>
                <w:szCs w:val="18"/>
                <w:lang w:val="cs-CZ"/>
              </w:rPr>
            </w:pPr>
            <w:r w:rsidRPr="007434DA">
              <w:rPr>
                <w:rFonts w:cs="Calibri"/>
                <w:b/>
                <w:bCs/>
                <w:color w:val="000000"/>
                <w:sz w:val="18"/>
                <w:szCs w:val="18"/>
                <w:lang w:val="cs-CZ"/>
              </w:rPr>
              <w:t>Příčiny problémů</w:t>
            </w:r>
          </w:p>
        </w:tc>
        <w:tc>
          <w:tcPr>
            <w:tcW w:w="2000" w:type="dxa"/>
            <w:tcBorders>
              <w:top w:val="single" w:sz="4" w:space="0" w:color="auto"/>
              <w:left w:val="nil"/>
              <w:bottom w:val="single" w:sz="4" w:space="0" w:color="auto"/>
              <w:right w:val="single" w:sz="4" w:space="0" w:color="auto"/>
            </w:tcBorders>
            <w:shd w:val="clear" w:color="000000" w:fill="B4C6E7"/>
            <w:vAlign w:val="center"/>
            <w:hideMark/>
          </w:tcPr>
          <w:p w14:paraId="4E7B4961" w14:textId="77777777" w:rsidR="003361B0" w:rsidRPr="007434DA" w:rsidRDefault="003361B0" w:rsidP="004A57B3">
            <w:pPr>
              <w:jc w:val="center"/>
              <w:rPr>
                <w:rFonts w:cs="Calibri"/>
                <w:b/>
                <w:bCs/>
                <w:color w:val="000000"/>
                <w:sz w:val="18"/>
                <w:szCs w:val="18"/>
                <w:lang w:val="cs-CZ"/>
              </w:rPr>
            </w:pPr>
            <w:r w:rsidRPr="007434DA">
              <w:rPr>
                <w:rFonts w:cs="Calibri"/>
                <w:b/>
                <w:bCs/>
                <w:color w:val="000000"/>
                <w:sz w:val="18"/>
                <w:szCs w:val="18"/>
                <w:lang w:val="cs-CZ"/>
              </w:rPr>
              <w:t>Dopad (podíl zasažených zvířat/chovů)</w:t>
            </w:r>
          </w:p>
        </w:tc>
      </w:tr>
      <w:tr w:rsidR="003361B0" w:rsidRPr="0005469C" w14:paraId="31D1506B" w14:textId="77777777" w:rsidTr="004A57B3">
        <w:trPr>
          <w:gridAfter w:val="1"/>
          <w:wAfter w:w="14" w:type="dxa"/>
          <w:trHeight w:val="453"/>
        </w:trPr>
        <w:tc>
          <w:tcPr>
            <w:tcW w:w="1074" w:type="dxa"/>
            <w:vMerge w:val="restart"/>
            <w:tcBorders>
              <w:top w:val="nil"/>
              <w:left w:val="single" w:sz="4" w:space="0" w:color="auto"/>
              <w:bottom w:val="single" w:sz="4" w:space="0" w:color="auto"/>
              <w:right w:val="single" w:sz="4" w:space="0" w:color="auto"/>
            </w:tcBorders>
            <w:shd w:val="clear" w:color="auto" w:fill="auto"/>
            <w:vAlign w:val="center"/>
            <w:hideMark/>
          </w:tcPr>
          <w:p w14:paraId="1F51F9D8" w14:textId="77777777" w:rsidR="003361B0" w:rsidRPr="007434DA" w:rsidRDefault="003361B0" w:rsidP="004A57B3">
            <w:pPr>
              <w:jc w:val="center"/>
              <w:rPr>
                <w:rFonts w:cstheme="minorHAnsi"/>
                <w:b/>
                <w:color w:val="000000"/>
                <w:sz w:val="18"/>
                <w:szCs w:val="18"/>
                <w:lang w:val="cs-CZ"/>
              </w:rPr>
            </w:pPr>
            <w:r w:rsidRPr="007434DA">
              <w:rPr>
                <w:rFonts w:cstheme="minorHAnsi"/>
                <w:b/>
                <w:color w:val="000000"/>
                <w:sz w:val="18"/>
                <w:szCs w:val="18"/>
                <w:lang w:val="cs-CZ"/>
              </w:rPr>
              <w:t>Výkrm prasat</w:t>
            </w:r>
          </w:p>
        </w:tc>
        <w:tc>
          <w:tcPr>
            <w:tcW w:w="139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6EAA358" w14:textId="77777777" w:rsidR="003361B0" w:rsidRPr="007434DA" w:rsidRDefault="003361B0" w:rsidP="004A57B3">
            <w:pPr>
              <w:jc w:val="center"/>
              <w:rPr>
                <w:rFonts w:cstheme="minorHAnsi"/>
                <w:color w:val="000000"/>
                <w:sz w:val="18"/>
                <w:szCs w:val="18"/>
                <w:lang w:val="cs-CZ"/>
              </w:rPr>
            </w:pPr>
            <w:r w:rsidRPr="007434DA">
              <w:rPr>
                <w:rFonts w:cstheme="minorHAnsi"/>
                <w:color w:val="000000"/>
                <w:sz w:val="18"/>
                <w:szCs w:val="18"/>
                <w:lang w:val="cs-CZ"/>
              </w:rPr>
              <w:t>Stav 2017: 928,3 tis. ks</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14:paraId="12893293" w14:textId="77777777" w:rsidR="003361B0" w:rsidRPr="007434DA" w:rsidRDefault="003361B0" w:rsidP="004A57B3">
            <w:pPr>
              <w:jc w:val="center"/>
              <w:rPr>
                <w:rFonts w:cstheme="minorHAnsi"/>
                <w:color w:val="000000"/>
                <w:sz w:val="18"/>
                <w:szCs w:val="18"/>
                <w:lang w:val="cs-CZ"/>
              </w:rPr>
            </w:pPr>
            <w:r w:rsidRPr="007434DA">
              <w:rPr>
                <w:rFonts w:cstheme="minorHAnsi"/>
                <w:color w:val="000000"/>
                <w:sz w:val="18"/>
                <w:szCs w:val="18"/>
                <w:lang w:val="cs-CZ"/>
              </w:rPr>
              <w:t xml:space="preserve"> </w:t>
            </w:r>
            <w:r w:rsidRPr="007434DA">
              <w:rPr>
                <w:rFonts w:cstheme="minorHAnsi"/>
                <w:color w:val="000000"/>
                <w:sz w:val="18"/>
                <w:szCs w:val="18"/>
                <w:lang w:val="cs-CZ"/>
              </w:rPr>
              <w:br/>
              <w:t xml:space="preserve">Mladá prasata 20 - 50 kg: 368,7 tis. ks </w:t>
            </w:r>
            <w:r w:rsidRPr="007434DA">
              <w:rPr>
                <w:rFonts w:cstheme="minorHAnsi"/>
                <w:color w:val="000000"/>
                <w:sz w:val="18"/>
                <w:szCs w:val="18"/>
                <w:lang w:val="cs-CZ"/>
              </w:rPr>
              <w:br/>
              <w:t>Výkrm: 559,6 tis. ks;</w:t>
            </w:r>
          </w:p>
        </w:tc>
        <w:tc>
          <w:tcPr>
            <w:tcW w:w="1701" w:type="dxa"/>
            <w:vMerge w:val="restart"/>
            <w:tcBorders>
              <w:top w:val="nil"/>
              <w:left w:val="single" w:sz="4" w:space="0" w:color="auto"/>
              <w:bottom w:val="single" w:sz="4" w:space="0" w:color="auto"/>
              <w:right w:val="single" w:sz="4" w:space="0" w:color="auto"/>
            </w:tcBorders>
            <w:shd w:val="clear" w:color="auto" w:fill="auto"/>
            <w:vAlign w:val="center"/>
            <w:hideMark/>
          </w:tcPr>
          <w:p w14:paraId="3465EF72" w14:textId="77777777" w:rsidR="003361B0" w:rsidRPr="007434DA" w:rsidRDefault="003361B0" w:rsidP="004A57B3">
            <w:pPr>
              <w:jc w:val="center"/>
              <w:rPr>
                <w:rFonts w:cstheme="minorHAnsi"/>
                <w:color w:val="000000"/>
                <w:sz w:val="18"/>
                <w:szCs w:val="18"/>
                <w:lang w:val="cs-CZ"/>
              </w:rPr>
            </w:pPr>
            <w:r w:rsidRPr="007434DA">
              <w:rPr>
                <w:rFonts w:cstheme="minorHAnsi"/>
                <w:color w:val="000000"/>
                <w:sz w:val="18"/>
                <w:szCs w:val="18"/>
                <w:lang w:val="cs-CZ"/>
              </w:rPr>
              <w:t>Bezstelivový provoz: 70 % chovů;                                  Denní přistýlání: 10 % chovů;                            Hluboká podestýlka: 20 % chovů</w:t>
            </w:r>
          </w:p>
        </w:tc>
        <w:tc>
          <w:tcPr>
            <w:tcW w:w="2267" w:type="dxa"/>
            <w:gridSpan w:val="2"/>
            <w:tcBorders>
              <w:top w:val="nil"/>
              <w:left w:val="nil"/>
              <w:bottom w:val="single" w:sz="4" w:space="0" w:color="auto"/>
              <w:right w:val="single" w:sz="4" w:space="0" w:color="auto"/>
            </w:tcBorders>
            <w:shd w:val="clear" w:color="auto" w:fill="auto"/>
            <w:hideMark/>
          </w:tcPr>
          <w:p w14:paraId="459FAB2D" w14:textId="77777777" w:rsidR="003361B0" w:rsidRPr="007434DA" w:rsidRDefault="003361B0" w:rsidP="004A57B3">
            <w:pPr>
              <w:rPr>
                <w:rFonts w:cstheme="minorHAnsi"/>
                <w:color w:val="000000"/>
                <w:sz w:val="18"/>
                <w:szCs w:val="18"/>
                <w:lang w:val="cs-CZ"/>
              </w:rPr>
            </w:pPr>
            <w:r w:rsidRPr="007434DA">
              <w:rPr>
                <w:rFonts w:cstheme="minorHAnsi"/>
                <w:sz w:val="18"/>
                <w:szCs w:val="18"/>
                <w:lang w:val="cs-CZ"/>
              </w:rPr>
              <w:t>1) Nedostačující osvětlení</w:t>
            </w:r>
          </w:p>
        </w:tc>
        <w:tc>
          <w:tcPr>
            <w:tcW w:w="4271" w:type="dxa"/>
            <w:tcBorders>
              <w:top w:val="nil"/>
              <w:left w:val="nil"/>
              <w:bottom w:val="single" w:sz="4" w:space="0" w:color="auto"/>
              <w:right w:val="single" w:sz="4" w:space="0" w:color="auto"/>
            </w:tcBorders>
            <w:shd w:val="clear" w:color="auto" w:fill="auto"/>
            <w:hideMark/>
          </w:tcPr>
          <w:p w14:paraId="1976B11F" w14:textId="77777777" w:rsidR="003361B0" w:rsidRPr="007434DA" w:rsidRDefault="003361B0" w:rsidP="004A57B3">
            <w:pPr>
              <w:rPr>
                <w:rFonts w:cstheme="minorHAnsi"/>
                <w:color w:val="000000"/>
                <w:sz w:val="18"/>
                <w:szCs w:val="18"/>
                <w:lang w:val="cs-CZ"/>
              </w:rPr>
            </w:pPr>
            <w:r w:rsidRPr="007434DA">
              <w:rPr>
                <w:rFonts w:cstheme="minorHAnsi"/>
                <w:sz w:val="18"/>
                <w:szCs w:val="18"/>
                <w:lang w:val="cs-CZ"/>
              </w:rPr>
              <w:t>1) Technicky nevyhovující osvětlení: nízká intenzita (pod 40 lx), krátká doba zapnutého osvětlení</w:t>
            </w:r>
          </w:p>
        </w:tc>
        <w:tc>
          <w:tcPr>
            <w:tcW w:w="2000" w:type="dxa"/>
            <w:tcBorders>
              <w:top w:val="nil"/>
              <w:left w:val="nil"/>
              <w:bottom w:val="single" w:sz="4" w:space="0" w:color="auto"/>
              <w:right w:val="single" w:sz="4" w:space="0" w:color="auto"/>
            </w:tcBorders>
            <w:shd w:val="clear" w:color="auto" w:fill="auto"/>
            <w:noWrap/>
            <w:hideMark/>
          </w:tcPr>
          <w:p w14:paraId="7975A895" w14:textId="77777777" w:rsidR="003361B0" w:rsidRPr="007434DA" w:rsidRDefault="003361B0" w:rsidP="004A57B3">
            <w:pPr>
              <w:rPr>
                <w:rFonts w:cstheme="minorHAnsi"/>
                <w:color w:val="000000"/>
                <w:sz w:val="18"/>
                <w:szCs w:val="18"/>
                <w:lang w:val="cs-CZ"/>
              </w:rPr>
            </w:pPr>
            <w:r w:rsidRPr="007434DA">
              <w:rPr>
                <w:rFonts w:cstheme="minorHAnsi"/>
                <w:sz w:val="18"/>
                <w:szCs w:val="18"/>
                <w:lang w:val="cs-CZ"/>
              </w:rPr>
              <w:t xml:space="preserve">1) odhad VÚŽV 75 % </w:t>
            </w:r>
            <w:r w:rsidRPr="007434DA">
              <w:rPr>
                <w:rFonts w:cs="Calibri"/>
                <w:color w:val="000000"/>
                <w:sz w:val="18"/>
                <w:szCs w:val="18"/>
                <w:lang w:val="cs-CZ"/>
              </w:rPr>
              <w:t>(podíl z celkového počtu chovů)</w:t>
            </w:r>
          </w:p>
        </w:tc>
      </w:tr>
      <w:tr w:rsidR="003361B0" w:rsidRPr="0005469C" w14:paraId="2B77D407" w14:textId="77777777" w:rsidTr="004A57B3">
        <w:trPr>
          <w:gridAfter w:val="1"/>
          <w:wAfter w:w="14" w:type="dxa"/>
          <w:trHeight w:val="274"/>
        </w:trPr>
        <w:tc>
          <w:tcPr>
            <w:tcW w:w="1074" w:type="dxa"/>
            <w:vMerge/>
            <w:tcBorders>
              <w:top w:val="nil"/>
              <w:left w:val="single" w:sz="4" w:space="0" w:color="auto"/>
              <w:bottom w:val="single" w:sz="4" w:space="0" w:color="auto"/>
              <w:right w:val="single" w:sz="4" w:space="0" w:color="auto"/>
            </w:tcBorders>
            <w:shd w:val="clear" w:color="auto" w:fill="auto"/>
            <w:vAlign w:val="center"/>
          </w:tcPr>
          <w:p w14:paraId="4606EF1D" w14:textId="77777777" w:rsidR="003361B0" w:rsidRPr="007434DA" w:rsidRDefault="003361B0" w:rsidP="004A57B3">
            <w:pPr>
              <w:jc w:val="center"/>
              <w:rPr>
                <w:rFonts w:cstheme="minorHAnsi"/>
                <w:color w:val="000000"/>
                <w:sz w:val="18"/>
                <w:szCs w:val="18"/>
                <w:lang w:val="cs-CZ"/>
              </w:rPr>
            </w:pPr>
          </w:p>
        </w:tc>
        <w:tc>
          <w:tcPr>
            <w:tcW w:w="1398" w:type="dxa"/>
            <w:vMerge/>
            <w:tcBorders>
              <w:top w:val="nil"/>
              <w:left w:val="single" w:sz="4" w:space="0" w:color="auto"/>
              <w:bottom w:val="single" w:sz="4" w:space="0" w:color="auto"/>
              <w:right w:val="single" w:sz="4" w:space="0" w:color="auto"/>
            </w:tcBorders>
            <w:shd w:val="clear" w:color="auto" w:fill="auto"/>
            <w:noWrap/>
            <w:vAlign w:val="center"/>
          </w:tcPr>
          <w:p w14:paraId="13100800" w14:textId="77777777" w:rsidR="003361B0" w:rsidRPr="007434DA" w:rsidRDefault="003361B0" w:rsidP="004A57B3">
            <w:pPr>
              <w:jc w:val="center"/>
              <w:rPr>
                <w:rFonts w:cstheme="minorHAnsi"/>
                <w:color w:val="000000"/>
                <w:sz w:val="18"/>
                <w:szCs w:val="18"/>
                <w:lang w:val="cs-CZ"/>
              </w:rPr>
            </w:pPr>
          </w:p>
        </w:tc>
        <w:tc>
          <w:tcPr>
            <w:tcW w:w="1559" w:type="dxa"/>
            <w:vMerge/>
            <w:tcBorders>
              <w:top w:val="nil"/>
              <w:left w:val="single" w:sz="4" w:space="0" w:color="auto"/>
              <w:bottom w:val="single" w:sz="4" w:space="0" w:color="auto"/>
              <w:right w:val="single" w:sz="4" w:space="0" w:color="auto"/>
            </w:tcBorders>
            <w:shd w:val="clear" w:color="auto" w:fill="auto"/>
            <w:vAlign w:val="center"/>
          </w:tcPr>
          <w:p w14:paraId="690FA105" w14:textId="77777777" w:rsidR="003361B0" w:rsidRPr="007434DA" w:rsidRDefault="003361B0" w:rsidP="004A57B3">
            <w:pPr>
              <w:jc w:val="center"/>
              <w:rPr>
                <w:rFonts w:cstheme="minorHAnsi"/>
                <w:color w:val="000000"/>
                <w:sz w:val="18"/>
                <w:szCs w:val="18"/>
                <w:lang w:val="cs-CZ"/>
              </w:rPr>
            </w:pPr>
          </w:p>
        </w:tc>
        <w:tc>
          <w:tcPr>
            <w:tcW w:w="1701" w:type="dxa"/>
            <w:vMerge/>
            <w:tcBorders>
              <w:top w:val="nil"/>
              <w:left w:val="single" w:sz="4" w:space="0" w:color="auto"/>
              <w:bottom w:val="single" w:sz="4" w:space="0" w:color="auto"/>
              <w:right w:val="single" w:sz="4" w:space="0" w:color="auto"/>
            </w:tcBorders>
            <w:shd w:val="clear" w:color="auto" w:fill="auto"/>
            <w:vAlign w:val="center"/>
          </w:tcPr>
          <w:p w14:paraId="17A11F6D" w14:textId="77777777" w:rsidR="003361B0" w:rsidRPr="007434DA" w:rsidRDefault="003361B0" w:rsidP="004A57B3">
            <w:pPr>
              <w:jc w:val="center"/>
              <w:rPr>
                <w:rFonts w:cstheme="minorHAnsi"/>
                <w:color w:val="000000"/>
                <w:sz w:val="18"/>
                <w:szCs w:val="18"/>
                <w:lang w:val="cs-CZ"/>
              </w:rPr>
            </w:pPr>
          </w:p>
        </w:tc>
        <w:tc>
          <w:tcPr>
            <w:tcW w:w="2267" w:type="dxa"/>
            <w:gridSpan w:val="2"/>
            <w:tcBorders>
              <w:top w:val="nil"/>
              <w:left w:val="nil"/>
              <w:bottom w:val="single" w:sz="4" w:space="0" w:color="auto"/>
              <w:right w:val="single" w:sz="4" w:space="0" w:color="auto"/>
            </w:tcBorders>
            <w:shd w:val="clear" w:color="auto" w:fill="auto"/>
          </w:tcPr>
          <w:p w14:paraId="1B3F4D93" w14:textId="77777777" w:rsidR="003361B0" w:rsidRPr="007434DA" w:rsidRDefault="003361B0" w:rsidP="004A57B3">
            <w:pPr>
              <w:rPr>
                <w:rFonts w:cstheme="minorHAnsi"/>
                <w:sz w:val="18"/>
                <w:szCs w:val="18"/>
                <w:lang w:val="cs-CZ"/>
              </w:rPr>
            </w:pPr>
            <w:r w:rsidRPr="007434DA">
              <w:rPr>
                <w:rFonts w:cstheme="minorHAnsi"/>
                <w:sz w:val="18"/>
                <w:szCs w:val="18"/>
                <w:lang w:val="cs-CZ"/>
              </w:rPr>
              <w:t>2) Zranění ustájených zvířat</w:t>
            </w:r>
          </w:p>
        </w:tc>
        <w:tc>
          <w:tcPr>
            <w:tcW w:w="4271" w:type="dxa"/>
            <w:tcBorders>
              <w:top w:val="nil"/>
              <w:left w:val="nil"/>
              <w:bottom w:val="single" w:sz="4" w:space="0" w:color="auto"/>
              <w:right w:val="single" w:sz="4" w:space="0" w:color="auto"/>
            </w:tcBorders>
            <w:shd w:val="clear" w:color="auto" w:fill="auto"/>
          </w:tcPr>
          <w:p w14:paraId="668FC3FC" w14:textId="77777777" w:rsidR="003361B0" w:rsidRPr="007434DA" w:rsidRDefault="003361B0" w:rsidP="004A57B3">
            <w:pPr>
              <w:rPr>
                <w:rFonts w:cstheme="minorHAnsi"/>
                <w:sz w:val="18"/>
                <w:szCs w:val="18"/>
                <w:lang w:val="cs-CZ"/>
              </w:rPr>
            </w:pPr>
            <w:r w:rsidRPr="007434DA">
              <w:rPr>
                <w:rFonts w:cstheme="minorHAnsi"/>
                <w:sz w:val="18"/>
                <w:szCs w:val="18"/>
                <w:lang w:val="cs-CZ"/>
              </w:rPr>
              <w:t xml:space="preserve">2) Poškozené zařízení stájí - ostré hrany, rošty   </w:t>
            </w:r>
          </w:p>
        </w:tc>
        <w:tc>
          <w:tcPr>
            <w:tcW w:w="2000" w:type="dxa"/>
            <w:tcBorders>
              <w:top w:val="nil"/>
              <w:left w:val="nil"/>
              <w:bottom w:val="single" w:sz="4" w:space="0" w:color="auto"/>
              <w:right w:val="single" w:sz="4" w:space="0" w:color="auto"/>
            </w:tcBorders>
            <w:shd w:val="clear" w:color="auto" w:fill="auto"/>
            <w:noWrap/>
          </w:tcPr>
          <w:p w14:paraId="345E949B" w14:textId="77777777" w:rsidR="003361B0" w:rsidRPr="007434DA" w:rsidRDefault="003361B0" w:rsidP="004A57B3">
            <w:pPr>
              <w:rPr>
                <w:rFonts w:cstheme="minorHAnsi"/>
                <w:sz w:val="18"/>
                <w:szCs w:val="18"/>
                <w:lang w:val="cs-CZ"/>
              </w:rPr>
            </w:pPr>
            <w:r w:rsidRPr="007434DA">
              <w:rPr>
                <w:rFonts w:cstheme="minorHAnsi"/>
                <w:sz w:val="18"/>
                <w:szCs w:val="18"/>
                <w:lang w:val="cs-CZ"/>
              </w:rPr>
              <w:t xml:space="preserve">2) odhad VÚŽV 60 % </w:t>
            </w:r>
            <w:r w:rsidRPr="007434DA">
              <w:rPr>
                <w:rFonts w:cs="Calibri"/>
                <w:color w:val="000000"/>
                <w:sz w:val="18"/>
                <w:szCs w:val="18"/>
                <w:lang w:val="cs-CZ"/>
              </w:rPr>
              <w:t>(podíl z celkového počtu chovů)</w:t>
            </w:r>
          </w:p>
        </w:tc>
      </w:tr>
      <w:tr w:rsidR="003361B0" w:rsidRPr="007434DA" w14:paraId="75C82ED8" w14:textId="77777777" w:rsidTr="004A57B3">
        <w:trPr>
          <w:gridAfter w:val="1"/>
          <w:wAfter w:w="14" w:type="dxa"/>
          <w:trHeight w:val="692"/>
        </w:trPr>
        <w:tc>
          <w:tcPr>
            <w:tcW w:w="1074" w:type="dxa"/>
            <w:vMerge/>
            <w:tcBorders>
              <w:top w:val="nil"/>
              <w:left w:val="single" w:sz="4" w:space="0" w:color="auto"/>
              <w:bottom w:val="single" w:sz="4" w:space="0" w:color="auto"/>
              <w:right w:val="single" w:sz="4" w:space="0" w:color="auto"/>
            </w:tcBorders>
            <w:shd w:val="clear" w:color="auto" w:fill="auto"/>
            <w:vAlign w:val="center"/>
          </w:tcPr>
          <w:p w14:paraId="2F0DE297" w14:textId="77777777" w:rsidR="003361B0" w:rsidRPr="007434DA" w:rsidRDefault="003361B0" w:rsidP="004A57B3">
            <w:pPr>
              <w:jc w:val="center"/>
              <w:rPr>
                <w:rFonts w:cstheme="minorHAnsi"/>
                <w:color w:val="000000"/>
                <w:sz w:val="18"/>
                <w:szCs w:val="18"/>
                <w:lang w:val="cs-CZ"/>
              </w:rPr>
            </w:pPr>
          </w:p>
        </w:tc>
        <w:tc>
          <w:tcPr>
            <w:tcW w:w="1398" w:type="dxa"/>
            <w:vMerge/>
            <w:tcBorders>
              <w:top w:val="nil"/>
              <w:left w:val="single" w:sz="4" w:space="0" w:color="auto"/>
              <w:bottom w:val="single" w:sz="4" w:space="0" w:color="auto"/>
              <w:right w:val="single" w:sz="4" w:space="0" w:color="auto"/>
            </w:tcBorders>
            <w:shd w:val="clear" w:color="auto" w:fill="auto"/>
            <w:noWrap/>
            <w:vAlign w:val="center"/>
          </w:tcPr>
          <w:p w14:paraId="42BA90B9" w14:textId="77777777" w:rsidR="003361B0" w:rsidRPr="007434DA" w:rsidRDefault="003361B0" w:rsidP="004A57B3">
            <w:pPr>
              <w:jc w:val="center"/>
              <w:rPr>
                <w:rFonts w:cstheme="minorHAnsi"/>
                <w:color w:val="000000"/>
                <w:sz w:val="18"/>
                <w:szCs w:val="18"/>
                <w:lang w:val="cs-CZ"/>
              </w:rPr>
            </w:pPr>
          </w:p>
        </w:tc>
        <w:tc>
          <w:tcPr>
            <w:tcW w:w="1559" w:type="dxa"/>
            <w:vMerge/>
            <w:tcBorders>
              <w:top w:val="nil"/>
              <w:left w:val="single" w:sz="4" w:space="0" w:color="auto"/>
              <w:bottom w:val="single" w:sz="4" w:space="0" w:color="auto"/>
              <w:right w:val="single" w:sz="4" w:space="0" w:color="auto"/>
            </w:tcBorders>
            <w:shd w:val="clear" w:color="auto" w:fill="auto"/>
            <w:vAlign w:val="center"/>
          </w:tcPr>
          <w:p w14:paraId="0A4EE932" w14:textId="77777777" w:rsidR="003361B0" w:rsidRPr="007434DA" w:rsidRDefault="003361B0" w:rsidP="004A57B3">
            <w:pPr>
              <w:jc w:val="center"/>
              <w:rPr>
                <w:rFonts w:cstheme="minorHAnsi"/>
                <w:color w:val="000000"/>
                <w:sz w:val="18"/>
                <w:szCs w:val="18"/>
                <w:lang w:val="cs-CZ"/>
              </w:rPr>
            </w:pPr>
          </w:p>
        </w:tc>
        <w:tc>
          <w:tcPr>
            <w:tcW w:w="1701" w:type="dxa"/>
            <w:vMerge/>
            <w:tcBorders>
              <w:top w:val="nil"/>
              <w:left w:val="single" w:sz="4" w:space="0" w:color="auto"/>
              <w:bottom w:val="single" w:sz="4" w:space="0" w:color="auto"/>
              <w:right w:val="single" w:sz="4" w:space="0" w:color="auto"/>
            </w:tcBorders>
            <w:shd w:val="clear" w:color="auto" w:fill="auto"/>
            <w:vAlign w:val="center"/>
          </w:tcPr>
          <w:p w14:paraId="1054CA6E" w14:textId="77777777" w:rsidR="003361B0" w:rsidRPr="007434DA" w:rsidRDefault="003361B0" w:rsidP="004A57B3">
            <w:pPr>
              <w:jc w:val="center"/>
              <w:rPr>
                <w:rFonts w:cstheme="minorHAnsi"/>
                <w:color w:val="000000"/>
                <w:sz w:val="18"/>
                <w:szCs w:val="18"/>
                <w:lang w:val="cs-CZ"/>
              </w:rPr>
            </w:pPr>
          </w:p>
        </w:tc>
        <w:tc>
          <w:tcPr>
            <w:tcW w:w="2267" w:type="dxa"/>
            <w:gridSpan w:val="2"/>
            <w:tcBorders>
              <w:top w:val="nil"/>
              <w:left w:val="nil"/>
              <w:bottom w:val="single" w:sz="4" w:space="0" w:color="auto"/>
              <w:right w:val="single" w:sz="4" w:space="0" w:color="auto"/>
            </w:tcBorders>
            <w:shd w:val="clear" w:color="auto" w:fill="auto"/>
          </w:tcPr>
          <w:p w14:paraId="1FE69855" w14:textId="77777777" w:rsidR="003361B0" w:rsidRPr="007434DA" w:rsidRDefault="003361B0" w:rsidP="004A57B3">
            <w:pPr>
              <w:rPr>
                <w:rFonts w:cstheme="minorHAnsi"/>
                <w:sz w:val="18"/>
                <w:szCs w:val="18"/>
                <w:lang w:val="cs-CZ"/>
              </w:rPr>
            </w:pPr>
            <w:r w:rsidRPr="007434DA">
              <w:rPr>
                <w:rFonts w:cstheme="minorHAnsi"/>
                <w:sz w:val="18"/>
                <w:szCs w:val="18"/>
                <w:lang w:val="cs-CZ"/>
              </w:rPr>
              <w:t xml:space="preserve">3) Okusování ocásků  </w:t>
            </w:r>
          </w:p>
        </w:tc>
        <w:tc>
          <w:tcPr>
            <w:tcW w:w="4271" w:type="dxa"/>
            <w:tcBorders>
              <w:top w:val="nil"/>
              <w:left w:val="nil"/>
              <w:bottom w:val="single" w:sz="4" w:space="0" w:color="auto"/>
              <w:right w:val="single" w:sz="4" w:space="0" w:color="auto"/>
            </w:tcBorders>
            <w:shd w:val="clear" w:color="auto" w:fill="auto"/>
          </w:tcPr>
          <w:p w14:paraId="6C6EBB75" w14:textId="77777777" w:rsidR="003361B0" w:rsidRPr="007434DA" w:rsidRDefault="003361B0" w:rsidP="004A57B3">
            <w:pPr>
              <w:rPr>
                <w:rFonts w:cstheme="minorHAnsi"/>
                <w:sz w:val="18"/>
                <w:szCs w:val="18"/>
                <w:lang w:val="cs-CZ"/>
              </w:rPr>
            </w:pPr>
            <w:r w:rsidRPr="007434DA">
              <w:rPr>
                <w:rFonts w:cstheme="minorHAnsi"/>
                <w:sz w:val="18"/>
                <w:szCs w:val="18"/>
                <w:lang w:val="cs-CZ"/>
              </w:rPr>
              <w:t>3) Nedostatek materiálu k manipulaci prasaty, nedostatek kontroly k včasnému zachycení problému, nedostatek prostoru, vliv krmení a managementu, Nevhodné a neobohacené prostředí, hluk, nedostatečná ventilace</w:t>
            </w:r>
          </w:p>
        </w:tc>
        <w:tc>
          <w:tcPr>
            <w:tcW w:w="2000" w:type="dxa"/>
            <w:tcBorders>
              <w:top w:val="nil"/>
              <w:left w:val="nil"/>
              <w:bottom w:val="single" w:sz="4" w:space="0" w:color="auto"/>
              <w:right w:val="single" w:sz="4" w:space="0" w:color="auto"/>
            </w:tcBorders>
            <w:shd w:val="clear" w:color="auto" w:fill="auto"/>
            <w:noWrap/>
          </w:tcPr>
          <w:p w14:paraId="6F1A7BC0" w14:textId="77777777" w:rsidR="003361B0" w:rsidRPr="007434DA" w:rsidRDefault="003361B0" w:rsidP="004A57B3">
            <w:pPr>
              <w:rPr>
                <w:rFonts w:cstheme="minorHAnsi"/>
                <w:sz w:val="18"/>
                <w:szCs w:val="18"/>
                <w:lang w:val="cs-CZ"/>
              </w:rPr>
            </w:pPr>
            <w:r w:rsidRPr="007434DA">
              <w:rPr>
                <w:rFonts w:cstheme="minorHAnsi"/>
                <w:sz w:val="18"/>
                <w:szCs w:val="18"/>
                <w:lang w:val="cs-CZ"/>
              </w:rPr>
              <w:t>3) odhad VÚVeL 30 %</w:t>
            </w:r>
          </w:p>
          <w:p w14:paraId="660A6584" w14:textId="77777777" w:rsidR="003361B0" w:rsidRPr="007434DA" w:rsidRDefault="003361B0" w:rsidP="004A57B3">
            <w:pPr>
              <w:rPr>
                <w:rFonts w:cstheme="minorHAnsi"/>
                <w:sz w:val="18"/>
                <w:szCs w:val="18"/>
                <w:lang w:val="cs-CZ"/>
              </w:rPr>
            </w:pPr>
          </w:p>
          <w:p w14:paraId="37E56108" w14:textId="77777777" w:rsidR="003361B0" w:rsidRPr="007434DA" w:rsidRDefault="003361B0" w:rsidP="004A57B3">
            <w:pPr>
              <w:rPr>
                <w:rFonts w:cstheme="minorHAnsi"/>
                <w:sz w:val="18"/>
                <w:szCs w:val="18"/>
                <w:lang w:val="cs-CZ"/>
              </w:rPr>
            </w:pPr>
          </w:p>
        </w:tc>
      </w:tr>
      <w:tr w:rsidR="003361B0" w:rsidRPr="007434DA" w14:paraId="16290865" w14:textId="77777777" w:rsidTr="004A57B3">
        <w:trPr>
          <w:gridAfter w:val="1"/>
          <w:wAfter w:w="14" w:type="dxa"/>
          <w:trHeight w:val="415"/>
        </w:trPr>
        <w:tc>
          <w:tcPr>
            <w:tcW w:w="1074" w:type="dxa"/>
            <w:vMerge/>
            <w:tcBorders>
              <w:top w:val="nil"/>
              <w:left w:val="single" w:sz="4" w:space="0" w:color="auto"/>
              <w:bottom w:val="single" w:sz="4" w:space="0" w:color="auto"/>
              <w:right w:val="single" w:sz="4" w:space="0" w:color="auto"/>
            </w:tcBorders>
            <w:vAlign w:val="center"/>
            <w:hideMark/>
          </w:tcPr>
          <w:p w14:paraId="1BBA047D" w14:textId="77777777" w:rsidR="003361B0" w:rsidRPr="007434DA" w:rsidRDefault="003361B0" w:rsidP="004A57B3">
            <w:pPr>
              <w:rPr>
                <w:rFonts w:cstheme="minorHAnsi"/>
                <w:color w:val="000000"/>
                <w:sz w:val="18"/>
                <w:szCs w:val="18"/>
                <w:lang w:val="cs-CZ"/>
              </w:rPr>
            </w:pPr>
          </w:p>
        </w:tc>
        <w:tc>
          <w:tcPr>
            <w:tcW w:w="1398" w:type="dxa"/>
            <w:vMerge/>
            <w:tcBorders>
              <w:top w:val="nil"/>
              <w:left w:val="single" w:sz="4" w:space="0" w:color="auto"/>
              <w:bottom w:val="single" w:sz="4" w:space="0" w:color="auto"/>
              <w:right w:val="single" w:sz="4" w:space="0" w:color="auto"/>
            </w:tcBorders>
            <w:vAlign w:val="center"/>
            <w:hideMark/>
          </w:tcPr>
          <w:p w14:paraId="4A4AF82A" w14:textId="77777777" w:rsidR="003361B0" w:rsidRPr="007434DA" w:rsidRDefault="003361B0" w:rsidP="004A57B3">
            <w:pPr>
              <w:rPr>
                <w:rFonts w:cstheme="minorHAnsi"/>
                <w:color w:val="000000"/>
                <w:sz w:val="18"/>
                <w:szCs w:val="18"/>
                <w:lang w:val="cs-CZ"/>
              </w:rPr>
            </w:pPr>
          </w:p>
        </w:tc>
        <w:tc>
          <w:tcPr>
            <w:tcW w:w="1559" w:type="dxa"/>
            <w:vMerge/>
            <w:tcBorders>
              <w:top w:val="nil"/>
              <w:left w:val="single" w:sz="4" w:space="0" w:color="auto"/>
              <w:bottom w:val="single" w:sz="4" w:space="0" w:color="auto"/>
              <w:right w:val="single" w:sz="4" w:space="0" w:color="auto"/>
            </w:tcBorders>
            <w:vAlign w:val="center"/>
            <w:hideMark/>
          </w:tcPr>
          <w:p w14:paraId="391F4B69" w14:textId="77777777" w:rsidR="003361B0" w:rsidRPr="007434DA" w:rsidRDefault="003361B0" w:rsidP="004A57B3">
            <w:pPr>
              <w:rPr>
                <w:rFonts w:cstheme="minorHAnsi"/>
                <w:color w:val="000000"/>
                <w:sz w:val="18"/>
                <w:szCs w:val="18"/>
                <w:lang w:val="cs-CZ"/>
              </w:rPr>
            </w:pPr>
          </w:p>
        </w:tc>
        <w:tc>
          <w:tcPr>
            <w:tcW w:w="1701" w:type="dxa"/>
            <w:vMerge/>
            <w:tcBorders>
              <w:top w:val="nil"/>
              <w:left w:val="single" w:sz="4" w:space="0" w:color="auto"/>
              <w:bottom w:val="single" w:sz="4" w:space="0" w:color="auto"/>
              <w:right w:val="single" w:sz="4" w:space="0" w:color="auto"/>
            </w:tcBorders>
            <w:vAlign w:val="center"/>
            <w:hideMark/>
          </w:tcPr>
          <w:p w14:paraId="009CC10F" w14:textId="77777777" w:rsidR="003361B0" w:rsidRPr="007434DA" w:rsidRDefault="003361B0" w:rsidP="004A57B3">
            <w:pPr>
              <w:rPr>
                <w:rFonts w:cstheme="minorHAnsi"/>
                <w:color w:val="000000"/>
                <w:sz w:val="18"/>
                <w:szCs w:val="18"/>
                <w:lang w:val="cs-CZ"/>
              </w:rPr>
            </w:pPr>
          </w:p>
        </w:tc>
        <w:tc>
          <w:tcPr>
            <w:tcW w:w="2267" w:type="dxa"/>
            <w:gridSpan w:val="2"/>
            <w:tcBorders>
              <w:top w:val="nil"/>
              <w:left w:val="nil"/>
              <w:bottom w:val="single" w:sz="4" w:space="0" w:color="auto"/>
              <w:right w:val="single" w:sz="4" w:space="0" w:color="auto"/>
            </w:tcBorders>
            <w:shd w:val="clear" w:color="auto" w:fill="auto"/>
            <w:hideMark/>
          </w:tcPr>
          <w:p w14:paraId="18A6FB9F" w14:textId="77777777" w:rsidR="003361B0" w:rsidRPr="007434DA" w:rsidRDefault="003361B0" w:rsidP="004A57B3">
            <w:pPr>
              <w:rPr>
                <w:rFonts w:cstheme="minorHAnsi"/>
                <w:color w:val="000000"/>
                <w:sz w:val="18"/>
                <w:szCs w:val="18"/>
                <w:lang w:val="cs-CZ"/>
              </w:rPr>
            </w:pPr>
            <w:r w:rsidRPr="007434DA">
              <w:rPr>
                <w:rFonts w:cstheme="minorHAnsi"/>
                <w:sz w:val="18"/>
                <w:szCs w:val="18"/>
                <w:lang w:val="cs-CZ"/>
              </w:rPr>
              <w:t>4</w:t>
            </w:r>
            <w:r w:rsidRPr="007434DA">
              <w:rPr>
                <w:rFonts w:cstheme="minorHAnsi"/>
                <w:lang w:val="cs-CZ"/>
              </w:rPr>
              <w:t xml:space="preserve">) </w:t>
            </w:r>
            <w:r w:rsidRPr="007434DA">
              <w:rPr>
                <w:rFonts w:cstheme="minorHAnsi"/>
                <w:sz w:val="18"/>
                <w:szCs w:val="18"/>
                <w:lang w:val="cs-CZ"/>
              </w:rPr>
              <w:t xml:space="preserve">Agresivní chování,  poranění zvířat              </w:t>
            </w:r>
          </w:p>
        </w:tc>
        <w:tc>
          <w:tcPr>
            <w:tcW w:w="4271" w:type="dxa"/>
            <w:tcBorders>
              <w:top w:val="nil"/>
              <w:left w:val="nil"/>
              <w:bottom w:val="single" w:sz="4" w:space="0" w:color="auto"/>
              <w:right w:val="single" w:sz="4" w:space="0" w:color="auto"/>
            </w:tcBorders>
            <w:shd w:val="clear" w:color="auto" w:fill="auto"/>
            <w:hideMark/>
          </w:tcPr>
          <w:p w14:paraId="590FCBD1" w14:textId="77777777" w:rsidR="003361B0" w:rsidRPr="007434DA" w:rsidRDefault="003361B0" w:rsidP="004A57B3">
            <w:pPr>
              <w:rPr>
                <w:rFonts w:cstheme="minorHAnsi"/>
                <w:color w:val="000000"/>
                <w:sz w:val="18"/>
                <w:szCs w:val="18"/>
                <w:lang w:val="cs-CZ"/>
              </w:rPr>
            </w:pPr>
            <w:r w:rsidRPr="007434DA">
              <w:rPr>
                <w:rFonts w:cstheme="minorHAnsi"/>
                <w:sz w:val="18"/>
                <w:szCs w:val="18"/>
                <w:lang w:val="cs-CZ"/>
              </w:rPr>
              <w:t>4)</w:t>
            </w:r>
            <w:r w:rsidRPr="007434DA">
              <w:rPr>
                <w:rFonts w:cstheme="minorHAnsi"/>
                <w:lang w:val="cs-CZ"/>
              </w:rPr>
              <w:t xml:space="preserve"> </w:t>
            </w:r>
            <w:r w:rsidRPr="007434DA">
              <w:rPr>
                <w:rFonts w:cstheme="minorHAnsi"/>
                <w:sz w:val="18"/>
                <w:szCs w:val="18"/>
                <w:lang w:val="cs-CZ"/>
              </w:rPr>
              <w:t>Změny ve složení skupin; Nedostatečný prostor, nemožnost přirozeného chování (rytí) - nedostatek materiálu, slámy a objemného krmiva, zamoření prostředí ektoparazity</w:t>
            </w:r>
          </w:p>
        </w:tc>
        <w:tc>
          <w:tcPr>
            <w:tcW w:w="2000" w:type="dxa"/>
            <w:tcBorders>
              <w:top w:val="nil"/>
              <w:left w:val="nil"/>
              <w:bottom w:val="single" w:sz="4" w:space="0" w:color="auto"/>
              <w:right w:val="single" w:sz="4" w:space="0" w:color="auto"/>
            </w:tcBorders>
            <w:shd w:val="clear" w:color="auto" w:fill="auto"/>
            <w:noWrap/>
            <w:hideMark/>
          </w:tcPr>
          <w:p w14:paraId="4E0AFA16" w14:textId="77777777" w:rsidR="003361B0" w:rsidRPr="007434DA" w:rsidRDefault="003361B0" w:rsidP="004A57B3">
            <w:pPr>
              <w:rPr>
                <w:rFonts w:cstheme="minorHAnsi"/>
                <w:color w:val="000000"/>
                <w:sz w:val="18"/>
                <w:szCs w:val="18"/>
                <w:lang w:val="cs-CZ"/>
              </w:rPr>
            </w:pPr>
            <w:r w:rsidRPr="007434DA">
              <w:rPr>
                <w:rFonts w:cstheme="minorHAnsi"/>
                <w:sz w:val="18"/>
                <w:szCs w:val="18"/>
                <w:lang w:val="cs-CZ"/>
              </w:rPr>
              <w:t>4) odhad VÚVeL 30 %</w:t>
            </w:r>
          </w:p>
        </w:tc>
      </w:tr>
      <w:tr w:rsidR="003361B0" w:rsidRPr="007434DA" w14:paraId="6B2F7A71" w14:textId="77777777" w:rsidTr="004A57B3">
        <w:trPr>
          <w:gridAfter w:val="1"/>
          <w:wAfter w:w="14" w:type="dxa"/>
          <w:trHeight w:val="392"/>
        </w:trPr>
        <w:tc>
          <w:tcPr>
            <w:tcW w:w="1074" w:type="dxa"/>
            <w:vMerge/>
            <w:tcBorders>
              <w:top w:val="nil"/>
              <w:left w:val="single" w:sz="4" w:space="0" w:color="auto"/>
              <w:bottom w:val="single" w:sz="4" w:space="0" w:color="auto"/>
              <w:right w:val="single" w:sz="4" w:space="0" w:color="auto"/>
            </w:tcBorders>
            <w:vAlign w:val="center"/>
            <w:hideMark/>
          </w:tcPr>
          <w:p w14:paraId="3F33BB78" w14:textId="77777777" w:rsidR="003361B0" w:rsidRPr="007434DA" w:rsidRDefault="003361B0" w:rsidP="004A57B3">
            <w:pPr>
              <w:rPr>
                <w:rFonts w:cs="Calibri"/>
                <w:color w:val="000000"/>
                <w:sz w:val="18"/>
                <w:szCs w:val="18"/>
                <w:lang w:val="cs-CZ"/>
              </w:rPr>
            </w:pPr>
          </w:p>
        </w:tc>
        <w:tc>
          <w:tcPr>
            <w:tcW w:w="1398" w:type="dxa"/>
            <w:vMerge/>
            <w:tcBorders>
              <w:top w:val="nil"/>
              <w:left w:val="single" w:sz="4" w:space="0" w:color="auto"/>
              <w:bottom w:val="single" w:sz="4" w:space="0" w:color="auto"/>
              <w:right w:val="single" w:sz="4" w:space="0" w:color="auto"/>
            </w:tcBorders>
            <w:vAlign w:val="center"/>
            <w:hideMark/>
          </w:tcPr>
          <w:p w14:paraId="3EABCDF3" w14:textId="77777777" w:rsidR="003361B0" w:rsidRPr="007434DA" w:rsidRDefault="003361B0" w:rsidP="004A57B3">
            <w:pPr>
              <w:rPr>
                <w:rFonts w:cs="Calibri"/>
                <w:color w:val="000000"/>
                <w:sz w:val="18"/>
                <w:szCs w:val="18"/>
                <w:lang w:val="cs-CZ"/>
              </w:rPr>
            </w:pPr>
          </w:p>
        </w:tc>
        <w:tc>
          <w:tcPr>
            <w:tcW w:w="1559" w:type="dxa"/>
            <w:vMerge/>
            <w:tcBorders>
              <w:top w:val="nil"/>
              <w:left w:val="single" w:sz="4" w:space="0" w:color="auto"/>
              <w:bottom w:val="single" w:sz="4" w:space="0" w:color="auto"/>
              <w:right w:val="single" w:sz="4" w:space="0" w:color="auto"/>
            </w:tcBorders>
            <w:vAlign w:val="center"/>
            <w:hideMark/>
          </w:tcPr>
          <w:p w14:paraId="6008B792" w14:textId="77777777" w:rsidR="003361B0" w:rsidRPr="007434DA" w:rsidRDefault="003361B0" w:rsidP="004A57B3">
            <w:pPr>
              <w:rPr>
                <w:rFonts w:cs="Calibri"/>
                <w:color w:val="000000"/>
                <w:sz w:val="18"/>
                <w:szCs w:val="18"/>
                <w:lang w:val="cs-CZ"/>
              </w:rPr>
            </w:pPr>
          </w:p>
        </w:tc>
        <w:tc>
          <w:tcPr>
            <w:tcW w:w="1701" w:type="dxa"/>
            <w:vMerge/>
            <w:tcBorders>
              <w:top w:val="nil"/>
              <w:left w:val="single" w:sz="4" w:space="0" w:color="auto"/>
              <w:bottom w:val="single" w:sz="4" w:space="0" w:color="auto"/>
              <w:right w:val="single" w:sz="4" w:space="0" w:color="auto"/>
            </w:tcBorders>
            <w:vAlign w:val="center"/>
            <w:hideMark/>
          </w:tcPr>
          <w:p w14:paraId="49774324" w14:textId="77777777" w:rsidR="003361B0" w:rsidRPr="007434DA" w:rsidRDefault="003361B0" w:rsidP="004A57B3">
            <w:pPr>
              <w:rPr>
                <w:rFonts w:cs="Calibri"/>
                <w:color w:val="000000"/>
                <w:sz w:val="18"/>
                <w:szCs w:val="18"/>
                <w:lang w:val="cs-CZ"/>
              </w:rPr>
            </w:pPr>
          </w:p>
        </w:tc>
        <w:tc>
          <w:tcPr>
            <w:tcW w:w="2267" w:type="dxa"/>
            <w:gridSpan w:val="2"/>
            <w:tcBorders>
              <w:top w:val="nil"/>
              <w:left w:val="nil"/>
              <w:bottom w:val="single" w:sz="4" w:space="0" w:color="auto"/>
              <w:right w:val="single" w:sz="4" w:space="0" w:color="auto"/>
            </w:tcBorders>
            <w:shd w:val="clear" w:color="auto" w:fill="auto"/>
            <w:hideMark/>
          </w:tcPr>
          <w:p w14:paraId="7F579384" w14:textId="77777777" w:rsidR="003361B0" w:rsidRPr="007434DA" w:rsidRDefault="003361B0" w:rsidP="004A57B3">
            <w:pPr>
              <w:rPr>
                <w:rFonts w:cs="Calibri"/>
                <w:color w:val="000000"/>
                <w:sz w:val="18"/>
                <w:szCs w:val="18"/>
                <w:lang w:val="cs-CZ"/>
              </w:rPr>
            </w:pPr>
            <w:r w:rsidRPr="007434DA">
              <w:rPr>
                <w:sz w:val="18"/>
                <w:szCs w:val="18"/>
                <w:lang w:val="cs-CZ"/>
              </w:rPr>
              <w:t>5) Plicní onemocnění</w:t>
            </w:r>
          </w:p>
        </w:tc>
        <w:tc>
          <w:tcPr>
            <w:tcW w:w="4271" w:type="dxa"/>
            <w:tcBorders>
              <w:top w:val="nil"/>
              <w:left w:val="nil"/>
              <w:bottom w:val="single" w:sz="4" w:space="0" w:color="auto"/>
              <w:right w:val="single" w:sz="4" w:space="0" w:color="auto"/>
            </w:tcBorders>
            <w:shd w:val="clear" w:color="auto" w:fill="auto"/>
            <w:hideMark/>
          </w:tcPr>
          <w:p w14:paraId="5DC32E2E" w14:textId="77777777" w:rsidR="003361B0" w:rsidRPr="007434DA" w:rsidRDefault="003361B0" w:rsidP="004A57B3">
            <w:pPr>
              <w:rPr>
                <w:rFonts w:cs="Calibri"/>
                <w:color w:val="000000"/>
                <w:sz w:val="18"/>
                <w:szCs w:val="18"/>
                <w:lang w:val="cs-CZ"/>
              </w:rPr>
            </w:pPr>
            <w:r w:rsidRPr="007434DA">
              <w:rPr>
                <w:sz w:val="18"/>
                <w:szCs w:val="18"/>
                <w:lang w:val="cs-CZ"/>
              </w:rPr>
              <w:t>5) Nízká zoohygiena, čistota prostředí a napáječek, nedostatek vzduchu, stájové plyny</w:t>
            </w:r>
          </w:p>
        </w:tc>
        <w:tc>
          <w:tcPr>
            <w:tcW w:w="2000" w:type="dxa"/>
            <w:tcBorders>
              <w:top w:val="nil"/>
              <w:left w:val="nil"/>
              <w:bottom w:val="single" w:sz="4" w:space="0" w:color="auto"/>
              <w:right w:val="single" w:sz="4" w:space="0" w:color="auto"/>
            </w:tcBorders>
            <w:shd w:val="clear" w:color="auto" w:fill="auto"/>
            <w:noWrap/>
            <w:hideMark/>
          </w:tcPr>
          <w:p w14:paraId="23CF8509" w14:textId="77777777" w:rsidR="003361B0" w:rsidRPr="007434DA" w:rsidRDefault="003361B0" w:rsidP="004A57B3">
            <w:pPr>
              <w:rPr>
                <w:rFonts w:cs="Calibri"/>
                <w:color w:val="000000"/>
                <w:sz w:val="18"/>
                <w:szCs w:val="18"/>
                <w:lang w:val="cs-CZ"/>
              </w:rPr>
            </w:pPr>
            <w:r w:rsidRPr="007434DA">
              <w:rPr>
                <w:sz w:val="18"/>
                <w:szCs w:val="18"/>
                <w:lang w:val="cs-CZ"/>
              </w:rPr>
              <w:t>5) odhad VÚVeL 20 %</w:t>
            </w:r>
          </w:p>
        </w:tc>
      </w:tr>
      <w:tr w:rsidR="003361B0" w:rsidRPr="007434DA" w14:paraId="62D7E97E" w14:textId="77777777" w:rsidTr="004A57B3">
        <w:trPr>
          <w:trHeight w:val="565"/>
        </w:trPr>
        <w:tc>
          <w:tcPr>
            <w:tcW w:w="1074" w:type="dxa"/>
            <w:vMerge w:val="restart"/>
            <w:tcBorders>
              <w:top w:val="nil"/>
              <w:left w:val="single" w:sz="4" w:space="0" w:color="auto"/>
              <w:bottom w:val="single" w:sz="4" w:space="0" w:color="auto"/>
              <w:right w:val="single" w:sz="4" w:space="0" w:color="auto"/>
            </w:tcBorders>
            <w:shd w:val="clear" w:color="auto" w:fill="auto"/>
            <w:vAlign w:val="center"/>
            <w:hideMark/>
          </w:tcPr>
          <w:p w14:paraId="17792888" w14:textId="77777777" w:rsidR="003361B0" w:rsidRPr="007434DA" w:rsidRDefault="003361B0" w:rsidP="004A57B3">
            <w:pPr>
              <w:jc w:val="center"/>
              <w:rPr>
                <w:b/>
                <w:color w:val="000000"/>
                <w:sz w:val="18"/>
                <w:szCs w:val="18"/>
                <w:lang w:val="cs-CZ"/>
              </w:rPr>
            </w:pPr>
          </w:p>
          <w:p w14:paraId="1E14970A" w14:textId="77777777" w:rsidR="003361B0" w:rsidRPr="007434DA" w:rsidRDefault="003361B0" w:rsidP="004A57B3">
            <w:pPr>
              <w:jc w:val="center"/>
              <w:rPr>
                <w:b/>
                <w:color w:val="000000"/>
                <w:sz w:val="18"/>
                <w:szCs w:val="18"/>
                <w:lang w:val="cs-CZ"/>
              </w:rPr>
            </w:pPr>
          </w:p>
          <w:p w14:paraId="16F325DD" w14:textId="77777777" w:rsidR="003361B0" w:rsidRPr="007434DA" w:rsidRDefault="003361B0" w:rsidP="004A57B3">
            <w:pPr>
              <w:jc w:val="center"/>
              <w:rPr>
                <w:b/>
                <w:color w:val="000000"/>
                <w:sz w:val="18"/>
                <w:szCs w:val="18"/>
                <w:lang w:val="cs-CZ"/>
              </w:rPr>
            </w:pPr>
          </w:p>
          <w:p w14:paraId="090050DA" w14:textId="77777777" w:rsidR="003361B0" w:rsidRPr="007434DA" w:rsidRDefault="003361B0" w:rsidP="004A57B3">
            <w:pPr>
              <w:jc w:val="center"/>
              <w:rPr>
                <w:rFonts w:cs="Calibri"/>
                <w:b/>
                <w:color w:val="000000"/>
                <w:sz w:val="18"/>
                <w:szCs w:val="18"/>
                <w:lang w:val="cs-CZ"/>
              </w:rPr>
            </w:pPr>
            <w:r w:rsidRPr="007434DA">
              <w:rPr>
                <w:b/>
                <w:color w:val="000000"/>
                <w:sz w:val="18"/>
                <w:szCs w:val="18"/>
                <w:lang w:val="cs-CZ"/>
              </w:rPr>
              <w:t>Prasničky</w:t>
            </w:r>
          </w:p>
        </w:tc>
        <w:tc>
          <w:tcPr>
            <w:tcW w:w="139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C2A6C32" w14:textId="77777777" w:rsidR="003361B0" w:rsidRPr="007434DA" w:rsidRDefault="003361B0" w:rsidP="004A57B3">
            <w:pPr>
              <w:jc w:val="center"/>
              <w:rPr>
                <w:color w:val="000000"/>
                <w:sz w:val="18"/>
                <w:szCs w:val="18"/>
                <w:lang w:val="cs-CZ"/>
              </w:rPr>
            </w:pPr>
          </w:p>
          <w:p w14:paraId="3285B26D" w14:textId="77777777" w:rsidR="003361B0" w:rsidRPr="007434DA" w:rsidRDefault="003361B0" w:rsidP="004A57B3">
            <w:pPr>
              <w:jc w:val="center"/>
              <w:rPr>
                <w:color w:val="000000"/>
                <w:sz w:val="18"/>
                <w:szCs w:val="18"/>
                <w:lang w:val="cs-CZ"/>
              </w:rPr>
            </w:pPr>
          </w:p>
          <w:p w14:paraId="4E1AC79A" w14:textId="77777777" w:rsidR="003361B0" w:rsidRPr="007434DA" w:rsidRDefault="003361B0" w:rsidP="004A57B3">
            <w:pPr>
              <w:jc w:val="center"/>
              <w:rPr>
                <w:color w:val="000000"/>
                <w:sz w:val="18"/>
                <w:szCs w:val="18"/>
                <w:lang w:val="cs-CZ"/>
              </w:rPr>
            </w:pPr>
          </w:p>
          <w:p w14:paraId="74684E23" w14:textId="77777777" w:rsidR="003361B0" w:rsidRPr="007434DA" w:rsidRDefault="003361B0" w:rsidP="004A57B3">
            <w:pPr>
              <w:jc w:val="center"/>
              <w:rPr>
                <w:color w:val="000000"/>
                <w:sz w:val="18"/>
                <w:szCs w:val="18"/>
                <w:lang w:val="cs-CZ"/>
              </w:rPr>
            </w:pPr>
          </w:p>
          <w:p w14:paraId="608A83D5" w14:textId="77777777" w:rsidR="003361B0" w:rsidRPr="007434DA" w:rsidRDefault="003361B0" w:rsidP="004A57B3">
            <w:pPr>
              <w:jc w:val="center"/>
              <w:rPr>
                <w:rFonts w:cs="Calibri"/>
                <w:color w:val="000000"/>
                <w:sz w:val="18"/>
                <w:szCs w:val="18"/>
                <w:lang w:val="cs-CZ"/>
              </w:rPr>
            </w:pPr>
            <w:r w:rsidRPr="007434DA">
              <w:rPr>
                <w:color w:val="000000"/>
                <w:sz w:val="18"/>
                <w:szCs w:val="18"/>
                <w:lang w:val="cs-CZ"/>
              </w:rPr>
              <w:t>Stav 2017: 23,2 tis. ks</w:t>
            </w:r>
          </w:p>
        </w:tc>
        <w:tc>
          <w:tcPr>
            <w:tcW w:w="155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CF06A9B" w14:textId="77777777" w:rsidR="003361B0" w:rsidRPr="007434DA" w:rsidRDefault="003361B0" w:rsidP="004A57B3">
            <w:pPr>
              <w:jc w:val="center"/>
              <w:rPr>
                <w:color w:val="000000"/>
                <w:sz w:val="18"/>
                <w:szCs w:val="18"/>
                <w:lang w:val="cs-CZ"/>
              </w:rPr>
            </w:pPr>
          </w:p>
          <w:p w14:paraId="6E36892F" w14:textId="77777777" w:rsidR="003361B0" w:rsidRPr="007434DA" w:rsidRDefault="003361B0" w:rsidP="004A57B3">
            <w:pPr>
              <w:jc w:val="center"/>
              <w:rPr>
                <w:color w:val="000000"/>
                <w:sz w:val="18"/>
                <w:szCs w:val="18"/>
                <w:lang w:val="cs-CZ"/>
              </w:rPr>
            </w:pPr>
          </w:p>
          <w:p w14:paraId="3D39B7DA" w14:textId="77777777" w:rsidR="003361B0" w:rsidRPr="007434DA" w:rsidRDefault="003361B0" w:rsidP="004A57B3">
            <w:pPr>
              <w:jc w:val="center"/>
              <w:rPr>
                <w:color w:val="000000"/>
                <w:sz w:val="18"/>
                <w:szCs w:val="18"/>
                <w:lang w:val="cs-CZ"/>
              </w:rPr>
            </w:pPr>
          </w:p>
          <w:p w14:paraId="6A4EEFB3" w14:textId="77777777" w:rsidR="003361B0" w:rsidRPr="007434DA" w:rsidRDefault="003361B0" w:rsidP="004A57B3">
            <w:pPr>
              <w:jc w:val="center"/>
              <w:rPr>
                <w:rFonts w:cs="Calibri"/>
                <w:color w:val="000000"/>
                <w:sz w:val="18"/>
                <w:szCs w:val="18"/>
                <w:lang w:val="cs-CZ"/>
              </w:rPr>
            </w:pPr>
            <w:r w:rsidRPr="007434DA">
              <w:rPr>
                <w:color w:val="000000"/>
                <w:sz w:val="18"/>
                <w:szCs w:val="18"/>
                <w:lang w:val="cs-CZ"/>
              </w:rPr>
              <w:t>Odchov prasniček</w:t>
            </w:r>
          </w:p>
        </w:tc>
        <w:tc>
          <w:tcPr>
            <w:tcW w:w="1701" w:type="dxa"/>
            <w:vMerge w:val="restart"/>
            <w:tcBorders>
              <w:top w:val="nil"/>
              <w:left w:val="single" w:sz="4" w:space="0" w:color="auto"/>
              <w:bottom w:val="single" w:sz="4" w:space="0" w:color="auto"/>
              <w:right w:val="single" w:sz="4" w:space="0" w:color="auto"/>
            </w:tcBorders>
            <w:shd w:val="clear" w:color="auto" w:fill="auto"/>
            <w:vAlign w:val="center"/>
            <w:hideMark/>
          </w:tcPr>
          <w:p w14:paraId="714E8722" w14:textId="77777777" w:rsidR="003361B0" w:rsidRPr="007434DA" w:rsidRDefault="003361B0" w:rsidP="004A57B3">
            <w:pPr>
              <w:jc w:val="center"/>
              <w:rPr>
                <w:rFonts w:cs="Calibri"/>
                <w:color w:val="000000"/>
                <w:sz w:val="18"/>
                <w:szCs w:val="18"/>
                <w:lang w:val="cs-CZ"/>
              </w:rPr>
            </w:pPr>
          </w:p>
        </w:tc>
        <w:tc>
          <w:tcPr>
            <w:tcW w:w="2267" w:type="dxa"/>
            <w:gridSpan w:val="2"/>
            <w:tcBorders>
              <w:top w:val="nil"/>
              <w:left w:val="nil"/>
              <w:bottom w:val="single" w:sz="4" w:space="0" w:color="auto"/>
              <w:right w:val="single" w:sz="4" w:space="0" w:color="auto"/>
            </w:tcBorders>
            <w:shd w:val="clear" w:color="auto" w:fill="auto"/>
            <w:hideMark/>
          </w:tcPr>
          <w:p w14:paraId="6CA30CC6" w14:textId="77777777" w:rsidR="003361B0" w:rsidRPr="007434DA" w:rsidRDefault="003361B0" w:rsidP="004A57B3">
            <w:pPr>
              <w:rPr>
                <w:rFonts w:cs="Calibri"/>
                <w:color w:val="000000"/>
                <w:sz w:val="18"/>
                <w:szCs w:val="18"/>
                <w:lang w:val="cs-CZ"/>
              </w:rPr>
            </w:pPr>
            <w:r w:rsidRPr="007434DA">
              <w:rPr>
                <w:color w:val="000000"/>
                <w:sz w:val="18"/>
                <w:szCs w:val="18"/>
                <w:lang w:val="cs-CZ"/>
              </w:rPr>
              <w:t>1)</w:t>
            </w:r>
            <w:r w:rsidRPr="007434DA">
              <w:rPr>
                <w:lang w:val="cs-CZ"/>
              </w:rPr>
              <w:t xml:space="preserve"> </w:t>
            </w:r>
            <w:r w:rsidRPr="007434DA">
              <w:rPr>
                <w:color w:val="000000"/>
                <w:sz w:val="18"/>
                <w:szCs w:val="18"/>
                <w:lang w:val="cs-CZ"/>
              </w:rPr>
              <w:t>Nedostačující osvětlení</w:t>
            </w:r>
          </w:p>
        </w:tc>
        <w:tc>
          <w:tcPr>
            <w:tcW w:w="4271" w:type="dxa"/>
            <w:tcBorders>
              <w:top w:val="nil"/>
              <w:left w:val="nil"/>
              <w:bottom w:val="single" w:sz="4" w:space="0" w:color="auto"/>
              <w:right w:val="single" w:sz="4" w:space="0" w:color="auto"/>
            </w:tcBorders>
            <w:shd w:val="clear" w:color="auto" w:fill="auto"/>
            <w:hideMark/>
          </w:tcPr>
          <w:p w14:paraId="462DF7A6" w14:textId="77777777" w:rsidR="003361B0" w:rsidRPr="007434DA" w:rsidRDefault="003361B0" w:rsidP="004A57B3">
            <w:pPr>
              <w:rPr>
                <w:rFonts w:cs="Calibri"/>
                <w:color w:val="000000"/>
                <w:sz w:val="18"/>
                <w:szCs w:val="18"/>
                <w:lang w:val="cs-CZ"/>
              </w:rPr>
            </w:pPr>
            <w:r w:rsidRPr="007434DA">
              <w:rPr>
                <w:color w:val="000000"/>
                <w:sz w:val="18"/>
                <w:szCs w:val="18"/>
                <w:lang w:val="cs-CZ"/>
              </w:rPr>
              <w:t>1) Technicky nevyhovující osvětlení nízká intenzita starých zářivek a výbojek a technický stav - (blikající zářivky)</w:t>
            </w:r>
          </w:p>
        </w:tc>
        <w:tc>
          <w:tcPr>
            <w:tcW w:w="2014" w:type="dxa"/>
            <w:gridSpan w:val="2"/>
            <w:tcBorders>
              <w:top w:val="nil"/>
              <w:left w:val="nil"/>
              <w:bottom w:val="single" w:sz="4" w:space="0" w:color="auto"/>
              <w:right w:val="single" w:sz="4" w:space="0" w:color="auto"/>
            </w:tcBorders>
            <w:shd w:val="clear" w:color="auto" w:fill="auto"/>
            <w:hideMark/>
          </w:tcPr>
          <w:p w14:paraId="6C826E8C" w14:textId="77777777" w:rsidR="003361B0" w:rsidRPr="007434DA" w:rsidRDefault="003361B0" w:rsidP="004A57B3">
            <w:pPr>
              <w:rPr>
                <w:rFonts w:cs="Calibri"/>
                <w:color w:val="000000"/>
                <w:sz w:val="18"/>
                <w:szCs w:val="18"/>
                <w:lang w:val="cs-CZ"/>
              </w:rPr>
            </w:pPr>
            <w:r w:rsidRPr="007434DA">
              <w:rPr>
                <w:color w:val="000000"/>
                <w:sz w:val="18"/>
                <w:szCs w:val="18"/>
                <w:lang w:val="cs-CZ"/>
              </w:rPr>
              <w:t>1) odhad VÚŽV 75 %</w:t>
            </w:r>
          </w:p>
        </w:tc>
      </w:tr>
      <w:tr w:rsidR="003361B0" w:rsidRPr="007434DA" w14:paraId="03478FC2" w14:textId="77777777" w:rsidTr="004A57B3">
        <w:trPr>
          <w:trHeight w:val="692"/>
        </w:trPr>
        <w:tc>
          <w:tcPr>
            <w:tcW w:w="1074" w:type="dxa"/>
            <w:vMerge/>
            <w:tcBorders>
              <w:top w:val="nil"/>
              <w:left w:val="single" w:sz="4" w:space="0" w:color="auto"/>
              <w:bottom w:val="nil"/>
              <w:right w:val="single" w:sz="4" w:space="0" w:color="auto"/>
            </w:tcBorders>
            <w:vAlign w:val="center"/>
            <w:hideMark/>
          </w:tcPr>
          <w:p w14:paraId="102571B3" w14:textId="77777777" w:rsidR="003361B0" w:rsidRPr="007434DA" w:rsidRDefault="003361B0" w:rsidP="004A57B3">
            <w:pPr>
              <w:rPr>
                <w:rFonts w:cs="Calibri"/>
                <w:color w:val="000000"/>
                <w:sz w:val="18"/>
                <w:szCs w:val="18"/>
                <w:lang w:val="cs-CZ"/>
              </w:rPr>
            </w:pPr>
          </w:p>
        </w:tc>
        <w:tc>
          <w:tcPr>
            <w:tcW w:w="1398" w:type="dxa"/>
            <w:vMerge/>
            <w:tcBorders>
              <w:top w:val="nil"/>
              <w:left w:val="single" w:sz="4" w:space="0" w:color="auto"/>
              <w:bottom w:val="nil"/>
              <w:right w:val="single" w:sz="4" w:space="0" w:color="auto"/>
            </w:tcBorders>
            <w:vAlign w:val="center"/>
            <w:hideMark/>
          </w:tcPr>
          <w:p w14:paraId="07879B39" w14:textId="77777777" w:rsidR="003361B0" w:rsidRPr="007434DA" w:rsidRDefault="003361B0" w:rsidP="004A57B3">
            <w:pPr>
              <w:rPr>
                <w:rFonts w:cs="Calibri"/>
                <w:color w:val="000000"/>
                <w:sz w:val="18"/>
                <w:szCs w:val="18"/>
                <w:lang w:val="cs-CZ"/>
              </w:rPr>
            </w:pPr>
          </w:p>
        </w:tc>
        <w:tc>
          <w:tcPr>
            <w:tcW w:w="1559" w:type="dxa"/>
            <w:vMerge/>
            <w:tcBorders>
              <w:top w:val="nil"/>
              <w:left w:val="single" w:sz="4" w:space="0" w:color="auto"/>
              <w:bottom w:val="nil"/>
              <w:right w:val="single" w:sz="4" w:space="0" w:color="auto"/>
            </w:tcBorders>
            <w:vAlign w:val="center"/>
            <w:hideMark/>
          </w:tcPr>
          <w:p w14:paraId="785AA036" w14:textId="77777777" w:rsidR="003361B0" w:rsidRPr="007434DA" w:rsidRDefault="003361B0" w:rsidP="004A57B3">
            <w:pPr>
              <w:rPr>
                <w:rFonts w:cs="Calibri"/>
                <w:color w:val="000000"/>
                <w:sz w:val="18"/>
                <w:szCs w:val="18"/>
                <w:lang w:val="cs-CZ"/>
              </w:rPr>
            </w:pPr>
          </w:p>
        </w:tc>
        <w:tc>
          <w:tcPr>
            <w:tcW w:w="1701" w:type="dxa"/>
            <w:vMerge/>
            <w:tcBorders>
              <w:top w:val="nil"/>
              <w:left w:val="single" w:sz="4" w:space="0" w:color="auto"/>
              <w:bottom w:val="nil"/>
              <w:right w:val="single" w:sz="4" w:space="0" w:color="auto"/>
            </w:tcBorders>
            <w:vAlign w:val="center"/>
            <w:hideMark/>
          </w:tcPr>
          <w:p w14:paraId="47C134E6" w14:textId="77777777" w:rsidR="003361B0" w:rsidRPr="007434DA" w:rsidRDefault="003361B0" w:rsidP="004A57B3">
            <w:pPr>
              <w:rPr>
                <w:rFonts w:cs="Calibri"/>
                <w:color w:val="000000"/>
                <w:sz w:val="18"/>
                <w:szCs w:val="18"/>
                <w:lang w:val="cs-CZ"/>
              </w:rPr>
            </w:pPr>
          </w:p>
        </w:tc>
        <w:tc>
          <w:tcPr>
            <w:tcW w:w="2267" w:type="dxa"/>
            <w:gridSpan w:val="2"/>
            <w:tcBorders>
              <w:top w:val="nil"/>
              <w:left w:val="nil"/>
              <w:bottom w:val="single" w:sz="4" w:space="0" w:color="auto"/>
              <w:right w:val="single" w:sz="4" w:space="0" w:color="auto"/>
            </w:tcBorders>
            <w:shd w:val="clear" w:color="auto" w:fill="auto"/>
            <w:hideMark/>
          </w:tcPr>
          <w:p w14:paraId="5A172A01" w14:textId="77777777" w:rsidR="003361B0" w:rsidRPr="007434DA" w:rsidRDefault="003361B0" w:rsidP="004A57B3">
            <w:pPr>
              <w:rPr>
                <w:rFonts w:cs="Calibri"/>
                <w:color w:val="000000"/>
                <w:sz w:val="18"/>
                <w:szCs w:val="18"/>
                <w:lang w:val="cs-CZ"/>
              </w:rPr>
            </w:pPr>
            <w:r w:rsidRPr="007434DA">
              <w:rPr>
                <w:color w:val="000000"/>
                <w:sz w:val="18"/>
                <w:szCs w:val="18"/>
                <w:lang w:val="cs-CZ"/>
              </w:rPr>
              <w:t xml:space="preserve"> 2) Nevhodné klima ve stáji (vlhko, zima, horko…) - agresivita, onemocnění</w:t>
            </w:r>
          </w:p>
        </w:tc>
        <w:tc>
          <w:tcPr>
            <w:tcW w:w="4271" w:type="dxa"/>
            <w:tcBorders>
              <w:top w:val="nil"/>
              <w:left w:val="nil"/>
              <w:bottom w:val="single" w:sz="4" w:space="0" w:color="auto"/>
              <w:right w:val="single" w:sz="4" w:space="0" w:color="auto"/>
            </w:tcBorders>
            <w:shd w:val="clear" w:color="auto" w:fill="auto"/>
            <w:hideMark/>
          </w:tcPr>
          <w:p w14:paraId="45B34905" w14:textId="77777777" w:rsidR="003361B0" w:rsidRPr="007434DA" w:rsidRDefault="003361B0" w:rsidP="004A57B3">
            <w:pPr>
              <w:rPr>
                <w:rFonts w:cs="Calibri"/>
                <w:color w:val="000000"/>
                <w:sz w:val="18"/>
                <w:szCs w:val="18"/>
                <w:lang w:val="cs-CZ"/>
              </w:rPr>
            </w:pPr>
            <w:r w:rsidRPr="007434DA">
              <w:rPr>
                <w:color w:val="000000"/>
                <w:sz w:val="18"/>
                <w:szCs w:val="18"/>
                <w:lang w:val="cs-CZ"/>
              </w:rPr>
              <w:t xml:space="preserve"> 2) Nedostatečná ventilace   </w:t>
            </w:r>
          </w:p>
        </w:tc>
        <w:tc>
          <w:tcPr>
            <w:tcW w:w="2014" w:type="dxa"/>
            <w:gridSpan w:val="2"/>
            <w:tcBorders>
              <w:top w:val="nil"/>
              <w:left w:val="nil"/>
              <w:bottom w:val="single" w:sz="4" w:space="0" w:color="auto"/>
              <w:right w:val="single" w:sz="4" w:space="0" w:color="auto"/>
            </w:tcBorders>
            <w:shd w:val="clear" w:color="auto" w:fill="auto"/>
            <w:hideMark/>
          </w:tcPr>
          <w:p w14:paraId="0A052ACC" w14:textId="77777777" w:rsidR="003361B0" w:rsidRPr="007434DA" w:rsidRDefault="003361B0" w:rsidP="004A57B3">
            <w:pPr>
              <w:rPr>
                <w:rFonts w:cs="Calibri"/>
                <w:color w:val="000000"/>
                <w:sz w:val="18"/>
                <w:szCs w:val="18"/>
                <w:lang w:val="cs-CZ"/>
              </w:rPr>
            </w:pPr>
            <w:r w:rsidRPr="007434DA">
              <w:rPr>
                <w:color w:val="000000"/>
                <w:sz w:val="18"/>
                <w:szCs w:val="18"/>
                <w:lang w:val="cs-CZ"/>
              </w:rPr>
              <w:t>2) odhad VÚVeL 30 %</w:t>
            </w:r>
          </w:p>
        </w:tc>
      </w:tr>
      <w:tr w:rsidR="003361B0" w:rsidRPr="007434DA" w14:paraId="2029F0FC" w14:textId="77777777" w:rsidTr="004A57B3">
        <w:trPr>
          <w:trHeight w:val="692"/>
        </w:trPr>
        <w:tc>
          <w:tcPr>
            <w:tcW w:w="1074" w:type="dxa"/>
            <w:tcBorders>
              <w:top w:val="nil"/>
              <w:left w:val="single" w:sz="4" w:space="0" w:color="auto"/>
              <w:bottom w:val="single" w:sz="4" w:space="0" w:color="auto"/>
              <w:right w:val="single" w:sz="4" w:space="0" w:color="auto"/>
            </w:tcBorders>
            <w:vAlign w:val="center"/>
          </w:tcPr>
          <w:p w14:paraId="6B62A911" w14:textId="77777777" w:rsidR="003361B0" w:rsidRPr="007434DA" w:rsidRDefault="003361B0" w:rsidP="004A57B3">
            <w:pPr>
              <w:rPr>
                <w:rFonts w:cs="Calibri"/>
                <w:color w:val="000000"/>
                <w:sz w:val="18"/>
                <w:szCs w:val="18"/>
                <w:lang w:val="cs-CZ"/>
              </w:rPr>
            </w:pPr>
          </w:p>
        </w:tc>
        <w:tc>
          <w:tcPr>
            <w:tcW w:w="1398" w:type="dxa"/>
            <w:tcBorders>
              <w:top w:val="nil"/>
              <w:left w:val="single" w:sz="4" w:space="0" w:color="auto"/>
              <w:bottom w:val="single" w:sz="4" w:space="0" w:color="auto"/>
              <w:right w:val="single" w:sz="4" w:space="0" w:color="auto"/>
            </w:tcBorders>
            <w:vAlign w:val="center"/>
          </w:tcPr>
          <w:p w14:paraId="42FCD5BB" w14:textId="77777777" w:rsidR="003361B0" w:rsidRPr="007434DA" w:rsidRDefault="003361B0" w:rsidP="004A57B3">
            <w:pPr>
              <w:rPr>
                <w:rFonts w:cs="Calibri"/>
                <w:color w:val="000000"/>
                <w:sz w:val="18"/>
                <w:szCs w:val="18"/>
                <w:lang w:val="cs-CZ"/>
              </w:rPr>
            </w:pPr>
          </w:p>
        </w:tc>
        <w:tc>
          <w:tcPr>
            <w:tcW w:w="1559" w:type="dxa"/>
            <w:tcBorders>
              <w:top w:val="nil"/>
              <w:left w:val="single" w:sz="4" w:space="0" w:color="auto"/>
              <w:bottom w:val="single" w:sz="4" w:space="0" w:color="auto"/>
              <w:right w:val="single" w:sz="4" w:space="0" w:color="auto"/>
            </w:tcBorders>
            <w:vAlign w:val="center"/>
          </w:tcPr>
          <w:p w14:paraId="78A04EB5" w14:textId="77777777" w:rsidR="003361B0" w:rsidRPr="007434DA" w:rsidRDefault="003361B0" w:rsidP="004A57B3">
            <w:pPr>
              <w:rPr>
                <w:rFonts w:cs="Calibri"/>
                <w:color w:val="000000"/>
                <w:sz w:val="18"/>
                <w:szCs w:val="18"/>
                <w:lang w:val="cs-CZ"/>
              </w:rPr>
            </w:pPr>
          </w:p>
        </w:tc>
        <w:tc>
          <w:tcPr>
            <w:tcW w:w="1701" w:type="dxa"/>
            <w:tcBorders>
              <w:top w:val="nil"/>
              <w:left w:val="single" w:sz="4" w:space="0" w:color="auto"/>
              <w:bottom w:val="single" w:sz="4" w:space="0" w:color="auto"/>
              <w:right w:val="single" w:sz="4" w:space="0" w:color="auto"/>
            </w:tcBorders>
            <w:vAlign w:val="center"/>
          </w:tcPr>
          <w:p w14:paraId="38F8658C" w14:textId="77777777" w:rsidR="003361B0" w:rsidRPr="007434DA" w:rsidRDefault="003361B0" w:rsidP="004A57B3">
            <w:pPr>
              <w:rPr>
                <w:rFonts w:cs="Calibri"/>
                <w:color w:val="000000"/>
                <w:sz w:val="18"/>
                <w:szCs w:val="18"/>
                <w:lang w:val="cs-CZ"/>
              </w:rPr>
            </w:pPr>
          </w:p>
        </w:tc>
        <w:tc>
          <w:tcPr>
            <w:tcW w:w="2267" w:type="dxa"/>
            <w:gridSpan w:val="2"/>
            <w:tcBorders>
              <w:top w:val="single" w:sz="4" w:space="0" w:color="auto"/>
              <w:left w:val="nil"/>
              <w:bottom w:val="single" w:sz="4" w:space="0" w:color="auto"/>
              <w:right w:val="single" w:sz="4" w:space="0" w:color="auto"/>
            </w:tcBorders>
            <w:shd w:val="clear" w:color="auto" w:fill="auto"/>
          </w:tcPr>
          <w:p w14:paraId="2C5C8600" w14:textId="77777777" w:rsidR="003361B0" w:rsidRPr="007434DA" w:rsidRDefault="003361B0" w:rsidP="004A57B3">
            <w:pPr>
              <w:rPr>
                <w:color w:val="000000"/>
                <w:sz w:val="18"/>
                <w:szCs w:val="18"/>
                <w:lang w:val="cs-CZ"/>
              </w:rPr>
            </w:pPr>
            <w:r w:rsidRPr="007434DA">
              <w:rPr>
                <w:color w:val="000000"/>
                <w:sz w:val="18"/>
                <w:szCs w:val="18"/>
                <w:lang w:val="cs-CZ"/>
              </w:rPr>
              <w:t>3) Zranění prasniček</w:t>
            </w:r>
          </w:p>
        </w:tc>
        <w:tc>
          <w:tcPr>
            <w:tcW w:w="4271" w:type="dxa"/>
            <w:tcBorders>
              <w:top w:val="single" w:sz="4" w:space="0" w:color="auto"/>
              <w:left w:val="nil"/>
              <w:bottom w:val="single" w:sz="4" w:space="0" w:color="auto"/>
              <w:right w:val="single" w:sz="4" w:space="0" w:color="auto"/>
            </w:tcBorders>
            <w:shd w:val="clear" w:color="auto" w:fill="auto"/>
          </w:tcPr>
          <w:p w14:paraId="748D752E" w14:textId="77777777" w:rsidR="003361B0" w:rsidRPr="007434DA" w:rsidRDefault="003361B0" w:rsidP="004A57B3">
            <w:pPr>
              <w:rPr>
                <w:color w:val="000000"/>
                <w:sz w:val="18"/>
                <w:szCs w:val="18"/>
                <w:lang w:val="cs-CZ"/>
              </w:rPr>
            </w:pPr>
            <w:r w:rsidRPr="007434DA">
              <w:rPr>
                <w:color w:val="000000"/>
                <w:sz w:val="18"/>
                <w:szCs w:val="18"/>
                <w:lang w:val="cs-CZ"/>
              </w:rPr>
              <w:t xml:space="preserve">3) Nevyhovující povrch a typ podlahy. Dále poškozené vybavení - ostré hrany, rošty       </w:t>
            </w:r>
          </w:p>
        </w:tc>
        <w:tc>
          <w:tcPr>
            <w:tcW w:w="2014" w:type="dxa"/>
            <w:gridSpan w:val="2"/>
            <w:tcBorders>
              <w:top w:val="single" w:sz="4" w:space="0" w:color="auto"/>
              <w:left w:val="nil"/>
              <w:bottom w:val="single" w:sz="4" w:space="0" w:color="auto"/>
              <w:right w:val="single" w:sz="4" w:space="0" w:color="auto"/>
            </w:tcBorders>
            <w:shd w:val="clear" w:color="auto" w:fill="auto"/>
          </w:tcPr>
          <w:p w14:paraId="71D554FA" w14:textId="77777777" w:rsidR="003361B0" w:rsidRPr="007434DA" w:rsidRDefault="003361B0" w:rsidP="004A57B3">
            <w:pPr>
              <w:rPr>
                <w:color w:val="000000"/>
                <w:sz w:val="18"/>
                <w:szCs w:val="18"/>
                <w:lang w:val="cs-CZ"/>
              </w:rPr>
            </w:pPr>
            <w:r w:rsidRPr="007434DA">
              <w:rPr>
                <w:color w:val="000000"/>
                <w:sz w:val="18"/>
                <w:szCs w:val="18"/>
                <w:lang w:val="cs-CZ"/>
              </w:rPr>
              <w:t>3) odhad VÚVeL 20 %</w:t>
            </w:r>
          </w:p>
        </w:tc>
      </w:tr>
    </w:tbl>
    <w:p w14:paraId="6428E0B5" w14:textId="77777777" w:rsidR="00A94746" w:rsidRPr="007434DA" w:rsidRDefault="00A94746" w:rsidP="00AA5BA3">
      <w:pPr>
        <w:spacing w:before="120"/>
        <w:rPr>
          <w:rFonts w:cs="Times New Roman"/>
          <w:b/>
          <w:sz w:val="20"/>
          <w:szCs w:val="20"/>
          <w:lang w:val="cs-CZ"/>
        </w:rPr>
      </w:pPr>
    </w:p>
    <w:p w14:paraId="5D2D3ED1" w14:textId="77777777" w:rsidR="00A94746" w:rsidRPr="007434DA" w:rsidRDefault="00A94746" w:rsidP="00AA5BA3">
      <w:pPr>
        <w:spacing w:before="120"/>
        <w:rPr>
          <w:rFonts w:cs="Times New Roman"/>
          <w:b/>
          <w:sz w:val="20"/>
          <w:szCs w:val="20"/>
          <w:lang w:val="cs-CZ"/>
        </w:rPr>
      </w:pPr>
    </w:p>
    <w:p w14:paraId="593CC560" w14:textId="77777777" w:rsidR="00A94746" w:rsidRPr="007434DA" w:rsidRDefault="00A94746" w:rsidP="00AA5BA3">
      <w:pPr>
        <w:spacing w:before="120"/>
        <w:rPr>
          <w:rFonts w:cs="Times New Roman"/>
          <w:b/>
          <w:sz w:val="20"/>
          <w:szCs w:val="20"/>
          <w:lang w:val="cs-CZ"/>
        </w:rPr>
      </w:pPr>
    </w:p>
    <w:p w14:paraId="695EA8AA" w14:textId="77777777" w:rsidR="00A94746" w:rsidRPr="007434DA" w:rsidRDefault="00A94746" w:rsidP="00AA5BA3">
      <w:pPr>
        <w:spacing w:before="120"/>
        <w:rPr>
          <w:rFonts w:cs="Times New Roman"/>
          <w:b/>
          <w:sz w:val="20"/>
          <w:szCs w:val="20"/>
          <w:lang w:val="cs-CZ"/>
        </w:rPr>
      </w:pPr>
    </w:p>
    <w:p w14:paraId="233C4EE3" w14:textId="77777777" w:rsidR="00A94746" w:rsidRPr="007434DA" w:rsidRDefault="00A94746" w:rsidP="00AA5BA3">
      <w:pPr>
        <w:spacing w:before="120"/>
        <w:rPr>
          <w:rFonts w:cs="Times New Roman"/>
          <w:b/>
          <w:sz w:val="20"/>
          <w:szCs w:val="20"/>
          <w:lang w:val="cs-CZ"/>
        </w:rPr>
      </w:pPr>
    </w:p>
    <w:p w14:paraId="4E4810F2" w14:textId="77777777" w:rsidR="00A94746" w:rsidRPr="007434DA" w:rsidRDefault="00A94746" w:rsidP="00AA5BA3">
      <w:pPr>
        <w:spacing w:before="120"/>
        <w:rPr>
          <w:rFonts w:cs="Times New Roman"/>
          <w:b/>
          <w:sz w:val="20"/>
          <w:szCs w:val="20"/>
          <w:lang w:val="cs-CZ"/>
        </w:rPr>
      </w:pPr>
    </w:p>
    <w:p w14:paraId="5EB42DCE" w14:textId="77777777" w:rsidR="00A94746" w:rsidRPr="007434DA" w:rsidRDefault="00A94746" w:rsidP="00AA5BA3">
      <w:pPr>
        <w:spacing w:before="120"/>
        <w:rPr>
          <w:rFonts w:cs="Times New Roman"/>
          <w:b/>
          <w:sz w:val="20"/>
          <w:szCs w:val="20"/>
          <w:lang w:val="cs-CZ"/>
        </w:rPr>
      </w:pPr>
    </w:p>
    <w:p w14:paraId="6BA9E446" w14:textId="77777777" w:rsidR="00A94746" w:rsidRPr="007434DA" w:rsidRDefault="00A94746" w:rsidP="00AA5BA3">
      <w:pPr>
        <w:spacing w:before="120"/>
        <w:rPr>
          <w:rFonts w:cs="Times New Roman"/>
          <w:b/>
          <w:sz w:val="20"/>
          <w:szCs w:val="20"/>
          <w:lang w:val="cs-CZ"/>
        </w:rPr>
      </w:pPr>
    </w:p>
    <w:tbl>
      <w:tblPr>
        <w:tblStyle w:val="Mkatabulky"/>
        <w:tblW w:w="14359" w:type="dxa"/>
        <w:tblLook w:val="04A0" w:firstRow="1" w:lastRow="0" w:firstColumn="1" w:lastColumn="0" w:noHBand="0" w:noVBand="1"/>
      </w:tblPr>
      <w:tblGrid>
        <w:gridCol w:w="1696"/>
        <w:gridCol w:w="994"/>
        <w:gridCol w:w="1146"/>
        <w:gridCol w:w="1971"/>
        <w:gridCol w:w="2268"/>
        <w:gridCol w:w="3969"/>
        <w:gridCol w:w="2315"/>
      </w:tblGrid>
      <w:tr w:rsidR="000973EA" w:rsidRPr="0005469C" w14:paraId="46ED9212" w14:textId="77777777" w:rsidTr="004A57B3">
        <w:trPr>
          <w:trHeight w:val="693"/>
        </w:trPr>
        <w:tc>
          <w:tcPr>
            <w:tcW w:w="1696" w:type="dxa"/>
            <w:shd w:val="clear" w:color="auto" w:fill="BDD6EE" w:themeFill="accent5" w:themeFillTint="66"/>
            <w:vAlign w:val="center"/>
            <w:hideMark/>
          </w:tcPr>
          <w:p w14:paraId="497BB1DF" w14:textId="77777777" w:rsidR="000973EA" w:rsidRPr="007434DA" w:rsidRDefault="000973EA" w:rsidP="004A57B3">
            <w:pPr>
              <w:rPr>
                <w:rFonts w:cs="Calibri"/>
                <w:b/>
                <w:bCs/>
                <w:color w:val="000000"/>
                <w:sz w:val="17"/>
                <w:szCs w:val="17"/>
              </w:rPr>
            </w:pPr>
            <w:r w:rsidRPr="007434DA">
              <w:rPr>
                <w:rFonts w:cs="Calibri"/>
                <w:b/>
                <w:bCs/>
                <w:color w:val="000000"/>
                <w:sz w:val="17"/>
                <w:szCs w:val="17"/>
              </w:rPr>
              <w:t>Kategorie</w:t>
            </w:r>
          </w:p>
        </w:tc>
        <w:tc>
          <w:tcPr>
            <w:tcW w:w="994" w:type="dxa"/>
            <w:shd w:val="clear" w:color="auto" w:fill="BDD6EE" w:themeFill="accent5" w:themeFillTint="66"/>
            <w:vAlign w:val="center"/>
            <w:hideMark/>
          </w:tcPr>
          <w:p w14:paraId="2963A0EA" w14:textId="77777777" w:rsidR="000973EA" w:rsidRPr="007434DA" w:rsidRDefault="000973EA" w:rsidP="004A57B3">
            <w:pPr>
              <w:jc w:val="center"/>
              <w:rPr>
                <w:rFonts w:cs="Calibri"/>
                <w:b/>
                <w:bCs/>
                <w:color w:val="000000"/>
                <w:sz w:val="17"/>
                <w:szCs w:val="17"/>
              </w:rPr>
            </w:pPr>
            <w:r w:rsidRPr="007434DA">
              <w:rPr>
                <w:rFonts w:cs="Calibri"/>
                <w:b/>
                <w:bCs/>
                <w:color w:val="000000"/>
                <w:sz w:val="17"/>
                <w:szCs w:val="17"/>
              </w:rPr>
              <w:t>Stavy celkem</w:t>
            </w:r>
          </w:p>
        </w:tc>
        <w:tc>
          <w:tcPr>
            <w:tcW w:w="1146" w:type="dxa"/>
            <w:shd w:val="clear" w:color="auto" w:fill="BDD6EE" w:themeFill="accent5" w:themeFillTint="66"/>
            <w:vAlign w:val="center"/>
            <w:hideMark/>
          </w:tcPr>
          <w:p w14:paraId="6E20EFDF" w14:textId="77777777" w:rsidR="000973EA" w:rsidRPr="007434DA" w:rsidRDefault="000973EA" w:rsidP="004A57B3">
            <w:pPr>
              <w:jc w:val="center"/>
              <w:rPr>
                <w:rFonts w:cs="Calibri"/>
                <w:b/>
                <w:bCs/>
                <w:color w:val="000000"/>
                <w:sz w:val="17"/>
                <w:szCs w:val="17"/>
              </w:rPr>
            </w:pPr>
            <w:r w:rsidRPr="007434DA">
              <w:rPr>
                <w:rFonts w:cs="Calibri"/>
                <w:b/>
                <w:bCs/>
                <w:color w:val="000000"/>
                <w:sz w:val="17"/>
                <w:szCs w:val="17"/>
              </w:rPr>
              <w:t>Stavy dle užitkového typu</w:t>
            </w:r>
          </w:p>
        </w:tc>
        <w:tc>
          <w:tcPr>
            <w:tcW w:w="1971" w:type="dxa"/>
            <w:shd w:val="clear" w:color="auto" w:fill="BDD6EE" w:themeFill="accent5" w:themeFillTint="66"/>
            <w:vAlign w:val="center"/>
            <w:hideMark/>
          </w:tcPr>
          <w:p w14:paraId="009F2711" w14:textId="77777777" w:rsidR="000973EA" w:rsidRPr="007434DA" w:rsidRDefault="000973EA" w:rsidP="004A57B3">
            <w:pPr>
              <w:jc w:val="center"/>
              <w:rPr>
                <w:rFonts w:cs="Calibri"/>
                <w:b/>
                <w:bCs/>
                <w:color w:val="000000"/>
                <w:sz w:val="17"/>
                <w:szCs w:val="17"/>
              </w:rPr>
            </w:pPr>
            <w:r w:rsidRPr="007434DA">
              <w:rPr>
                <w:rFonts w:cs="Calibri"/>
                <w:b/>
                <w:bCs/>
                <w:color w:val="000000"/>
                <w:sz w:val="17"/>
                <w:szCs w:val="17"/>
              </w:rPr>
              <w:t>Technologie (podíl chovaných zvířat)</w:t>
            </w:r>
          </w:p>
        </w:tc>
        <w:tc>
          <w:tcPr>
            <w:tcW w:w="2268" w:type="dxa"/>
            <w:shd w:val="clear" w:color="auto" w:fill="BDD6EE" w:themeFill="accent5" w:themeFillTint="66"/>
            <w:vAlign w:val="center"/>
            <w:hideMark/>
          </w:tcPr>
          <w:p w14:paraId="74AA5DC3" w14:textId="77777777" w:rsidR="000973EA" w:rsidRPr="007434DA" w:rsidRDefault="000973EA" w:rsidP="004A57B3">
            <w:pPr>
              <w:jc w:val="center"/>
              <w:rPr>
                <w:rFonts w:cs="Calibri"/>
                <w:b/>
                <w:bCs/>
                <w:color w:val="000000"/>
                <w:sz w:val="17"/>
                <w:szCs w:val="17"/>
              </w:rPr>
            </w:pPr>
            <w:r w:rsidRPr="007434DA">
              <w:rPr>
                <w:rFonts w:cs="Calibri"/>
                <w:b/>
                <w:bCs/>
                <w:color w:val="000000"/>
                <w:sz w:val="17"/>
                <w:szCs w:val="17"/>
              </w:rPr>
              <w:t>Hlavní problémy (obecně)</w:t>
            </w:r>
          </w:p>
        </w:tc>
        <w:tc>
          <w:tcPr>
            <w:tcW w:w="3969" w:type="dxa"/>
            <w:shd w:val="clear" w:color="auto" w:fill="BDD6EE" w:themeFill="accent5" w:themeFillTint="66"/>
            <w:vAlign w:val="center"/>
            <w:hideMark/>
          </w:tcPr>
          <w:p w14:paraId="46DBF096" w14:textId="77777777" w:rsidR="000973EA" w:rsidRPr="007434DA" w:rsidRDefault="000973EA" w:rsidP="004A57B3">
            <w:pPr>
              <w:jc w:val="center"/>
              <w:rPr>
                <w:rFonts w:cs="Calibri"/>
                <w:b/>
                <w:bCs/>
                <w:color w:val="000000"/>
                <w:sz w:val="17"/>
                <w:szCs w:val="17"/>
              </w:rPr>
            </w:pPr>
            <w:r w:rsidRPr="007434DA">
              <w:rPr>
                <w:rFonts w:cs="Calibri"/>
                <w:b/>
                <w:bCs/>
                <w:color w:val="000000"/>
                <w:sz w:val="17"/>
                <w:szCs w:val="17"/>
              </w:rPr>
              <w:t>Příčiny problémů</w:t>
            </w:r>
          </w:p>
        </w:tc>
        <w:tc>
          <w:tcPr>
            <w:tcW w:w="2315" w:type="dxa"/>
            <w:shd w:val="clear" w:color="auto" w:fill="BDD6EE" w:themeFill="accent5" w:themeFillTint="66"/>
            <w:vAlign w:val="center"/>
            <w:hideMark/>
          </w:tcPr>
          <w:p w14:paraId="7EA97B56" w14:textId="77777777" w:rsidR="000973EA" w:rsidRPr="007434DA" w:rsidRDefault="000973EA" w:rsidP="004A57B3">
            <w:pPr>
              <w:jc w:val="center"/>
              <w:rPr>
                <w:rFonts w:cs="Calibri"/>
                <w:b/>
                <w:bCs/>
                <w:color w:val="000000"/>
                <w:sz w:val="17"/>
                <w:szCs w:val="17"/>
              </w:rPr>
            </w:pPr>
            <w:r w:rsidRPr="007434DA">
              <w:rPr>
                <w:rFonts w:cs="Calibri"/>
                <w:b/>
                <w:bCs/>
                <w:color w:val="000000"/>
                <w:sz w:val="17"/>
                <w:szCs w:val="17"/>
              </w:rPr>
              <w:t>Dopad (podíl zasažených zvířat/chovů)</w:t>
            </w:r>
          </w:p>
        </w:tc>
      </w:tr>
      <w:tr w:rsidR="000973EA" w:rsidRPr="007434DA" w14:paraId="50F4EAFA" w14:textId="77777777" w:rsidTr="004A57B3">
        <w:trPr>
          <w:trHeight w:val="541"/>
        </w:trPr>
        <w:tc>
          <w:tcPr>
            <w:tcW w:w="1696" w:type="dxa"/>
            <w:vMerge w:val="restart"/>
            <w:hideMark/>
          </w:tcPr>
          <w:p w14:paraId="230991E2" w14:textId="77777777" w:rsidR="000973EA" w:rsidRPr="007434DA" w:rsidRDefault="000973EA" w:rsidP="004A57B3">
            <w:pPr>
              <w:rPr>
                <w:rFonts w:cs="Calibri"/>
                <w:b/>
                <w:color w:val="000000"/>
                <w:sz w:val="17"/>
                <w:szCs w:val="17"/>
              </w:rPr>
            </w:pPr>
            <w:r w:rsidRPr="007434DA">
              <w:rPr>
                <w:rFonts w:cs="Calibri"/>
                <w:b/>
                <w:color w:val="000000"/>
                <w:sz w:val="17"/>
                <w:szCs w:val="17"/>
              </w:rPr>
              <w:t>Prasnice/prasničky (zapouštěné a březí)</w:t>
            </w:r>
          </w:p>
        </w:tc>
        <w:tc>
          <w:tcPr>
            <w:tcW w:w="994" w:type="dxa"/>
            <w:vMerge w:val="restart"/>
            <w:noWrap/>
            <w:hideMark/>
          </w:tcPr>
          <w:p w14:paraId="412E60AC" w14:textId="77777777" w:rsidR="000973EA" w:rsidRPr="007434DA" w:rsidRDefault="000973EA" w:rsidP="004A57B3">
            <w:pPr>
              <w:rPr>
                <w:rFonts w:cs="Calibri"/>
                <w:color w:val="000000"/>
                <w:sz w:val="17"/>
                <w:szCs w:val="17"/>
              </w:rPr>
            </w:pPr>
            <w:r w:rsidRPr="007434DA">
              <w:rPr>
                <w:rFonts w:cs="Calibri"/>
                <w:color w:val="000000"/>
                <w:sz w:val="17"/>
                <w:szCs w:val="17"/>
              </w:rPr>
              <w:t>Stav 2017: 111,2 tis. ks</w:t>
            </w:r>
          </w:p>
        </w:tc>
        <w:tc>
          <w:tcPr>
            <w:tcW w:w="1146" w:type="dxa"/>
            <w:vMerge w:val="restart"/>
            <w:noWrap/>
            <w:hideMark/>
          </w:tcPr>
          <w:p w14:paraId="2B3F6A99" w14:textId="77777777" w:rsidR="000973EA" w:rsidRPr="007434DA" w:rsidRDefault="000973EA" w:rsidP="004A57B3">
            <w:pPr>
              <w:rPr>
                <w:rFonts w:cs="Calibri"/>
                <w:color w:val="000000"/>
                <w:sz w:val="17"/>
                <w:szCs w:val="17"/>
              </w:rPr>
            </w:pPr>
            <w:r w:rsidRPr="007434DA">
              <w:rPr>
                <w:rFonts w:cs="Calibri"/>
                <w:color w:val="000000"/>
                <w:sz w:val="17"/>
                <w:szCs w:val="17"/>
              </w:rPr>
              <w:t>Zapouštěné a březí</w:t>
            </w:r>
          </w:p>
        </w:tc>
        <w:tc>
          <w:tcPr>
            <w:tcW w:w="1971" w:type="dxa"/>
            <w:vMerge w:val="restart"/>
            <w:hideMark/>
          </w:tcPr>
          <w:p w14:paraId="3AE92754" w14:textId="77777777" w:rsidR="000973EA" w:rsidRPr="007434DA" w:rsidRDefault="000973EA" w:rsidP="004A57B3">
            <w:pPr>
              <w:rPr>
                <w:rFonts w:cs="Calibri"/>
                <w:color w:val="000000"/>
                <w:sz w:val="17"/>
                <w:szCs w:val="17"/>
              </w:rPr>
            </w:pPr>
            <w:r w:rsidRPr="007434DA">
              <w:rPr>
                <w:rFonts w:cs="Calibri"/>
                <w:color w:val="000000"/>
                <w:sz w:val="17"/>
                <w:szCs w:val="17"/>
              </w:rPr>
              <w:t>Skupinové kotce s odděleným kalištěm 20 % chovů skupinový kotec s roštovým kalištěm 80 % chovů</w:t>
            </w:r>
          </w:p>
        </w:tc>
        <w:tc>
          <w:tcPr>
            <w:tcW w:w="2268" w:type="dxa"/>
            <w:hideMark/>
          </w:tcPr>
          <w:p w14:paraId="1D96A0C0" w14:textId="77777777" w:rsidR="000973EA" w:rsidRPr="007434DA" w:rsidRDefault="000973EA" w:rsidP="004A57B3">
            <w:pPr>
              <w:rPr>
                <w:rFonts w:cs="Calibri"/>
                <w:color w:val="000000"/>
                <w:sz w:val="17"/>
                <w:szCs w:val="17"/>
              </w:rPr>
            </w:pPr>
            <w:r w:rsidRPr="007434DA">
              <w:rPr>
                <w:rFonts w:cs="Calibri"/>
                <w:color w:val="000000"/>
                <w:sz w:val="17"/>
                <w:szCs w:val="17"/>
              </w:rPr>
              <w:t xml:space="preserve">1) Omezení přirozených potřeb zvířat - omezení pohybu         </w:t>
            </w:r>
          </w:p>
        </w:tc>
        <w:tc>
          <w:tcPr>
            <w:tcW w:w="3969" w:type="dxa"/>
            <w:hideMark/>
          </w:tcPr>
          <w:p w14:paraId="36A1BA6B" w14:textId="77777777" w:rsidR="000973EA" w:rsidRPr="007434DA" w:rsidRDefault="000973EA" w:rsidP="004A57B3">
            <w:pPr>
              <w:rPr>
                <w:rFonts w:cs="Calibri"/>
                <w:color w:val="000000"/>
                <w:sz w:val="17"/>
                <w:szCs w:val="17"/>
              </w:rPr>
            </w:pPr>
            <w:r w:rsidRPr="007434DA">
              <w:rPr>
                <w:rFonts w:cs="Calibri"/>
                <w:color w:val="000000"/>
                <w:sz w:val="17"/>
                <w:szCs w:val="17"/>
              </w:rPr>
              <w:t xml:space="preserve">1) Individuální ustájení 4-5 týdnů po zapuštění z důvodu lepšího zabřezávání     </w:t>
            </w:r>
          </w:p>
        </w:tc>
        <w:tc>
          <w:tcPr>
            <w:tcW w:w="2315" w:type="dxa"/>
            <w:hideMark/>
          </w:tcPr>
          <w:p w14:paraId="75797E73" w14:textId="77777777" w:rsidR="000973EA" w:rsidRPr="007434DA" w:rsidRDefault="000973EA" w:rsidP="004A57B3">
            <w:pPr>
              <w:rPr>
                <w:rFonts w:cs="Calibri"/>
                <w:color w:val="000000"/>
                <w:sz w:val="17"/>
                <w:szCs w:val="17"/>
              </w:rPr>
            </w:pPr>
            <w:r w:rsidRPr="007434DA">
              <w:rPr>
                <w:rFonts w:cs="Calibri"/>
                <w:color w:val="000000"/>
                <w:sz w:val="17"/>
                <w:szCs w:val="17"/>
              </w:rPr>
              <w:t>1) odhad VÚVeL 80 %</w:t>
            </w:r>
          </w:p>
        </w:tc>
      </w:tr>
      <w:tr w:rsidR="000973EA" w:rsidRPr="007434DA" w14:paraId="764BEE95" w14:textId="77777777" w:rsidTr="004A57B3">
        <w:trPr>
          <w:trHeight w:val="491"/>
        </w:trPr>
        <w:tc>
          <w:tcPr>
            <w:tcW w:w="1696" w:type="dxa"/>
            <w:vMerge/>
            <w:hideMark/>
          </w:tcPr>
          <w:p w14:paraId="5EE7538F" w14:textId="77777777" w:rsidR="000973EA" w:rsidRPr="007434DA" w:rsidRDefault="000973EA" w:rsidP="004A57B3">
            <w:pPr>
              <w:rPr>
                <w:rFonts w:cs="Calibri"/>
                <w:color w:val="000000"/>
                <w:sz w:val="17"/>
                <w:szCs w:val="17"/>
              </w:rPr>
            </w:pPr>
          </w:p>
        </w:tc>
        <w:tc>
          <w:tcPr>
            <w:tcW w:w="994" w:type="dxa"/>
            <w:vMerge/>
            <w:hideMark/>
          </w:tcPr>
          <w:p w14:paraId="6B7D6D83" w14:textId="77777777" w:rsidR="000973EA" w:rsidRPr="007434DA" w:rsidRDefault="000973EA" w:rsidP="004A57B3">
            <w:pPr>
              <w:rPr>
                <w:rFonts w:cs="Calibri"/>
                <w:color w:val="000000"/>
                <w:sz w:val="17"/>
                <w:szCs w:val="17"/>
              </w:rPr>
            </w:pPr>
          </w:p>
        </w:tc>
        <w:tc>
          <w:tcPr>
            <w:tcW w:w="1146" w:type="dxa"/>
            <w:vMerge/>
            <w:hideMark/>
          </w:tcPr>
          <w:p w14:paraId="45DF2F41" w14:textId="77777777" w:rsidR="000973EA" w:rsidRPr="007434DA" w:rsidRDefault="000973EA" w:rsidP="004A57B3">
            <w:pPr>
              <w:rPr>
                <w:rFonts w:cs="Calibri"/>
                <w:color w:val="000000"/>
                <w:sz w:val="17"/>
                <w:szCs w:val="17"/>
              </w:rPr>
            </w:pPr>
          </w:p>
        </w:tc>
        <w:tc>
          <w:tcPr>
            <w:tcW w:w="1971" w:type="dxa"/>
            <w:vMerge/>
            <w:hideMark/>
          </w:tcPr>
          <w:p w14:paraId="1E24A369" w14:textId="77777777" w:rsidR="000973EA" w:rsidRPr="007434DA" w:rsidRDefault="000973EA" w:rsidP="004A57B3">
            <w:pPr>
              <w:rPr>
                <w:rFonts w:cs="Calibri"/>
                <w:color w:val="000000"/>
                <w:sz w:val="17"/>
                <w:szCs w:val="17"/>
              </w:rPr>
            </w:pPr>
          </w:p>
        </w:tc>
        <w:tc>
          <w:tcPr>
            <w:tcW w:w="2268" w:type="dxa"/>
            <w:hideMark/>
          </w:tcPr>
          <w:p w14:paraId="7E9DC1F7" w14:textId="77777777" w:rsidR="000973EA" w:rsidRPr="007434DA" w:rsidRDefault="000973EA" w:rsidP="004A57B3">
            <w:pPr>
              <w:rPr>
                <w:rFonts w:cs="Calibri"/>
                <w:color w:val="000000"/>
                <w:sz w:val="17"/>
                <w:szCs w:val="17"/>
              </w:rPr>
            </w:pPr>
            <w:r w:rsidRPr="007434DA">
              <w:rPr>
                <w:rFonts w:cs="Calibri"/>
                <w:color w:val="000000"/>
                <w:sz w:val="17"/>
                <w:szCs w:val="17"/>
              </w:rPr>
              <w:t>2) Nedostatečná ventilace</w:t>
            </w:r>
          </w:p>
        </w:tc>
        <w:tc>
          <w:tcPr>
            <w:tcW w:w="3969" w:type="dxa"/>
            <w:hideMark/>
          </w:tcPr>
          <w:p w14:paraId="0527243C" w14:textId="77777777" w:rsidR="000973EA" w:rsidRPr="007434DA" w:rsidRDefault="000973EA" w:rsidP="004A57B3">
            <w:pPr>
              <w:rPr>
                <w:rFonts w:cs="Calibri"/>
                <w:color w:val="000000"/>
                <w:sz w:val="17"/>
                <w:szCs w:val="17"/>
              </w:rPr>
            </w:pPr>
            <w:r w:rsidRPr="007434DA">
              <w:rPr>
                <w:rFonts w:cs="Calibri"/>
                <w:color w:val="000000"/>
                <w:sz w:val="17"/>
                <w:szCs w:val="17"/>
              </w:rPr>
              <w:t xml:space="preserve"> 2) Nevhodné klima ve stáji (vysoká vzdušná vlhkost, výskyt plynů, zima, horko…)       </w:t>
            </w:r>
          </w:p>
        </w:tc>
        <w:tc>
          <w:tcPr>
            <w:tcW w:w="2315" w:type="dxa"/>
            <w:hideMark/>
          </w:tcPr>
          <w:p w14:paraId="49A5BCE1" w14:textId="77777777" w:rsidR="000973EA" w:rsidRPr="007434DA" w:rsidRDefault="000973EA" w:rsidP="004A57B3">
            <w:pPr>
              <w:rPr>
                <w:rFonts w:cs="Calibri"/>
                <w:color w:val="000000"/>
                <w:sz w:val="17"/>
                <w:szCs w:val="17"/>
              </w:rPr>
            </w:pPr>
            <w:r w:rsidRPr="007434DA">
              <w:rPr>
                <w:rFonts w:cs="Calibri"/>
                <w:color w:val="000000"/>
                <w:sz w:val="17"/>
                <w:szCs w:val="17"/>
              </w:rPr>
              <w:t>2) odhad VÚVeL 60 %</w:t>
            </w:r>
          </w:p>
        </w:tc>
      </w:tr>
      <w:tr w:rsidR="000973EA" w:rsidRPr="0005469C" w14:paraId="2A51CCAD" w14:textId="77777777" w:rsidTr="004A57B3">
        <w:trPr>
          <w:trHeight w:val="1391"/>
        </w:trPr>
        <w:tc>
          <w:tcPr>
            <w:tcW w:w="1696" w:type="dxa"/>
            <w:vMerge/>
          </w:tcPr>
          <w:p w14:paraId="5A0CCB14" w14:textId="77777777" w:rsidR="000973EA" w:rsidRPr="007434DA" w:rsidRDefault="000973EA" w:rsidP="004A57B3">
            <w:pPr>
              <w:rPr>
                <w:rFonts w:cs="Calibri"/>
                <w:color w:val="000000"/>
                <w:sz w:val="17"/>
                <w:szCs w:val="17"/>
              </w:rPr>
            </w:pPr>
          </w:p>
        </w:tc>
        <w:tc>
          <w:tcPr>
            <w:tcW w:w="994" w:type="dxa"/>
            <w:vMerge/>
          </w:tcPr>
          <w:p w14:paraId="37D7AF55" w14:textId="77777777" w:rsidR="000973EA" w:rsidRPr="007434DA" w:rsidRDefault="000973EA" w:rsidP="004A57B3">
            <w:pPr>
              <w:rPr>
                <w:rFonts w:cs="Calibri"/>
                <w:color w:val="000000"/>
                <w:sz w:val="17"/>
                <w:szCs w:val="17"/>
              </w:rPr>
            </w:pPr>
          </w:p>
        </w:tc>
        <w:tc>
          <w:tcPr>
            <w:tcW w:w="1146" w:type="dxa"/>
            <w:vMerge/>
          </w:tcPr>
          <w:p w14:paraId="686E2D63" w14:textId="77777777" w:rsidR="000973EA" w:rsidRPr="007434DA" w:rsidRDefault="000973EA" w:rsidP="004A57B3">
            <w:pPr>
              <w:rPr>
                <w:rFonts w:cs="Calibri"/>
                <w:color w:val="000000"/>
                <w:sz w:val="17"/>
                <w:szCs w:val="17"/>
              </w:rPr>
            </w:pPr>
          </w:p>
        </w:tc>
        <w:tc>
          <w:tcPr>
            <w:tcW w:w="1971" w:type="dxa"/>
            <w:vMerge/>
          </w:tcPr>
          <w:p w14:paraId="65D0232D" w14:textId="77777777" w:rsidR="000973EA" w:rsidRPr="007434DA" w:rsidRDefault="000973EA" w:rsidP="004A57B3">
            <w:pPr>
              <w:rPr>
                <w:rFonts w:cs="Calibri"/>
                <w:color w:val="000000"/>
                <w:sz w:val="17"/>
                <w:szCs w:val="17"/>
              </w:rPr>
            </w:pPr>
          </w:p>
        </w:tc>
        <w:tc>
          <w:tcPr>
            <w:tcW w:w="2268" w:type="dxa"/>
          </w:tcPr>
          <w:p w14:paraId="7CE26AFB" w14:textId="77777777" w:rsidR="000973EA" w:rsidRPr="007434DA" w:rsidRDefault="000973EA" w:rsidP="004A57B3">
            <w:pPr>
              <w:rPr>
                <w:rFonts w:cs="Calibri"/>
                <w:color w:val="000000"/>
                <w:sz w:val="17"/>
                <w:szCs w:val="17"/>
              </w:rPr>
            </w:pPr>
            <w:r w:rsidRPr="007434DA">
              <w:rPr>
                <w:rFonts w:cs="Calibri"/>
                <w:color w:val="000000"/>
                <w:sz w:val="17"/>
                <w:szCs w:val="17"/>
              </w:rPr>
              <w:t>3) Horší kondice prasnic po prvním oprasení</w:t>
            </w:r>
          </w:p>
        </w:tc>
        <w:tc>
          <w:tcPr>
            <w:tcW w:w="3969" w:type="dxa"/>
          </w:tcPr>
          <w:p w14:paraId="152F2622" w14:textId="77777777" w:rsidR="000973EA" w:rsidRPr="007434DA" w:rsidRDefault="000973EA" w:rsidP="004A57B3">
            <w:pPr>
              <w:rPr>
                <w:rFonts w:cs="Calibri"/>
                <w:color w:val="000000"/>
                <w:sz w:val="17"/>
                <w:szCs w:val="17"/>
              </w:rPr>
            </w:pPr>
            <w:r w:rsidRPr="007434DA">
              <w:rPr>
                <w:rFonts w:cs="Calibri"/>
                <w:color w:val="000000"/>
                <w:sz w:val="17"/>
                <w:szCs w:val="17"/>
              </w:rPr>
              <w:t xml:space="preserve">3) Předčasné zařazení prasniček do reprodukčního cyklu – kdy není zvolena vhodná doba prvního zapuštění (doporučuje se druhá až třetí říje). Prasničce tak není umožněno adekvátně vyspět, zhoršuje se kondice prasnic a životnost selat ve vrhu. </w:t>
            </w:r>
          </w:p>
        </w:tc>
        <w:tc>
          <w:tcPr>
            <w:tcW w:w="2315" w:type="dxa"/>
          </w:tcPr>
          <w:p w14:paraId="4CD69F12" w14:textId="77777777" w:rsidR="000973EA" w:rsidRPr="007434DA" w:rsidRDefault="000973EA" w:rsidP="004A57B3">
            <w:pPr>
              <w:rPr>
                <w:rFonts w:cstheme="minorHAnsi"/>
                <w:sz w:val="17"/>
                <w:szCs w:val="17"/>
              </w:rPr>
            </w:pPr>
            <w:r w:rsidRPr="007434DA">
              <w:rPr>
                <w:rFonts w:cstheme="minorHAnsi"/>
                <w:sz w:val="17"/>
                <w:szCs w:val="17"/>
              </w:rPr>
              <w:t>3) Pod opatřením „Zlepšení životních podmínek v chovu prasat - prasničky“ bylo v letech 2015 – 2018 zařazeno průměrně 50 % prasniček.</w:t>
            </w:r>
          </w:p>
          <w:p w14:paraId="60A162A2" w14:textId="77777777" w:rsidR="000973EA" w:rsidRPr="007434DA" w:rsidRDefault="000973EA" w:rsidP="004A57B3">
            <w:pPr>
              <w:rPr>
                <w:rFonts w:cs="Calibri"/>
                <w:color w:val="000000"/>
                <w:sz w:val="17"/>
                <w:szCs w:val="17"/>
              </w:rPr>
            </w:pPr>
          </w:p>
        </w:tc>
      </w:tr>
      <w:tr w:rsidR="000973EA" w:rsidRPr="007434DA" w14:paraId="2E96F539" w14:textId="77777777" w:rsidTr="004A57B3">
        <w:trPr>
          <w:trHeight w:val="434"/>
        </w:trPr>
        <w:tc>
          <w:tcPr>
            <w:tcW w:w="1696" w:type="dxa"/>
            <w:vMerge/>
            <w:hideMark/>
          </w:tcPr>
          <w:p w14:paraId="1F25CAF0" w14:textId="77777777" w:rsidR="000973EA" w:rsidRPr="007434DA" w:rsidRDefault="000973EA" w:rsidP="004A57B3">
            <w:pPr>
              <w:rPr>
                <w:rFonts w:cs="Calibri"/>
                <w:color w:val="000000"/>
                <w:sz w:val="17"/>
                <w:szCs w:val="17"/>
              </w:rPr>
            </w:pPr>
          </w:p>
        </w:tc>
        <w:tc>
          <w:tcPr>
            <w:tcW w:w="994" w:type="dxa"/>
            <w:vMerge/>
            <w:hideMark/>
          </w:tcPr>
          <w:p w14:paraId="07E7149C" w14:textId="77777777" w:rsidR="000973EA" w:rsidRPr="007434DA" w:rsidRDefault="000973EA" w:rsidP="004A57B3">
            <w:pPr>
              <w:rPr>
                <w:rFonts w:cs="Calibri"/>
                <w:color w:val="000000"/>
                <w:sz w:val="17"/>
                <w:szCs w:val="17"/>
              </w:rPr>
            </w:pPr>
          </w:p>
        </w:tc>
        <w:tc>
          <w:tcPr>
            <w:tcW w:w="1146" w:type="dxa"/>
            <w:vMerge/>
            <w:hideMark/>
          </w:tcPr>
          <w:p w14:paraId="470E59B9" w14:textId="77777777" w:rsidR="000973EA" w:rsidRPr="007434DA" w:rsidRDefault="000973EA" w:rsidP="004A57B3">
            <w:pPr>
              <w:rPr>
                <w:rFonts w:cs="Calibri"/>
                <w:color w:val="000000"/>
                <w:sz w:val="17"/>
                <w:szCs w:val="17"/>
              </w:rPr>
            </w:pPr>
          </w:p>
        </w:tc>
        <w:tc>
          <w:tcPr>
            <w:tcW w:w="1971" w:type="dxa"/>
            <w:vMerge/>
            <w:hideMark/>
          </w:tcPr>
          <w:p w14:paraId="0C94D8C4" w14:textId="77777777" w:rsidR="000973EA" w:rsidRPr="007434DA" w:rsidRDefault="000973EA" w:rsidP="004A57B3">
            <w:pPr>
              <w:rPr>
                <w:rFonts w:cs="Calibri"/>
                <w:color w:val="000000"/>
                <w:sz w:val="17"/>
                <w:szCs w:val="17"/>
              </w:rPr>
            </w:pPr>
          </w:p>
        </w:tc>
        <w:tc>
          <w:tcPr>
            <w:tcW w:w="2268" w:type="dxa"/>
            <w:hideMark/>
          </w:tcPr>
          <w:p w14:paraId="454C806A" w14:textId="77777777" w:rsidR="000973EA" w:rsidRPr="007434DA" w:rsidRDefault="000973EA" w:rsidP="004A57B3">
            <w:pPr>
              <w:rPr>
                <w:rFonts w:cs="Calibri"/>
                <w:color w:val="000000"/>
                <w:sz w:val="17"/>
                <w:szCs w:val="17"/>
              </w:rPr>
            </w:pPr>
            <w:r w:rsidRPr="007434DA">
              <w:rPr>
                <w:rFonts w:cs="Calibri"/>
                <w:color w:val="000000"/>
                <w:sz w:val="17"/>
                <w:szCs w:val="17"/>
              </w:rPr>
              <w:t xml:space="preserve">4) Zranění ustájených zvířat                                                                                                                          </w:t>
            </w:r>
          </w:p>
        </w:tc>
        <w:tc>
          <w:tcPr>
            <w:tcW w:w="3969" w:type="dxa"/>
            <w:hideMark/>
          </w:tcPr>
          <w:p w14:paraId="22E7389A" w14:textId="77777777" w:rsidR="000973EA" w:rsidRPr="007434DA" w:rsidRDefault="000973EA" w:rsidP="004A57B3">
            <w:pPr>
              <w:rPr>
                <w:rFonts w:cs="Calibri"/>
                <w:color w:val="000000"/>
                <w:sz w:val="17"/>
                <w:szCs w:val="17"/>
              </w:rPr>
            </w:pPr>
            <w:r w:rsidRPr="007434DA">
              <w:rPr>
                <w:rFonts w:cs="Calibri"/>
                <w:color w:val="000000"/>
                <w:sz w:val="17"/>
                <w:szCs w:val="17"/>
              </w:rPr>
              <w:t xml:space="preserve">4) Nevyhovující povrch a typ podlahy (špatný technický stav ustájení a osvětlení)                </w:t>
            </w:r>
          </w:p>
        </w:tc>
        <w:tc>
          <w:tcPr>
            <w:tcW w:w="2315" w:type="dxa"/>
            <w:hideMark/>
          </w:tcPr>
          <w:p w14:paraId="1B733A79" w14:textId="77777777" w:rsidR="000973EA" w:rsidRPr="007434DA" w:rsidRDefault="000973EA" w:rsidP="004A57B3">
            <w:pPr>
              <w:rPr>
                <w:rFonts w:cs="Calibri"/>
                <w:color w:val="000000"/>
                <w:sz w:val="17"/>
                <w:szCs w:val="17"/>
              </w:rPr>
            </w:pPr>
            <w:r w:rsidRPr="007434DA">
              <w:rPr>
                <w:rFonts w:cs="Calibri"/>
                <w:color w:val="000000"/>
                <w:sz w:val="17"/>
                <w:szCs w:val="17"/>
              </w:rPr>
              <w:t>4) odhad VÚVeL 20 %</w:t>
            </w:r>
          </w:p>
        </w:tc>
      </w:tr>
      <w:tr w:rsidR="000973EA" w:rsidRPr="007434DA" w14:paraId="49E78E96" w14:textId="77777777" w:rsidTr="004A57B3">
        <w:trPr>
          <w:trHeight w:val="1521"/>
        </w:trPr>
        <w:tc>
          <w:tcPr>
            <w:tcW w:w="1696" w:type="dxa"/>
            <w:vMerge/>
            <w:hideMark/>
          </w:tcPr>
          <w:p w14:paraId="704A4733" w14:textId="77777777" w:rsidR="000973EA" w:rsidRPr="007434DA" w:rsidRDefault="000973EA" w:rsidP="004A57B3">
            <w:pPr>
              <w:rPr>
                <w:rFonts w:cs="Calibri"/>
                <w:color w:val="000000"/>
                <w:sz w:val="17"/>
                <w:szCs w:val="17"/>
              </w:rPr>
            </w:pPr>
          </w:p>
        </w:tc>
        <w:tc>
          <w:tcPr>
            <w:tcW w:w="994" w:type="dxa"/>
            <w:vMerge/>
            <w:hideMark/>
          </w:tcPr>
          <w:p w14:paraId="6C9A51E8" w14:textId="77777777" w:rsidR="000973EA" w:rsidRPr="007434DA" w:rsidRDefault="000973EA" w:rsidP="004A57B3">
            <w:pPr>
              <w:rPr>
                <w:rFonts w:cs="Calibri"/>
                <w:color w:val="000000"/>
                <w:sz w:val="17"/>
                <w:szCs w:val="17"/>
              </w:rPr>
            </w:pPr>
          </w:p>
        </w:tc>
        <w:tc>
          <w:tcPr>
            <w:tcW w:w="1146" w:type="dxa"/>
            <w:vMerge w:val="restart"/>
            <w:hideMark/>
          </w:tcPr>
          <w:p w14:paraId="77451E26" w14:textId="77777777" w:rsidR="000973EA" w:rsidRPr="007434DA" w:rsidRDefault="000973EA" w:rsidP="004A57B3">
            <w:pPr>
              <w:rPr>
                <w:rFonts w:cs="Calibri"/>
                <w:color w:val="000000"/>
                <w:sz w:val="17"/>
                <w:szCs w:val="17"/>
              </w:rPr>
            </w:pPr>
            <w:r w:rsidRPr="007434DA">
              <w:rPr>
                <w:rFonts w:cs="Calibri"/>
                <w:color w:val="000000"/>
                <w:sz w:val="17"/>
                <w:szCs w:val="17"/>
              </w:rPr>
              <w:t>Vysokobřezí, rodící, kojící</w:t>
            </w:r>
          </w:p>
        </w:tc>
        <w:tc>
          <w:tcPr>
            <w:tcW w:w="1971" w:type="dxa"/>
            <w:vMerge w:val="restart"/>
            <w:hideMark/>
          </w:tcPr>
          <w:p w14:paraId="31A29529" w14:textId="77777777" w:rsidR="000973EA" w:rsidRPr="007434DA" w:rsidRDefault="000973EA" w:rsidP="004A57B3">
            <w:pPr>
              <w:rPr>
                <w:rFonts w:cs="Calibri"/>
                <w:color w:val="000000"/>
                <w:sz w:val="17"/>
                <w:szCs w:val="17"/>
              </w:rPr>
            </w:pPr>
            <w:r w:rsidRPr="007434DA">
              <w:rPr>
                <w:rFonts w:cs="Calibri"/>
                <w:color w:val="000000"/>
                <w:sz w:val="17"/>
                <w:szCs w:val="17"/>
              </w:rPr>
              <w:t>Porodní kotec – trvalá klec: 99 % chovů</w:t>
            </w:r>
            <w:r w:rsidRPr="007434DA">
              <w:rPr>
                <w:rFonts w:cs="Calibri"/>
                <w:color w:val="000000"/>
                <w:sz w:val="17"/>
                <w:szCs w:val="17"/>
              </w:rPr>
              <w:br/>
              <w:t>Porodní kotec – dočasná klec: 1 % chovů</w:t>
            </w:r>
          </w:p>
        </w:tc>
        <w:tc>
          <w:tcPr>
            <w:tcW w:w="2268" w:type="dxa"/>
            <w:hideMark/>
          </w:tcPr>
          <w:p w14:paraId="45411B63" w14:textId="77777777" w:rsidR="000973EA" w:rsidRPr="007434DA" w:rsidRDefault="000973EA" w:rsidP="004A57B3">
            <w:pPr>
              <w:rPr>
                <w:rFonts w:cs="Calibri"/>
                <w:color w:val="000000"/>
                <w:sz w:val="17"/>
                <w:szCs w:val="17"/>
              </w:rPr>
            </w:pPr>
            <w:r w:rsidRPr="007434DA">
              <w:rPr>
                <w:rFonts w:cs="Calibri"/>
                <w:color w:val="000000"/>
                <w:sz w:val="17"/>
                <w:szCs w:val="17"/>
              </w:rPr>
              <w:t xml:space="preserve">1) Omezení přirozených potřeb prasnice - omezení pohybu, nedostatek materiálu pro stavbu hnízda před porodem - stres, neklid;  </w:t>
            </w:r>
          </w:p>
        </w:tc>
        <w:tc>
          <w:tcPr>
            <w:tcW w:w="3969" w:type="dxa"/>
            <w:hideMark/>
          </w:tcPr>
          <w:p w14:paraId="6DC48878" w14:textId="77777777" w:rsidR="000973EA" w:rsidRPr="007434DA" w:rsidRDefault="000973EA" w:rsidP="004A57B3">
            <w:pPr>
              <w:rPr>
                <w:rFonts w:cs="Calibri"/>
                <w:color w:val="000000"/>
                <w:sz w:val="17"/>
                <w:szCs w:val="17"/>
              </w:rPr>
            </w:pPr>
            <w:r w:rsidRPr="007434DA">
              <w:rPr>
                <w:rFonts w:cs="Calibri"/>
                <w:color w:val="000000"/>
                <w:sz w:val="17"/>
                <w:szCs w:val="17"/>
              </w:rPr>
              <w:t xml:space="preserve">1) Individuální ustájení s fixací 5-10 dnů před porodem a 4 týdny po porodu (do odstavu) - důvodem je snížení ztrát selat zalehnutím. Technologie chovu vysokobřezích prasnic neumožňuje poskytnutí materiálu pro stavbu hnízda a tedy neumožňuje uspokojení přirozených potřeb prasnic </w:t>
            </w:r>
          </w:p>
        </w:tc>
        <w:tc>
          <w:tcPr>
            <w:tcW w:w="2315" w:type="dxa"/>
            <w:hideMark/>
          </w:tcPr>
          <w:p w14:paraId="27B445D4" w14:textId="77777777" w:rsidR="000973EA" w:rsidRPr="007434DA" w:rsidRDefault="000973EA" w:rsidP="004A57B3">
            <w:pPr>
              <w:rPr>
                <w:rFonts w:cs="Calibri"/>
                <w:color w:val="000000"/>
                <w:sz w:val="17"/>
                <w:szCs w:val="17"/>
              </w:rPr>
            </w:pPr>
            <w:r w:rsidRPr="007434DA">
              <w:rPr>
                <w:rFonts w:cs="Calibri"/>
                <w:color w:val="000000"/>
                <w:sz w:val="17"/>
                <w:szCs w:val="17"/>
              </w:rPr>
              <w:t>1) odhad VÚVeL 95 %</w:t>
            </w:r>
          </w:p>
        </w:tc>
      </w:tr>
      <w:tr w:rsidR="000973EA" w:rsidRPr="007434DA" w14:paraId="4C2876CA" w14:textId="77777777" w:rsidTr="004A57B3">
        <w:trPr>
          <w:trHeight w:val="667"/>
        </w:trPr>
        <w:tc>
          <w:tcPr>
            <w:tcW w:w="1696" w:type="dxa"/>
            <w:vMerge/>
            <w:hideMark/>
          </w:tcPr>
          <w:p w14:paraId="5355EFA6" w14:textId="77777777" w:rsidR="000973EA" w:rsidRPr="007434DA" w:rsidRDefault="000973EA" w:rsidP="004A57B3">
            <w:pPr>
              <w:rPr>
                <w:rFonts w:cs="Calibri"/>
                <w:color w:val="000000"/>
                <w:sz w:val="17"/>
                <w:szCs w:val="17"/>
              </w:rPr>
            </w:pPr>
          </w:p>
        </w:tc>
        <w:tc>
          <w:tcPr>
            <w:tcW w:w="994" w:type="dxa"/>
            <w:vMerge/>
            <w:hideMark/>
          </w:tcPr>
          <w:p w14:paraId="22D7A75F" w14:textId="77777777" w:rsidR="000973EA" w:rsidRPr="007434DA" w:rsidRDefault="000973EA" w:rsidP="004A57B3">
            <w:pPr>
              <w:rPr>
                <w:rFonts w:cs="Calibri"/>
                <w:color w:val="000000"/>
                <w:sz w:val="17"/>
                <w:szCs w:val="17"/>
              </w:rPr>
            </w:pPr>
          </w:p>
        </w:tc>
        <w:tc>
          <w:tcPr>
            <w:tcW w:w="1146" w:type="dxa"/>
            <w:vMerge/>
            <w:hideMark/>
          </w:tcPr>
          <w:p w14:paraId="463CA8D9" w14:textId="77777777" w:rsidR="000973EA" w:rsidRPr="007434DA" w:rsidRDefault="000973EA" w:rsidP="004A57B3">
            <w:pPr>
              <w:rPr>
                <w:rFonts w:cs="Calibri"/>
                <w:color w:val="000000"/>
                <w:sz w:val="17"/>
                <w:szCs w:val="17"/>
              </w:rPr>
            </w:pPr>
          </w:p>
        </w:tc>
        <w:tc>
          <w:tcPr>
            <w:tcW w:w="1971" w:type="dxa"/>
            <w:vMerge/>
            <w:hideMark/>
          </w:tcPr>
          <w:p w14:paraId="202675A9" w14:textId="77777777" w:rsidR="000973EA" w:rsidRPr="007434DA" w:rsidRDefault="000973EA" w:rsidP="004A57B3">
            <w:pPr>
              <w:rPr>
                <w:rFonts w:cs="Calibri"/>
                <w:color w:val="000000"/>
                <w:sz w:val="17"/>
                <w:szCs w:val="17"/>
              </w:rPr>
            </w:pPr>
          </w:p>
        </w:tc>
        <w:tc>
          <w:tcPr>
            <w:tcW w:w="2268" w:type="dxa"/>
            <w:hideMark/>
          </w:tcPr>
          <w:p w14:paraId="7E7C8C4A" w14:textId="77777777" w:rsidR="000973EA" w:rsidRPr="007434DA" w:rsidRDefault="000973EA" w:rsidP="004A57B3">
            <w:pPr>
              <w:rPr>
                <w:rFonts w:cs="Calibri"/>
                <w:color w:val="000000"/>
                <w:sz w:val="17"/>
                <w:szCs w:val="17"/>
              </w:rPr>
            </w:pPr>
            <w:r w:rsidRPr="007434DA">
              <w:rPr>
                <w:rFonts w:cs="Calibri"/>
                <w:color w:val="000000"/>
                <w:sz w:val="17"/>
                <w:szCs w:val="17"/>
              </w:rPr>
              <w:t xml:space="preserve">2) </w:t>
            </w:r>
            <w:r w:rsidRPr="007434DA">
              <w:rPr>
                <w:rFonts w:cs="Calibri"/>
                <w:sz w:val="17"/>
                <w:szCs w:val="17"/>
              </w:rPr>
              <w:t>Okusování mříží, rozvoj stereotypu - stres</w:t>
            </w:r>
          </w:p>
        </w:tc>
        <w:tc>
          <w:tcPr>
            <w:tcW w:w="3969" w:type="dxa"/>
            <w:hideMark/>
          </w:tcPr>
          <w:p w14:paraId="0B1EE00F" w14:textId="77777777" w:rsidR="000973EA" w:rsidRPr="007434DA" w:rsidRDefault="000973EA" w:rsidP="004A57B3">
            <w:pPr>
              <w:rPr>
                <w:rFonts w:cs="Calibri"/>
                <w:color w:val="000000"/>
                <w:sz w:val="17"/>
                <w:szCs w:val="17"/>
              </w:rPr>
            </w:pPr>
            <w:r w:rsidRPr="007434DA">
              <w:rPr>
                <w:rFonts w:cs="Calibri"/>
                <w:color w:val="000000"/>
                <w:sz w:val="17"/>
                <w:szCs w:val="17"/>
              </w:rPr>
              <w:t>2) Není umožněno uskutečnit přirozené vzorce chování spojené se sběrem potravy (rytí a žvýkání) – nedostatek materiálu k manipulaci</w:t>
            </w:r>
          </w:p>
        </w:tc>
        <w:tc>
          <w:tcPr>
            <w:tcW w:w="2315" w:type="dxa"/>
            <w:hideMark/>
          </w:tcPr>
          <w:p w14:paraId="3A864597" w14:textId="77777777" w:rsidR="000973EA" w:rsidRPr="007434DA" w:rsidRDefault="000973EA" w:rsidP="004A57B3">
            <w:pPr>
              <w:rPr>
                <w:rFonts w:cs="Calibri"/>
                <w:color w:val="000000"/>
                <w:sz w:val="17"/>
                <w:szCs w:val="17"/>
              </w:rPr>
            </w:pPr>
            <w:r w:rsidRPr="007434DA">
              <w:rPr>
                <w:rFonts w:cs="Calibri"/>
                <w:color w:val="000000"/>
                <w:sz w:val="17"/>
                <w:szCs w:val="17"/>
              </w:rPr>
              <w:t>2) odhad SCHP 30 %</w:t>
            </w:r>
          </w:p>
        </w:tc>
      </w:tr>
      <w:tr w:rsidR="000973EA" w:rsidRPr="0005469C" w14:paraId="1B0C5DC7" w14:textId="77777777" w:rsidTr="004A57B3">
        <w:tc>
          <w:tcPr>
            <w:tcW w:w="1696" w:type="dxa"/>
          </w:tcPr>
          <w:p w14:paraId="4762016B" w14:textId="77777777" w:rsidR="000973EA" w:rsidRPr="007434DA" w:rsidRDefault="000973EA" w:rsidP="004A57B3">
            <w:pPr>
              <w:rPr>
                <w:rFonts w:asciiTheme="minorHAnsi" w:hAnsiTheme="minorHAnsi" w:cstheme="minorHAnsi"/>
                <w:b/>
                <w:sz w:val="17"/>
                <w:szCs w:val="17"/>
              </w:rPr>
            </w:pPr>
            <w:r w:rsidRPr="007434DA">
              <w:rPr>
                <w:rFonts w:asciiTheme="minorHAnsi" w:hAnsiTheme="minorHAnsi" w:cstheme="minorHAnsi"/>
                <w:b/>
                <w:sz w:val="17"/>
                <w:szCs w:val="17"/>
              </w:rPr>
              <w:t>Prasnice</w:t>
            </w:r>
          </w:p>
        </w:tc>
        <w:tc>
          <w:tcPr>
            <w:tcW w:w="994" w:type="dxa"/>
          </w:tcPr>
          <w:p w14:paraId="15DD3E24" w14:textId="77777777" w:rsidR="000973EA" w:rsidRPr="007434DA" w:rsidRDefault="000973EA" w:rsidP="004A57B3">
            <w:pPr>
              <w:jc w:val="center"/>
              <w:rPr>
                <w:rFonts w:ascii="Arial" w:hAnsi="Arial" w:cs="Arial"/>
                <w:i/>
                <w:sz w:val="17"/>
                <w:szCs w:val="17"/>
              </w:rPr>
            </w:pPr>
            <w:r w:rsidRPr="007434DA">
              <w:rPr>
                <w:rFonts w:cs="Calibri"/>
                <w:color w:val="000000"/>
                <w:sz w:val="17"/>
                <w:szCs w:val="17"/>
              </w:rPr>
              <w:t>Stav 2017: 103 tis. ks</w:t>
            </w:r>
          </w:p>
        </w:tc>
        <w:tc>
          <w:tcPr>
            <w:tcW w:w="1146" w:type="dxa"/>
          </w:tcPr>
          <w:p w14:paraId="63A59D81" w14:textId="77777777" w:rsidR="000973EA" w:rsidRPr="007434DA" w:rsidRDefault="000973EA" w:rsidP="004A57B3">
            <w:pPr>
              <w:rPr>
                <w:rFonts w:ascii="Arial" w:hAnsi="Arial" w:cs="Arial"/>
                <w:i/>
                <w:sz w:val="17"/>
                <w:szCs w:val="17"/>
              </w:rPr>
            </w:pPr>
          </w:p>
        </w:tc>
        <w:tc>
          <w:tcPr>
            <w:tcW w:w="1971" w:type="dxa"/>
          </w:tcPr>
          <w:p w14:paraId="63984111" w14:textId="77777777" w:rsidR="000973EA" w:rsidRPr="007434DA" w:rsidRDefault="000973EA" w:rsidP="004A57B3">
            <w:pPr>
              <w:rPr>
                <w:rFonts w:ascii="Arial" w:hAnsi="Arial" w:cs="Arial"/>
                <w:i/>
                <w:sz w:val="17"/>
                <w:szCs w:val="17"/>
              </w:rPr>
            </w:pPr>
          </w:p>
        </w:tc>
        <w:tc>
          <w:tcPr>
            <w:tcW w:w="2268" w:type="dxa"/>
          </w:tcPr>
          <w:p w14:paraId="630515E5" w14:textId="77777777" w:rsidR="000973EA" w:rsidRPr="007434DA" w:rsidRDefault="000973EA" w:rsidP="004A57B3">
            <w:pPr>
              <w:rPr>
                <w:rFonts w:ascii="Arial" w:hAnsi="Arial" w:cs="Arial"/>
                <w:i/>
                <w:sz w:val="17"/>
                <w:szCs w:val="17"/>
              </w:rPr>
            </w:pPr>
            <w:r w:rsidRPr="007434DA">
              <w:rPr>
                <w:rFonts w:cs="Calibri"/>
                <w:color w:val="000000"/>
                <w:sz w:val="17"/>
                <w:szCs w:val="17"/>
              </w:rPr>
              <w:t>1) Výskyt vývojových onemocnění pohybového aparátu či poranění končetin</w:t>
            </w:r>
          </w:p>
        </w:tc>
        <w:tc>
          <w:tcPr>
            <w:tcW w:w="3969" w:type="dxa"/>
          </w:tcPr>
          <w:p w14:paraId="5525E189" w14:textId="77777777" w:rsidR="000973EA" w:rsidRPr="007434DA" w:rsidRDefault="000973EA" w:rsidP="004A57B3">
            <w:pPr>
              <w:rPr>
                <w:rFonts w:ascii="Arial" w:hAnsi="Arial" w:cs="Arial"/>
                <w:i/>
                <w:sz w:val="17"/>
                <w:szCs w:val="17"/>
              </w:rPr>
            </w:pPr>
            <w:r w:rsidRPr="007434DA">
              <w:rPr>
                <w:rFonts w:cs="Calibri"/>
                <w:color w:val="000000"/>
                <w:sz w:val="17"/>
                <w:szCs w:val="17"/>
              </w:rPr>
              <w:t>1) Příčinou onemocnění končetin a kulhání bývá přerostlá rohovina spárků. Pravidelné kontroly spárků umožňují včasné řešení problému.</w:t>
            </w:r>
          </w:p>
        </w:tc>
        <w:tc>
          <w:tcPr>
            <w:tcW w:w="2315" w:type="dxa"/>
          </w:tcPr>
          <w:p w14:paraId="294A1B77" w14:textId="77777777" w:rsidR="000973EA" w:rsidRPr="007434DA" w:rsidRDefault="000973EA" w:rsidP="004A57B3">
            <w:pPr>
              <w:rPr>
                <w:rFonts w:ascii="Arial" w:hAnsi="Arial" w:cs="Arial"/>
                <w:i/>
                <w:sz w:val="17"/>
                <w:szCs w:val="17"/>
              </w:rPr>
            </w:pPr>
            <w:r w:rsidRPr="007434DA">
              <w:rPr>
                <w:rFonts w:cs="Calibri"/>
                <w:color w:val="000000"/>
                <w:sz w:val="17"/>
                <w:szCs w:val="17"/>
              </w:rPr>
              <w:t>1) Pod opatřením „Zlepšení životních podmínek v chovu prasat -  prasnice“ bylo v letech 2015 – 2018 v průměru 74 % prasnic</w:t>
            </w:r>
          </w:p>
        </w:tc>
      </w:tr>
    </w:tbl>
    <w:p w14:paraId="2D2E84DB" w14:textId="77777777" w:rsidR="0058778A" w:rsidRPr="007434DA" w:rsidRDefault="0058778A" w:rsidP="0058778A">
      <w:pPr>
        <w:rPr>
          <w:rFonts w:cs="Times New Roman"/>
          <w:i/>
          <w:sz w:val="18"/>
          <w:szCs w:val="18"/>
          <w:lang w:val="cs-CZ"/>
        </w:rPr>
      </w:pPr>
      <w:r w:rsidRPr="007434DA">
        <w:rPr>
          <w:rFonts w:cs="Times New Roman"/>
          <w:i/>
          <w:sz w:val="18"/>
          <w:szCs w:val="18"/>
          <w:lang w:val="cs-CZ"/>
        </w:rPr>
        <w:t>Pramen: Podklady VÚŽV, odhady ÚZEI, VÚVel, SCHP</w:t>
      </w:r>
    </w:p>
    <w:p w14:paraId="6CAB859F" w14:textId="77777777" w:rsidR="0058778A" w:rsidRPr="007434DA" w:rsidRDefault="0058778A" w:rsidP="0058778A">
      <w:pPr>
        <w:rPr>
          <w:rStyle w:val="Zdraznnintenzivn"/>
          <w:rFonts w:cs="Times New Roman"/>
          <w:sz w:val="18"/>
          <w:szCs w:val="18"/>
          <w:lang w:val="cs-CZ"/>
        </w:rPr>
      </w:pPr>
      <w:r w:rsidRPr="007434DA">
        <w:rPr>
          <w:rStyle w:val="Zdraznnintenzivn"/>
          <w:rFonts w:cs="Times New Roman"/>
          <w:color w:val="auto"/>
          <w:sz w:val="18"/>
          <w:szCs w:val="18"/>
          <w:lang w:val="cs-CZ"/>
        </w:rPr>
        <w:t>Pozn.: Čísla znamenají významnost problému, nebo příčiny, když nejnižší číslo označuje nejvyšší míru závažnosti.</w:t>
      </w:r>
    </w:p>
    <w:p w14:paraId="00CB476A" w14:textId="29848E45" w:rsidR="00A94746" w:rsidRPr="007434DA" w:rsidRDefault="00A94746" w:rsidP="00AA5BA3">
      <w:pPr>
        <w:spacing w:before="120"/>
        <w:rPr>
          <w:rFonts w:cs="Times New Roman"/>
          <w:b/>
          <w:sz w:val="20"/>
          <w:szCs w:val="20"/>
          <w:lang w:val="cs-CZ"/>
        </w:rPr>
      </w:pPr>
    </w:p>
    <w:p w14:paraId="5D52B179" w14:textId="486F68F1" w:rsidR="003361B0" w:rsidRPr="007434DA" w:rsidRDefault="003361B0" w:rsidP="00AA5BA3">
      <w:pPr>
        <w:spacing w:before="120"/>
        <w:rPr>
          <w:rFonts w:cs="Times New Roman"/>
          <w:b/>
          <w:sz w:val="20"/>
          <w:szCs w:val="20"/>
          <w:lang w:val="cs-CZ"/>
        </w:rPr>
      </w:pPr>
    </w:p>
    <w:p w14:paraId="7519B44C" w14:textId="7626C423" w:rsidR="003361B0" w:rsidRPr="007434DA" w:rsidRDefault="003361B0" w:rsidP="00AA5BA3">
      <w:pPr>
        <w:spacing w:before="120"/>
        <w:rPr>
          <w:rFonts w:cs="Times New Roman"/>
          <w:b/>
          <w:sz w:val="20"/>
          <w:szCs w:val="20"/>
          <w:lang w:val="cs-CZ"/>
        </w:rPr>
      </w:pPr>
    </w:p>
    <w:p w14:paraId="483F6EB9" w14:textId="44877A5C" w:rsidR="003361B0" w:rsidRPr="007434DA" w:rsidRDefault="003361B0" w:rsidP="00AA5BA3">
      <w:pPr>
        <w:spacing w:before="120"/>
        <w:rPr>
          <w:rFonts w:cs="Times New Roman"/>
          <w:b/>
          <w:sz w:val="20"/>
          <w:szCs w:val="20"/>
          <w:lang w:val="cs-CZ"/>
        </w:rPr>
      </w:pPr>
    </w:p>
    <w:p w14:paraId="1C6DFC62" w14:textId="4277F0BA" w:rsidR="003361B0" w:rsidRPr="007434DA" w:rsidRDefault="003361B0" w:rsidP="00AA5BA3">
      <w:pPr>
        <w:spacing w:before="120"/>
        <w:rPr>
          <w:rFonts w:cs="Times New Roman"/>
          <w:b/>
          <w:sz w:val="20"/>
          <w:szCs w:val="20"/>
          <w:lang w:val="cs-CZ"/>
        </w:rPr>
      </w:pPr>
    </w:p>
    <w:p w14:paraId="0E5AE118" w14:textId="4F7A212C" w:rsidR="003361B0" w:rsidRPr="007434DA" w:rsidRDefault="003361B0" w:rsidP="00AA5BA3">
      <w:pPr>
        <w:spacing w:before="120"/>
        <w:rPr>
          <w:rFonts w:cs="Times New Roman"/>
          <w:b/>
          <w:sz w:val="20"/>
          <w:szCs w:val="20"/>
          <w:lang w:val="cs-CZ"/>
        </w:rPr>
      </w:pPr>
    </w:p>
    <w:p w14:paraId="497B62C0" w14:textId="77777777" w:rsidR="00A313FF" w:rsidRPr="007434DA" w:rsidRDefault="00A313FF" w:rsidP="00A313FF">
      <w:pPr>
        <w:spacing w:before="120"/>
        <w:rPr>
          <w:rFonts w:cs="Times New Roman"/>
          <w:i/>
          <w:sz w:val="18"/>
          <w:szCs w:val="18"/>
          <w:lang w:val="cs-CZ"/>
        </w:rPr>
      </w:pPr>
      <w:r w:rsidRPr="007434DA">
        <w:rPr>
          <w:rFonts w:cs="Times New Roman"/>
          <w:b/>
          <w:sz w:val="20"/>
          <w:szCs w:val="20"/>
          <w:lang w:val="cs-CZ"/>
        </w:rPr>
        <w:t>Příloha B.3: Chov drůbeže – identifikace hlavních problémů a jejich příčin podle jednotlivých kategorií</w:t>
      </w:r>
    </w:p>
    <w:tbl>
      <w:tblPr>
        <w:tblW w:w="14270" w:type="dxa"/>
        <w:tblInd w:w="-5" w:type="dxa"/>
        <w:tblCellMar>
          <w:left w:w="70" w:type="dxa"/>
          <w:right w:w="70" w:type="dxa"/>
        </w:tblCellMar>
        <w:tblLook w:val="04A0" w:firstRow="1" w:lastRow="0" w:firstColumn="1" w:lastColumn="0" w:noHBand="0" w:noVBand="1"/>
      </w:tblPr>
      <w:tblGrid>
        <w:gridCol w:w="900"/>
        <w:gridCol w:w="1220"/>
        <w:gridCol w:w="1548"/>
        <w:gridCol w:w="3170"/>
        <w:gridCol w:w="5916"/>
        <w:gridCol w:w="1516"/>
      </w:tblGrid>
      <w:tr w:rsidR="00A313FF" w:rsidRPr="007434DA" w14:paraId="5F48E8FB" w14:textId="77777777" w:rsidTr="004A57B3">
        <w:trPr>
          <w:trHeight w:val="864"/>
        </w:trPr>
        <w:tc>
          <w:tcPr>
            <w:tcW w:w="862" w:type="dxa"/>
            <w:tcBorders>
              <w:top w:val="single" w:sz="4" w:space="0" w:color="auto"/>
              <w:left w:val="single" w:sz="4" w:space="0" w:color="auto"/>
              <w:bottom w:val="nil"/>
              <w:right w:val="single" w:sz="4" w:space="0" w:color="auto"/>
            </w:tcBorders>
            <w:shd w:val="clear" w:color="000000" w:fill="B4C6E7"/>
            <w:vAlign w:val="center"/>
            <w:hideMark/>
          </w:tcPr>
          <w:p w14:paraId="1D8841D5" w14:textId="77777777" w:rsidR="00A313FF" w:rsidRPr="007434DA" w:rsidRDefault="00A313FF" w:rsidP="004A57B3">
            <w:pPr>
              <w:jc w:val="center"/>
              <w:rPr>
                <w:rFonts w:eastAsia="Times New Roman" w:cs="Calibri"/>
                <w:b/>
                <w:bCs/>
                <w:color w:val="000000"/>
                <w:sz w:val="18"/>
                <w:szCs w:val="18"/>
                <w:lang w:val="cs-CZ" w:eastAsia="cs-CZ"/>
              </w:rPr>
            </w:pPr>
            <w:r w:rsidRPr="007434DA">
              <w:rPr>
                <w:rFonts w:eastAsia="Times New Roman" w:cs="Calibri"/>
                <w:b/>
                <w:bCs/>
                <w:color w:val="000000"/>
                <w:sz w:val="18"/>
                <w:szCs w:val="18"/>
                <w:lang w:val="cs-CZ" w:eastAsia="cs-CZ"/>
              </w:rPr>
              <w:t>Kategorie</w:t>
            </w:r>
          </w:p>
        </w:tc>
        <w:tc>
          <w:tcPr>
            <w:tcW w:w="1208" w:type="dxa"/>
            <w:tcBorders>
              <w:top w:val="single" w:sz="4" w:space="0" w:color="auto"/>
              <w:left w:val="nil"/>
              <w:bottom w:val="nil"/>
              <w:right w:val="single" w:sz="4" w:space="0" w:color="auto"/>
            </w:tcBorders>
            <w:shd w:val="clear" w:color="000000" w:fill="B4C6E7"/>
            <w:vAlign w:val="center"/>
            <w:hideMark/>
          </w:tcPr>
          <w:p w14:paraId="0F52594E" w14:textId="77777777" w:rsidR="00A313FF" w:rsidRPr="007434DA" w:rsidRDefault="00A313FF" w:rsidP="004A57B3">
            <w:pPr>
              <w:jc w:val="center"/>
              <w:rPr>
                <w:rFonts w:eastAsia="Times New Roman" w:cs="Calibri"/>
                <w:b/>
                <w:bCs/>
                <w:color w:val="000000"/>
                <w:sz w:val="18"/>
                <w:szCs w:val="18"/>
                <w:lang w:val="cs-CZ" w:eastAsia="cs-CZ"/>
              </w:rPr>
            </w:pPr>
            <w:r w:rsidRPr="007434DA">
              <w:rPr>
                <w:rFonts w:eastAsia="Times New Roman" w:cs="Calibri"/>
                <w:b/>
                <w:bCs/>
                <w:color w:val="000000"/>
                <w:sz w:val="18"/>
                <w:szCs w:val="18"/>
                <w:lang w:val="cs-CZ" w:eastAsia="cs-CZ"/>
              </w:rPr>
              <w:t>Stavy celkem</w:t>
            </w:r>
          </w:p>
        </w:tc>
        <w:tc>
          <w:tcPr>
            <w:tcW w:w="1549" w:type="dxa"/>
            <w:tcBorders>
              <w:top w:val="single" w:sz="4" w:space="0" w:color="auto"/>
              <w:left w:val="nil"/>
              <w:bottom w:val="nil"/>
              <w:right w:val="single" w:sz="4" w:space="0" w:color="auto"/>
            </w:tcBorders>
            <w:shd w:val="clear" w:color="000000" w:fill="B4C6E7"/>
            <w:vAlign w:val="center"/>
            <w:hideMark/>
          </w:tcPr>
          <w:p w14:paraId="6538BF67" w14:textId="77777777" w:rsidR="00A313FF" w:rsidRPr="007434DA" w:rsidRDefault="00A313FF" w:rsidP="004A57B3">
            <w:pPr>
              <w:jc w:val="center"/>
              <w:rPr>
                <w:rFonts w:eastAsia="Times New Roman" w:cs="Calibri"/>
                <w:b/>
                <w:bCs/>
                <w:color w:val="000000"/>
                <w:sz w:val="18"/>
                <w:szCs w:val="18"/>
                <w:lang w:val="cs-CZ" w:eastAsia="cs-CZ"/>
              </w:rPr>
            </w:pPr>
            <w:r w:rsidRPr="007434DA">
              <w:rPr>
                <w:rFonts w:eastAsia="Times New Roman" w:cs="Calibri"/>
                <w:b/>
                <w:bCs/>
                <w:color w:val="000000"/>
                <w:sz w:val="18"/>
                <w:szCs w:val="18"/>
                <w:lang w:val="cs-CZ" w:eastAsia="cs-CZ"/>
              </w:rPr>
              <w:t>Stavy dle užitkového typu/technologie chovu</w:t>
            </w:r>
          </w:p>
        </w:tc>
        <w:tc>
          <w:tcPr>
            <w:tcW w:w="3185" w:type="dxa"/>
            <w:tcBorders>
              <w:top w:val="single" w:sz="4" w:space="0" w:color="auto"/>
              <w:left w:val="nil"/>
              <w:bottom w:val="nil"/>
              <w:right w:val="single" w:sz="4" w:space="0" w:color="auto"/>
            </w:tcBorders>
            <w:shd w:val="clear" w:color="000000" w:fill="B4C6E7"/>
            <w:vAlign w:val="center"/>
            <w:hideMark/>
          </w:tcPr>
          <w:p w14:paraId="4D13C9DA" w14:textId="77777777" w:rsidR="00A313FF" w:rsidRPr="007434DA" w:rsidRDefault="00A313FF" w:rsidP="004A57B3">
            <w:pPr>
              <w:jc w:val="center"/>
              <w:rPr>
                <w:rFonts w:eastAsia="Times New Roman" w:cs="Calibri"/>
                <w:b/>
                <w:bCs/>
                <w:color w:val="000000"/>
                <w:sz w:val="18"/>
                <w:szCs w:val="18"/>
                <w:lang w:val="cs-CZ" w:eastAsia="cs-CZ"/>
              </w:rPr>
            </w:pPr>
            <w:r w:rsidRPr="007434DA">
              <w:rPr>
                <w:rFonts w:eastAsia="Times New Roman" w:cs="Calibri"/>
                <w:b/>
                <w:bCs/>
                <w:color w:val="000000"/>
                <w:sz w:val="18"/>
                <w:szCs w:val="18"/>
                <w:lang w:val="cs-CZ" w:eastAsia="cs-CZ"/>
              </w:rPr>
              <w:t>Hlavní problémy</w:t>
            </w:r>
          </w:p>
        </w:tc>
        <w:tc>
          <w:tcPr>
            <w:tcW w:w="5950" w:type="dxa"/>
            <w:tcBorders>
              <w:top w:val="single" w:sz="4" w:space="0" w:color="auto"/>
              <w:left w:val="nil"/>
              <w:bottom w:val="nil"/>
              <w:right w:val="single" w:sz="4" w:space="0" w:color="auto"/>
            </w:tcBorders>
            <w:shd w:val="clear" w:color="000000" w:fill="B4C6E7"/>
            <w:vAlign w:val="center"/>
            <w:hideMark/>
          </w:tcPr>
          <w:p w14:paraId="0B339E91" w14:textId="77777777" w:rsidR="00A313FF" w:rsidRPr="007434DA" w:rsidRDefault="00A313FF" w:rsidP="004A57B3">
            <w:pPr>
              <w:jc w:val="center"/>
              <w:rPr>
                <w:rFonts w:eastAsia="Times New Roman" w:cs="Calibri"/>
                <w:b/>
                <w:bCs/>
                <w:color w:val="000000"/>
                <w:sz w:val="18"/>
                <w:szCs w:val="18"/>
                <w:lang w:val="cs-CZ" w:eastAsia="cs-CZ"/>
              </w:rPr>
            </w:pPr>
            <w:r w:rsidRPr="007434DA">
              <w:rPr>
                <w:rFonts w:eastAsia="Times New Roman" w:cs="Calibri"/>
                <w:b/>
                <w:bCs/>
                <w:color w:val="000000"/>
                <w:sz w:val="18"/>
                <w:szCs w:val="18"/>
                <w:lang w:val="cs-CZ" w:eastAsia="cs-CZ"/>
              </w:rPr>
              <w:t>Příčina problému</w:t>
            </w:r>
          </w:p>
        </w:tc>
        <w:tc>
          <w:tcPr>
            <w:tcW w:w="1516" w:type="dxa"/>
            <w:tcBorders>
              <w:top w:val="single" w:sz="4" w:space="0" w:color="auto"/>
              <w:left w:val="nil"/>
              <w:bottom w:val="nil"/>
              <w:right w:val="single" w:sz="4" w:space="0" w:color="auto"/>
            </w:tcBorders>
            <w:shd w:val="clear" w:color="000000" w:fill="B4C6E7"/>
            <w:vAlign w:val="center"/>
            <w:hideMark/>
          </w:tcPr>
          <w:p w14:paraId="5656E981" w14:textId="77777777" w:rsidR="00A313FF" w:rsidRPr="007434DA" w:rsidRDefault="00A313FF" w:rsidP="004A57B3">
            <w:pPr>
              <w:jc w:val="center"/>
              <w:rPr>
                <w:rFonts w:eastAsia="Times New Roman" w:cs="Calibri"/>
                <w:b/>
                <w:bCs/>
                <w:color w:val="000000"/>
                <w:sz w:val="18"/>
                <w:szCs w:val="18"/>
                <w:lang w:val="cs-CZ" w:eastAsia="cs-CZ"/>
              </w:rPr>
            </w:pPr>
            <w:r w:rsidRPr="007434DA">
              <w:rPr>
                <w:rFonts w:eastAsia="Times New Roman" w:cs="Calibri"/>
                <w:b/>
                <w:bCs/>
                <w:color w:val="000000"/>
                <w:sz w:val="18"/>
                <w:szCs w:val="18"/>
                <w:lang w:val="cs-CZ" w:eastAsia="cs-CZ"/>
              </w:rPr>
              <w:t>Dopad (podíl zasažených zvířat)</w:t>
            </w:r>
          </w:p>
        </w:tc>
      </w:tr>
      <w:tr w:rsidR="00A313FF" w:rsidRPr="007434DA" w14:paraId="17A1ED69" w14:textId="77777777" w:rsidTr="004A57B3">
        <w:trPr>
          <w:trHeight w:val="2139"/>
        </w:trPr>
        <w:tc>
          <w:tcPr>
            <w:tcW w:w="862"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B1ECD56" w14:textId="77777777" w:rsidR="00A313FF" w:rsidRPr="007434DA" w:rsidRDefault="00A313FF" w:rsidP="004A57B3">
            <w:pPr>
              <w:jc w:val="center"/>
              <w:rPr>
                <w:rFonts w:eastAsia="Times New Roman" w:cs="Calibri"/>
                <w:color w:val="000000"/>
                <w:sz w:val="18"/>
                <w:szCs w:val="18"/>
                <w:lang w:val="cs-CZ" w:eastAsia="cs-CZ"/>
              </w:rPr>
            </w:pPr>
            <w:r w:rsidRPr="007434DA">
              <w:rPr>
                <w:rFonts w:eastAsia="Times New Roman" w:cs="Calibri"/>
                <w:color w:val="000000"/>
                <w:sz w:val="18"/>
                <w:szCs w:val="18"/>
                <w:lang w:val="cs-CZ" w:eastAsia="cs-CZ"/>
              </w:rPr>
              <w:t>Nosnice</w:t>
            </w:r>
          </w:p>
        </w:tc>
        <w:tc>
          <w:tcPr>
            <w:tcW w:w="120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7B82227" w14:textId="77777777" w:rsidR="00A313FF" w:rsidRPr="007434DA" w:rsidRDefault="00A313FF" w:rsidP="004A57B3">
            <w:pPr>
              <w:jc w:val="center"/>
              <w:rPr>
                <w:rFonts w:eastAsia="Times New Roman" w:cs="Calibri"/>
                <w:color w:val="000000"/>
                <w:sz w:val="18"/>
                <w:szCs w:val="18"/>
                <w:lang w:val="cs-CZ" w:eastAsia="cs-CZ"/>
              </w:rPr>
            </w:pPr>
            <w:r w:rsidRPr="007434DA">
              <w:rPr>
                <w:rFonts w:eastAsia="Times New Roman" w:cs="Calibri"/>
                <w:color w:val="000000"/>
                <w:sz w:val="18"/>
                <w:szCs w:val="18"/>
                <w:lang w:val="cs-CZ" w:eastAsia="cs-CZ"/>
              </w:rPr>
              <w:t>Stav 2017:  4,754 mil. Ks (užitkové chovy); 2,2 mil. Ks (rozmnožovací chovy); v ekologickém režimu  15855 ks (2016)</w:t>
            </w:r>
          </w:p>
        </w:tc>
        <w:tc>
          <w:tcPr>
            <w:tcW w:w="154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E02F7B4" w14:textId="77777777" w:rsidR="00A313FF" w:rsidRPr="007434DA" w:rsidRDefault="00A313FF" w:rsidP="004A57B3">
            <w:pPr>
              <w:jc w:val="center"/>
              <w:rPr>
                <w:rFonts w:eastAsia="Times New Roman" w:cs="Calibri"/>
                <w:color w:val="000000"/>
                <w:sz w:val="18"/>
                <w:szCs w:val="18"/>
                <w:lang w:val="cs-CZ" w:eastAsia="cs-CZ"/>
              </w:rPr>
            </w:pPr>
            <w:r w:rsidRPr="007434DA">
              <w:rPr>
                <w:rFonts w:eastAsia="Times New Roman" w:cs="Calibri"/>
                <w:color w:val="000000"/>
                <w:sz w:val="18"/>
                <w:szCs w:val="18"/>
                <w:lang w:val="cs-CZ" w:eastAsia="cs-CZ"/>
              </w:rPr>
              <w:t>Obohacené bateriové klece</w:t>
            </w:r>
          </w:p>
        </w:tc>
        <w:tc>
          <w:tcPr>
            <w:tcW w:w="3185" w:type="dxa"/>
            <w:tcBorders>
              <w:top w:val="single" w:sz="4" w:space="0" w:color="auto"/>
              <w:left w:val="nil"/>
              <w:bottom w:val="single" w:sz="4" w:space="0" w:color="auto"/>
              <w:right w:val="single" w:sz="4" w:space="0" w:color="auto"/>
            </w:tcBorders>
            <w:shd w:val="clear" w:color="auto" w:fill="auto"/>
            <w:hideMark/>
          </w:tcPr>
          <w:p w14:paraId="42E57D72" w14:textId="77777777" w:rsidR="00A313FF" w:rsidRPr="007434DA" w:rsidRDefault="00A313FF" w:rsidP="004A57B3">
            <w:pPr>
              <w:rPr>
                <w:rFonts w:eastAsia="Times New Roman" w:cs="Calibri"/>
                <w:color w:val="000000"/>
                <w:sz w:val="18"/>
                <w:szCs w:val="18"/>
                <w:lang w:val="cs-CZ" w:eastAsia="cs-CZ"/>
              </w:rPr>
            </w:pPr>
            <w:r w:rsidRPr="007434DA">
              <w:rPr>
                <w:rFonts w:eastAsia="Times New Roman" w:cs="Calibri"/>
                <w:color w:val="000000"/>
                <w:sz w:val="18"/>
                <w:szCs w:val="18"/>
                <w:lang w:val="cs-CZ" w:eastAsia="cs-CZ"/>
              </w:rPr>
              <w:t>1) Snížená pevnost kostí</w:t>
            </w:r>
          </w:p>
        </w:tc>
        <w:tc>
          <w:tcPr>
            <w:tcW w:w="5950" w:type="dxa"/>
            <w:tcBorders>
              <w:top w:val="single" w:sz="4" w:space="0" w:color="auto"/>
              <w:left w:val="nil"/>
              <w:bottom w:val="single" w:sz="4" w:space="0" w:color="auto"/>
              <w:right w:val="single" w:sz="4" w:space="0" w:color="auto"/>
            </w:tcBorders>
            <w:shd w:val="clear" w:color="auto" w:fill="auto"/>
            <w:hideMark/>
          </w:tcPr>
          <w:p w14:paraId="790A5C12" w14:textId="77777777" w:rsidR="00A313FF" w:rsidRPr="007434DA" w:rsidRDefault="00A313FF" w:rsidP="004A57B3">
            <w:pPr>
              <w:rPr>
                <w:rFonts w:eastAsia="Times New Roman" w:cs="Calibri"/>
                <w:color w:val="000000"/>
                <w:sz w:val="18"/>
                <w:szCs w:val="18"/>
                <w:lang w:val="cs-CZ" w:eastAsia="cs-CZ"/>
              </w:rPr>
            </w:pPr>
            <w:r w:rsidRPr="007434DA">
              <w:rPr>
                <w:rFonts w:eastAsia="Times New Roman" w:cs="Calibri"/>
                <w:color w:val="000000"/>
                <w:sz w:val="18"/>
                <w:szCs w:val="18"/>
                <w:lang w:val="cs-CZ" w:eastAsia="cs-CZ"/>
              </w:rPr>
              <w:t>1) Nosnice v této technologii ustájení mají vysokou produkci vajec (až cca 350 ks vajec za snáškový cyklus). Vyšší lomivost kostí vzniká v důsledku ne zcela optimálního načasování krmení a také nevhodně zvolené velikosti částic vápence obsaženého v krmné dávce (krmení neprobíhá v odpoledních hodinách, kdy se tvoří skořápka tj. po 2 hodině odpolední. Tvorba skořápky je podmíněna spotřebou velkého množství vápníku, který musí být k dispozici v kostech a ve střevech. Jemný vápenec z potravy projde střevem za 2-3 hodiny. Je tedy potřeba krmit odpoledne než se zhasne a mít v potravě větší částice vápence 2-3 mm. Při tvorbě skořápky pak nedochází k nadměrnému odčerpání vápníků z kostí, oslabování kostí a zvyšování jejich lomivosti).</w:t>
            </w:r>
          </w:p>
        </w:tc>
        <w:tc>
          <w:tcPr>
            <w:tcW w:w="1516" w:type="dxa"/>
            <w:tcBorders>
              <w:top w:val="single" w:sz="4" w:space="0" w:color="auto"/>
              <w:left w:val="nil"/>
              <w:bottom w:val="single" w:sz="4" w:space="0" w:color="auto"/>
              <w:right w:val="single" w:sz="4" w:space="0" w:color="auto"/>
            </w:tcBorders>
            <w:shd w:val="clear" w:color="auto" w:fill="auto"/>
            <w:hideMark/>
          </w:tcPr>
          <w:p w14:paraId="1D7B20B1" w14:textId="77777777" w:rsidR="00A313FF" w:rsidRPr="007434DA" w:rsidRDefault="00A313FF" w:rsidP="004A57B3">
            <w:pPr>
              <w:rPr>
                <w:rFonts w:eastAsia="Times New Roman" w:cs="Calibri"/>
                <w:color w:val="000000"/>
                <w:sz w:val="18"/>
                <w:szCs w:val="18"/>
                <w:lang w:val="cs-CZ" w:eastAsia="cs-CZ"/>
              </w:rPr>
            </w:pPr>
            <w:r w:rsidRPr="007434DA">
              <w:rPr>
                <w:rFonts w:eastAsia="Times New Roman" w:cs="Calibri"/>
                <w:color w:val="000000"/>
                <w:sz w:val="18"/>
                <w:szCs w:val="18"/>
                <w:lang w:val="cs-CZ" w:eastAsia="cs-CZ"/>
              </w:rPr>
              <w:t>1) 40-50 % zvířat</w:t>
            </w:r>
          </w:p>
        </w:tc>
      </w:tr>
      <w:tr w:rsidR="00A313FF" w:rsidRPr="007434DA" w14:paraId="3F3CD779" w14:textId="77777777" w:rsidTr="004A57B3">
        <w:trPr>
          <w:trHeight w:val="452"/>
        </w:trPr>
        <w:tc>
          <w:tcPr>
            <w:tcW w:w="862" w:type="dxa"/>
            <w:vMerge/>
            <w:tcBorders>
              <w:top w:val="single" w:sz="4" w:space="0" w:color="auto"/>
              <w:left w:val="single" w:sz="4" w:space="0" w:color="auto"/>
              <w:bottom w:val="single" w:sz="4" w:space="0" w:color="000000"/>
              <w:right w:val="single" w:sz="4" w:space="0" w:color="auto"/>
            </w:tcBorders>
            <w:vAlign w:val="center"/>
            <w:hideMark/>
          </w:tcPr>
          <w:p w14:paraId="3A1D9715" w14:textId="77777777" w:rsidR="00A313FF" w:rsidRPr="007434DA" w:rsidRDefault="00A313FF" w:rsidP="004A57B3">
            <w:pPr>
              <w:rPr>
                <w:rFonts w:eastAsia="Times New Roman" w:cs="Calibri"/>
                <w:color w:val="000000"/>
                <w:sz w:val="18"/>
                <w:szCs w:val="18"/>
                <w:lang w:val="cs-CZ" w:eastAsia="cs-CZ"/>
              </w:rPr>
            </w:pPr>
          </w:p>
        </w:tc>
        <w:tc>
          <w:tcPr>
            <w:tcW w:w="1208" w:type="dxa"/>
            <w:vMerge/>
            <w:tcBorders>
              <w:top w:val="single" w:sz="4" w:space="0" w:color="auto"/>
              <w:left w:val="single" w:sz="4" w:space="0" w:color="auto"/>
              <w:bottom w:val="single" w:sz="4" w:space="0" w:color="000000"/>
              <w:right w:val="single" w:sz="4" w:space="0" w:color="auto"/>
            </w:tcBorders>
            <w:vAlign w:val="center"/>
            <w:hideMark/>
          </w:tcPr>
          <w:p w14:paraId="1C39D47A" w14:textId="77777777" w:rsidR="00A313FF" w:rsidRPr="007434DA" w:rsidRDefault="00A313FF" w:rsidP="004A57B3">
            <w:pPr>
              <w:rPr>
                <w:rFonts w:eastAsia="Times New Roman" w:cs="Calibri"/>
                <w:color w:val="000000"/>
                <w:sz w:val="18"/>
                <w:szCs w:val="18"/>
                <w:lang w:val="cs-CZ" w:eastAsia="cs-CZ"/>
              </w:rPr>
            </w:pPr>
          </w:p>
        </w:tc>
        <w:tc>
          <w:tcPr>
            <w:tcW w:w="1549" w:type="dxa"/>
            <w:vMerge/>
            <w:tcBorders>
              <w:top w:val="single" w:sz="4" w:space="0" w:color="auto"/>
              <w:left w:val="single" w:sz="4" w:space="0" w:color="auto"/>
              <w:bottom w:val="single" w:sz="4" w:space="0" w:color="000000"/>
              <w:right w:val="single" w:sz="4" w:space="0" w:color="auto"/>
            </w:tcBorders>
            <w:vAlign w:val="center"/>
            <w:hideMark/>
          </w:tcPr>
          <w:p w14:paraId="7199099C" w14:textId="77777777" w:rsidR="00A313FF" w:rsidRPr="007434DA" w:rsidRDefault="00A313FF" w:rsidP="004A57B3">
            <w:pPr>
              <w:rPr>
                <w:rFonts w:eastAsia="Times New Roman" w:cs="Calibri"/>
                <w:color w:val="000000"/>
                <w:sz w:val="18"/>
                <w:szCs w:val="18"/>
                <w:lang w:val="cs-CZ" w:eastAsia="cs-CZ"/>
              </w:rPr>
            </w:pPr>
          </w:p>
        </w:tc>
        <w:tc>
          <w:tcPr>
            <w:tcW w:w="3185" w:type="dxa"/>
            <w:tcBorders>
              <w:top w:val="nil"/>
              <w:left w:val="nil"/>
              <w:bottom w:val="single" w:sz="4" w:space="0" w:color="auto"/>
              <w:right w:val="single" w:sz="4" w:space="0" w:color="auto"/>
            </w:tcBorders>
            <w:shd w:val="clear" w:color="auto" w:fill="auto"/>
            <w:hideMark/>
          </w:tcPr>
          <w:p w14:paraId="171295D8" w14:textId="77777777" w:rsidR="00A313FF" w:rsidRPr="007434DA" w:rsidRDefault="00A313FF" w:rsidP="004A57B3">
            <w:pPr>
              <w:rPr>
                <w:rFonts w:eastAsia="Times New Roman" w:cs="Calibri"/>
                <w:color w:val="000000"/>
                <w:sz w:val="18"/>
                <w:szCs w:val="18"/>
                <w:lang w:val="cs-CZ" w:eastAsia="cs-CZ"/>
              </w:rPr>
            </w:pPr>
            <w:r w:rsidRPr="007434DA">
              <w:rPr>
                <w:rFonts w:eastAsia="Times New Roman" w:cs="Calibri"/>
                <w:color w:val="000000"/>
                <w:sz w:val="18"/>
                <w:szCs w:val="18"/>
                <w:lang w:val="cs-CZ" w:eastAsia="cs-CZ"/>
              </w:rPr>
              <w:t xml:space="preserve">2) Nosnice mají omezenou možnost pohybu, chybí přímý kontakt s vnějším prostředím. Omezený prostor klece a značný pohyb nosnic omezuje klidné hřadování. </w:t>
            </w:r>
          </w:p>
        </w:tc>
        <w:tc>
          <w:tcPr>
            <w:tcW w:w="5950" w:type="dxa"/>
            <w:tcBorders>
              <w:top w:val="nil"/>
              <w:left w:val="nil"/>
              <w:bottom w:val="single" w:sz="4" w:space="0" w:color="auto"/>
              <w:right w:val="single" w:sz="4" w:space="0" w:color="auto"/>
            </w:tcBorders>
            <w:shd w:val="clear" w:color="auto" w:fill="auto"/>
            <w:hideMark/>
          </w:tcPr>
          <w:p w14:paraId="3F0B2FCC" w14:textId="77777777" w:rsidR="00A313FF" w:rsidRPr="007434DA" w:rsidRDefault="00A313FF" w:rsidP="004A57B3">
            <w:pPr>
              <w:rPr>
                <w:rFonts w:eastAsia="Times New Roman" w:cs="Calibri"/>
                <w:color w:val="000000"/>
                <w:sz w:val="18"/>
                <w:szCs w:val="18"/>
                <w:lang w:val="cs-CZ" w:eastAsia="cs-CZ"/>
              </w:rPr>
            </w:pPr>
            <w:r w:rsidRPr="007434DA">
              <w:rPr>
                <w:rFonts w:eastAsia="Times New Roman" w:cs="Calibri"/>
                <w:color w:val="000000"/>
                <w:sz w:val="18"/>
                <w:szCs w:val="18"/>
                <w:lang w:val="cs-CZ" w:eastAsia="cs-CZ"/>
              </w:rPr>
              <w:t xml:space="preserve">2) Vyšší koncentrace zvířat a nedostupnost výběhu pro nosnice vycházející ze způsobu ustájení v halách s bateriovými klecemi. </w:t>
            </w:r>
          </w:p>
        </w:tc>
        <w:tc>
          <w:tcPr>
            <w:tcW w:w="1516" w:type="dxa"/>
            <w:tcBorders>
              <w:top w:val="nil"/>
              <w:left w:val="nil"/>
              <w:bottom w:val="single" w:sz="4" w:space="0" w:color="auto"/>
              <w:right w:val="single" w:sz="4" w:space="0" w:color="auto"/>
            </w:tcBorders>
            <w:shd w:val="clear" w:color="auto" w:fill="auto"/>
            <w:hideMark/>
          </w:tcPr>
          <w:p w14:paraId="2B358505" w14:textId="77777777" w:rsidR="00A313FF" w:rsidRPr="007434DA" w:rsidRDefault="00A313FF" w:rsidP="004A57B3">
            <w:pPr>
              <w:rPr>
                <w:rFonts w:eastAsia="Times New Roman" w:cs="Calibri"/>
                <w:color w:val="000000"/>
                <w:sz w:val="18"/>
                <w:szCs w:val="18"/>
                <w:lang w:val="cs-CZ" w:eastAsia="cs-CZ"/>
              </w:rPr>
            </w:pPr>
            <w:r w:rsidRPr="007434DA">
              <w:rPr>
                <w:rFonts w:eastAsia="Times New Roman" w:cs="Calibri"/>
                <w:color w:val="000000"/>
                <w:sz w:val="18"/>
                <w:szCs w:val="18"/>
                <w:lang w:val="cs-CZ" w:eastAsia="cs-CZ"/>
              </w:rPr>
              <w:t xml:space="preserve">2) 84 % zvířat </w:t>
            </w:r>
          </w:p>
        </w:tc>
      </w:tr>
      <w:tr w:rsidR="00A313FF" w:rsidRPr="007434DA" w14:paraId="02AC58E0" w14:textId="77777777" w:rsidTr="004A57B3">
        <w:trPr>
          <w:trHeight w:val="274"/>
        </w:trPr>
        <w:tc>
          <w:tcPr>
            <w:tcW w:w="862" w:type="dxa"/>
            <w:vMerge/>
            <w:tcBorders>
              <w:top w:val="single" w:sz="4" w:space="0" w:color="auto"/>
              <w:left w:val="single" w:sz="4" w:space="0" w:color="auto"/>
              <w:bottom w:val="single" w:sz="4" w:space="0" w:color="000000"/>
              <w:right w:val="single" w:sz="4" w:space="0" w:color="auto"/>
            </w:tcBorders>
            <w:vAlign w:val="center"/>
            <w:hideMark/>
          </w:tcPr>
          <w:p w14:paraId="1C2321D0" w14:textId="77777777" w:rsidR="00A313FF" w:rsidRPr="007434DA" w:rsidRDefault="00A313FF" w:rsidP="004A57B3">
            <w:pPr>
              <w:rPr>
                <w:rFonts w:eastAsia="Times New Roman" w:cs="Calibri"/>
                <w:color w:val="000000"/>
                <w:sz w:val="18"/>
                <w:szCs w:val="18"/>
                <w:lang w:val="cs-CZ" w:eastAsia="cs-CZ"/>
              </w:rPr>
            </w:pPr>
          </w:p>
        </w:tc>
        <w:tc>
          <w:tcPr>
            <w:tcW w:w="1208" w:type="dxa"/>
            <w:vMerge/>
            <w:tcBorders>
              <w:top w:val="single" w:sz="4" w:space="0" w:color="auto"/>
              <w:left w:val="single" w:sz="4" w:space="0" w:color="auto"/>
              <w:bottom w:val="single" w:sz="4" w:space="0" w:color="000000"/>
              <w:right w:val="single" w:sz="4" w:space="0" w:color="auto"/>
            </w:tcBorders>
            <w:vAlign w:val="center"/>
            <w:hideMark/>
          </w:tcPr>
          <w:p w14:paraId="0AD4EEC6" w14:textId="77777777" w:rsidR="00A313FF" w:rsidRPr="007434DA" w:rsidRDefault="00A313FF" w:rsidP="004A57B3">
            <w:pPr>
              <w:rPr>
                <w:rFonts w:eastAsia="Times New Roman" w:cs="Calibri"/>
                <w:color w:val="000000"/>
                <w:sz w:val="18"/>
                <w:szCs w:val="18"/>
                <w:lang w:val="cs-CZ" w:eastAsia="cs-CZ"/>
              </w:rPr>
            </w:pPr>
          </w:p>
        </w:tc>
        <w:tc>
          <w:tcPr>
            <w:tcW w:w="1549" w:type="dxa"/>
            <w:vMerge/>
            <w:tcBorders>
              <w:top w:val="single" w:sz="4" w:space="0" w:color="auto"/>
              <w:left w:val="single" w:sz="4" w:space="0" w:color="auto"/>
              <w:bottom w:val="single" w:sz="4" w:space="0" w:color="000000"/>
              <w:right w:val="single" w:sz="4" w:space="0" w:color="auto"/>
            </w:tcBorders>
            <w:vAlign w:val="center"/>
            <w:hideMark/>
          </w:tcPr>
          <w:p w14:paraId="25D8DCFA" w14:textId="77777777" w:rsidR="00A313FF" w:rsidRPr="007434DA" w:rsidRDefault="00A313FF" w:rsidP="004A57B3">
            <w:pPr>
              <w:rPr>
                <w:rFonts w:eastAsia="Times New Roman" w:cs="Calibri"/>
                <w:color w:val="000000"/>
                <w:sz w:val="18"/>
                <w:szCs w:val="18"/>
                <w:lang w:val="cs-CZ" w:eastAsia="cs-CZ"/>
              </w:rPr>
            </w:pPr>
          </w:p>
        </w:tc>
        <w:tc>
          <w:tcPr>
            <w:tcW w:w="3185" w:type="dxa"/>
            <w:tcBorders>
              <w:top w:val="nil"/>
              <w:left w:val="nil"/>
              <w:bottom w:val="single" w:sz="4" w:space="0" w:color="auto"/>
              <w:right w:val="single" w:sz="4" w:space="0" w:color="auto"/>
            </w:tcBorders>
            <w:shd w:val="clear" w:color="auto" w:fill="auto"/>
            <w:hideMark/>
          </w:tcPr>
          <w:p w14:paraId="0BA21B65" w14:textId="77777777" w:rsidR="00A313FF" w:rsidRPr="007434DA" w:rsidRDefault="00A313FF" w:rsidP="004A57B3">
            <w:pPr>
              <w:rPr>
                <w:rFonts w:eastAsia="Times New Roman" w:cs="Calibri"/>
                <w:color w:val="000000"/>
                <w:sz w:val="18"/>
                <w:szCs w:val="18"/>
                <w:lang w:val="cs-CZ" w:eastAsia="cs-CZ"/>
              </w:rPr>
            </w:pPr>
            <w:r w:rsidRPr="007434DA">
              <w:rPr>
                <w:rFonts w:eastAsia="Times New Roman" w:cs="Calibri"/>
                <w:color w:val="000000"/>
                <w:sz w:val="18"/>
                <w:szCs w:val="18"/>
                <w:lang w:val="cs-CZ" w:eastAsia="cs-CZ"/>
              </w:rPr>
              <w:t>3) Zhoršení kvality opeření na konci snáškového cyklu</w:t>
            </w:r>
          </w:p>
        </w:tc>
        <w:tc>
          <w:tcPr>
            <w:tcW w:w="5950" w:type="dxa"/>
            <w:tcBorders>
              <w:top w:val="nil"/>
              <w:left w:val="nil"/>
              <w:bottom w:val="single" w:sz="4" w:space="0" w:color="auto"/>
              <w:right w:val="single" w:sz="4" w:space="0" w:color="auto"/>
            </w:tcBorders>
            <w:shd w:val="clear" w:color="auto" w:fill="auto"/>
            <w:hideMark/>
          </w:tcPr>
          <w:p w14:paraId="6501AA7C" w14:textId="77777777" w:rsidR="00A313FF" w:rsidRPr="007434DA" w:rsidRDefault="00A313FF" w:rsidP="004A57B3">
            <w:pPr>
              <w:rPr>
                <w:rFonts w:eastAsia="Times New Roman" w:cs="Calibri"/>
                <w:color w:val="000000"/>
                <w:sz w:val="18"/>
                <w:szCs w:val="18"/>
                <w:lang w:val="cs-CZ" w:eastAsia="cs-CZ"/>
              </w:rPr>
            </w:pPr>
            <w:r w:rsidRPr="007434DA">
              <w:rPr>
                <w:rFonts w:eastAsia="Times New Roman" w:cs="Calibri"/>
                <w:color w:val="000000"/>
                <w:sz w:val="18"/>
                <w:szCs w:val="18"/>
                <w:lang w:val="cs-CZ" w:eastAsia="cs-CZ"/>
              </w:rPr>
              <w:t>3) Krmítko umístěné mimo klec - při příjmu krmiva dochází k odírání peří.</w:t>
            </w:r>
          </w:p>
        </w:tc>
        <w:tc>
          <w:tcPr>
            <w:tcW w:w="1516" w:type="dxa"/>
            <w:tcBorders>
              <w:top w:val="nil"/>
              <w:left w:val="nil"/>
              <w:bottom w:val="single" w:sz="4" w:space="0" w:color="auto"/>
              <w:right w:val="single" w:sz="4" w:space="0" w:color="auto"/>
            </w:tcBorders>
            <w:shd w:val="clear" w:color="auto" w:fill="auto"/>
            <w:hideMark/>
          </w:tcPr>
          <w:p w14:paraId="0BF64B1D" w14:textId="77777777" w:rsidR="00A313FF" w:rsidRPr="007434DA" w:rsidRDefault="00A313FF" w:rsidP="004A57B3">
            <w:pPr>
              <w:rPr>
                <w:rFonts w:eastAsia="Times New Roman" w:cs="Calibri"/>
                <w:color w:val="000000"/>
                <w:sz w:val="18"/>
                <w:szCs w:val="18"/>
                <w:lang w:val="cs-CZ" w:eastAsia="cs-CZ"/>
              </w:rPr>
            </w:pPr>
            <w:r w:rsidRPr="007434DA">
              <w:rPr>
                <w:rFonts w:eastAsia="Times New Roman" w:cs="Calibri"/>
                <w:color w:val="000000"/>
                <w:sz w:val="18"/>
                <w:szCs w:val="18"/>
                <w:lang w:val="cs-CZ" w:eastAsia="cs-CZ"/>
              </w:rPr>
              <w:t>3) 84 % zvířat</w:t>
            </w:r>
          </w:p>
        </w:tc>
      </w:tr>
      <w:tr w:rsidR="00A313FF" w:rsidRPr="007434DA" w14:paraId="6AEE7EB5" w14:textId="77777777" w:rsidTr="004A57B3">
        <w:trPr>
          <w:trHeight w:val="301"/>
        </w:trPr>
        <w:tc>
          <w:tcPr>
            <w:tcW w:w="862" w:type="dxa"/>
            <w:vMerge/>
            <w:tcBorders>
              <w:top w:val="single" w:sz="4" w:space="0" w:color="auto"/>
              <w:left w:val="single" w:sz="4" w:space="0" w:color="auto"/>
              <w:bottom w:val="single" w:sz="4" w:space="0" w:color="000000"/>
              <w:right w:val="single" w:sz="4" w:space="0" w:color="auto"/>
            </w:tcBorders>
            <w:vAlign w:val="center"/>
            <w:hideMark/>
          </w:tcPr>
          <w:p w14:paraId="28DA4BD7" w14:textId="77777777" w:rsidR="00A313FF" w:rsidRPr="007434DA" w:rsidRDefault="00A313FF" w:rsidP="004A57B3">
            <w:pPr>
              <w:rPr>
                <w:rFonts w:eastAsia="Times New Roman" w:cs="Calibri"/>
                <w:color w:val="000000"/>
                <w:sz w:val="18"/>
                <w:szCs w:val="18"/>
                <w:lang w:val="cs-CZ" w:eastAsia="cs-CZ"/>
              </w:rPr>
            </w:pPr>
          </w:p>
        </w:tc>
        <w:tc>
          <w:tcPr>
            <w:tcW w:w="1208" w:type="dxa"/>
            <w:vMerge/>
            <w:tcBorders>
              <w:top w:val="single" w:sz="4" w:space="0" w:color="auto"/>
              <w:left w:val="single" w:sz="4" w:space="0" w:color="auto"/>
              <w:bottom w:val="single" w:sz="4" w:space="0" w:color="000000"/>
              <w:right w:val="single" w:sz="4" w:space="0" w:color="auto"/>
            </w:tcBorders>
            <w:vAlign w:val="center"/>
            <w:hideMark/>
          </w:tcPr>
          <w:p w14:paraId="599C2F01" w14:textId="77777777" w:rsidR="00A313FF" w:rsidRPr="007434DA" w:rsidRDefault="00A313FF" w:rsidP="004A57B3">
            <w:pPr>
              <w:rPr>
                <w:rFonts w:eastAsia="Times New Roman" w:cs="Calibri"/>
                <w:color w:val="000000"/>
                <w:sz w:val="18"/>
                <w:szCs w:val="18"/>
                <w:lang w:val="cs-CZ" w:eastAsia="cs-CZ"/>
              </w:rPr>
            </w:pPr>
          </w:p>
        </w:tc>
        <w:tc>
          <w:tcPr>
            <w:tcW w:w="1549" w:type="dxa"/>
            <w:tcBorders>
              <w:top w:val="nil"/>
              <w:left w:val="nil"/>
              <w:bottom w:val="single" w:sz="4" w:space="0" w:color="auto"/>
              <w:right w:val="single" w:sz="4" w:space="0" w:color="auto"/>
            </w:tcBorders>
            <w:shd w:val="clear" w:color="auto" w:fill="auto"/>
            <w:vAlign w:val="center"/>
            <w:hideMark/>
          </w:tcPr>
          <w:p w14:paraId="57C4172C" w14:textId="77777777" w:rsidR="00A313FF" w:rsidRPr="007434DA" w:rsidRDefault="00A313FF" w:rsidP="004A57B3">
            <w:pPr>
              <w:jc w:val="center"/>
              <w:rPr>
                <w:rFonts w:eastAsia="Times New Roman" w:cs="Calibri"/>
                <w:color w:val="000000"/>
                <w:sz w:val="18"/>
                <w:szCs w:val="18"/>
                <w:lang w:val="cs-CZ" w:eastAsia="cs-CZ"/>
              </w:rPr>
            </w:pPr>
            <w:r w:rsidRPr="007434DA">
              <w:rPr>
                <w:rFonts w:eastAsia="Times New Roman" w:cs="Calibri"/>
                <w:color w:val="000000"/>
                <w:sz w:val="18"/>
                <w:szCs w:val="18"/>
                <w:lang w:val="cs-CZ" w:eastAsia="cs-CZ"/>
              </w:rPr>
              <w:t>Volné na hluboké podestýlce</w:t>
            </w:r>
          </w:p>
        </w:tc>
        <w:tc>
          <w:tcPr>
            <w:tcW w:w="3185" w:type="dxa"/>
            <w:tcBorders>
              <w:top w:val="nil"/>
              <w:left w:val="nil"/>
              <w:bottom w:val="single" w:sz="4" w:space="0" w:color="auto"/>
              <w:right w:val="single" w:sz="4" w:space="0" w:color="auto"/>
            </w:tcBorders>
            <w:shd w:val="clear" w:color="auto" w:fill="auto"/>
            <w:hideMark/>
          </w:tcPr>
          <w:p w14:paraId="18B9DCB6" w14:textId="77777777" w:rsidR="00A313FF" w:rsidRPr="007434DA" w:rsidRDefault="00A313FF" w:rsidP="004A57B3">
            <w:pPr>
              <w:rPr>
                <w:rFonts w:eastAsia="Times New Roman" w:cs="Calibri"/>
                <w:color w:val="000000"/>
                <w:sz w:val="18"/>
                <w:szCs w:val="18"/>
                <w:lang w:val="cs-CZ" w:eastAsia="cs-CZ"/>
              </w:rPr>
            </w:pPr>
            <w:r w:rsidRPr="007434DA">
              <w:rPr>
                <w:rFonts w:eastAsia="Times New Roman" w:cs="Calibri"/>
                <w:color w:val="000000"/>
                <w:sz w:val="18"/>
                <w:szCs w:val="18"/>
                <w:lang w:val="cs-CZ" w:eastAsia="cs-CZ"/>
              </w:rPr>
              <w:t>1) Kanibalismus</w:t>
            </w:r>
          </w:p>
        </w:tc>
        <w:tc>
          <w:tcPr>
            <w:tcW w:w="5950" w:type="dxa"/>
            <w:tcBorders>
              <w:top w:val="nil"/>
              <w:left w:val="nil"/>
              <w:bottom w:val="single" w:sz="4" w:space="0" w:color="auto"/>
              <w:right w:val="single" w:sz="4" w:space="0" w:color="auto"/>
            </w:tcBorders>
            <w:shd w:val="clear" w:color="auto" w:fill="auto"/>
            <w:hideMark/>
          </w:tcPr>
          <w:p w14:paraId="2D54F0E9" w14:textId="77777777" w:rsidR="00A313FF" w:rsidRPr="007434DA" w:rsidRDefault="00A313FF" w:rsidP="004A57B3">
            <w:pPr>
              <w:rPr>
                <w:rFonts w:eastAsia="Times New Roman" w:cs="Calibri"/>
                <w:color w:val="000000"/>
                <w:sz w:val="18"/>
                <w:szCs w:val="18"/>
                <w:lang w:val="cs-CZ" w:eastAsia="cs-CZ"/>
              </w:rPr>
            </w:pPr>
            <w:r w:rsidRPr="007434DA">
              <w:rPr>
                <w:rFonts w:eastAsia="Times New Roman" w:cs="Calibri"/>
                <w:color w:val="000000"/>
                <w:sz w:val="18"/>
                <w:szCs w:val="18"/>
                <w:lang w:val="cs-CZ" w:eastAsia="cs-CZ"/>
              </w:rPr>
              <w:t>1) Vysoký počet zvířat - hůře vytvářejí stabilní sociální vztahy</w:t>
            </w:r>
          </w:p>
        </w:tc>
        <w:tc>
          <w:tcPr>
            <w:tcW w:w="1516" w:type="dxa"/>
            <w:tcBorders>
              <w:top w:val="nil"/>
              <w:left w:val="nil"/>
              <w:bottom w:val="single" w:sz="4" w:space="0" w:color="auto"/>
              <w:right w:val="single" w:sz="4" w:space="0" w:color="auto"/>
            </w:tcBorders>
            <w:shd w:val="clear" w:color="auto" w:fill="auto"/>
            <w:noWrap/>
            <w:hideMark/>
          </w:tcPr>
          <w:p w14:paraId="2EAAD65D" w14:textId="77777777" w:rsidR="00A313FF" w:rsidRPr="007434DA" w:rsidRDefault="00A313FF" w:rsidP="004A57B3">
            <w:pPr>
              <w:rPr>
                <w:rFonts w:eastAsia="Times New Roman" w:cs="Calibri"/>
                <w:color w:val="000000"/>
                <w:sz w:val="18"/>
                <w:szCs w:val="18"/>
                <w:lang w:val="cs-CZ" w:eastAsia="cs-CZ"/>
              </w:rPr>
            </w:pPr>
            <w:r w:rsidRPr="007434DA">
              <w:rPr>
                <w:rFonts w:eastAsia="Times New Roman" w:cs="Calibri"/>
                <w:color w:val="000000"/>
                <w:sz w:val="18"/>
                <w:szCs w:val="18"/>
                <w:lang w:val="cs-CZ" w:eastAsia="cs-CZ"/>
              </w:rPr>
              <w:t>1) 20 % zvířat v 90 % chovů</w:t>
            </w:r>
          </w:p>
        </w:tc>
      </w:tr>
      <w:tr w:rsidR="00A313FF" w:rsidRPr="007434DA" w14:paraId="16114600" w14:textId="77777777" w:rsidTr="004A57B3">
        <w:trPr>
          <w:trHeight w:val="919"/>
        </w:trPr>
        <w:tc>
          <w:tcPr>
            <w:tcW w:w="862" w:type="dxa"/>
            <w:vMerge/>
            <w:tcBorders>
              <w:top w:val="single" w:sz="4" w:space="0" w:color="auto"/>
              <w:left w:val="single" w:sz="4" w:space="0" w:color="auto"/>
              <w:bottom w:val="single" w:sz="4" w:space="0" w:color="000000"/>
              <w:right w:val="single" w:sz="4" w:space="0" w:color="auto"/>
            </w:tcBorders>
            <w:vAlign w:val="center"/>
            <w:hideMark/>
          </w:tcPr>
          <w:p w14:paraId="5A7FC62F" w14:textId="77777777" w:rsidR="00A313FF" w:rsidRPr="007434DA" w:rsidRDefault="00A313FF" w:rsidP="004A57B3">
            <w:pPr>
              <w:rPr>
                <w:rFonts w:eastAsia="Times New Roman" w:cs="Calibri"/>
                <w:color w:val="000000"/>
                <w:sz w:val="18"/>
                <w:szCs w:val="18"/>
                <w:lang w:val="cs-CZ" w:eastAsia="cs-CZ"/>
              </w:rPr>
            </w:pPr>
          </w:p>
        </w:tc>
        <w:tc>
          <w:tcPr>
            <w:tcW w:w="1208" w:type="dxa"/>
            <w:vMerge/>
            <w:tcBorders>
              <w:top w:val="single" w:sz="4" w:space="0" w:color="auto"/>
              <w:left w:val="single" w:sz="4" w:space="0" w:color="auto"/>
              <w:bottom w:val="single" w:sz="4" w:space="0" w:color="000000"/>
              <w:right w:val="single" w:sz="4" w:space="0" w:color="auto"/>
            </w:tcBorders>
            <w:vAlign w:val="center"/>
            <w:hideMark/>
          </w:tcPr>
          <w:p w14:paraId="72E2F095" w14:textId="77777777" w:rsidR="00A313FF" w:rsidRPr="007434DA" w:rsidRDefault="00A313FF" w:rsidP="004A57B3">
            <w:pPr>
              <w:rPr>
                <w:rFonts w:eastAsia="Times New Roman" w:cs="Calibri"/>
                <w:color w:val="000000"/>
                <w:sz w:val="18"/>
                <w:szCs w:val="18"/>
                <w:lang w:val="cs-CZ" w:eastAsia="cs-CZ"/>
              </w:rPr>
            </w:pPr>
          </w:p>
        </w:tc>
        <w:tc>
          <w:tcPr>
            <w:tcW w:w="1549" w:type="dxa"/>
            <w:vMerge w:val="restart"/>
            <w:tcBorders>
              <w:top w:val="nil"/>
              <w:left w:val="single" w:sz="4" w:space="0" w:color="auto"/>
              <w:bottom w:val="single" w:sz="4" w:space="0" w:color="auto"/>
              <w:right w:val="single" w:sz="4" w:space="0" w:color="auto"/>
            </w:tcBorders>
            <w:shd w:val="clear" w:color="auto" w:fill="auto"/>
            <w:vAlign w:val="center"/>
            <w:hideMark/>
          </w:tcPr>
          <w:p w14:paraId="07347978" w14:textId="77777777" w:rsidR="00A313FF" w:rsidRPr="007434DA" w:rsidRDefault="00A313FF" w:rsidP="004A57B3">
            <w:pPr>
              <w:jc w:val="center"/>
              <w:rPr>
                <w:rFonts w:eastAsia="Times New Roman" w:cs="Calibri"/>
                <w:color w:val="000000"/>
                <w:sz w:val="18"/>
                <w:szCs w:val="18"/>
                <w:lang w:val="cs-CZ" w:eastAsia="cs-CZ"/>
              </w:rPr>
            </w:pPr>
            <w:r w:rsidRPr="007434DA">
              <w:rPr>
                <w:rFonts w:eastAsia="Times New Roman" w:cs="Calibri"/>
                <w:color w:val="000000"/>
                <w:sz w:val="18"/>
                <w:szCs w:val="18"/>
                <w:lang w:val="cs-CZ" w:eastAsia="cs-CZ"/>
              </w:rPr>
              <w:t>Voliéry</w:t>
            </w:r>
          </w:p>
        </w:tc>
        <w:tc>
          <w:tcPr>
            <w:tcW w:w="3185" w:type="dxa"/>
            <w:tcBorders>
              <w:top w:val="nil"/>
              <w:left w:val="nil"/>
              <w:bottom w:val="single" w:sz="4" w:space="0" w:color="auto"/>
              <w:right w:val="single" w:sz="4" w:space="0" w:color="auto"/>
            </w:tcBorders>
            <w:shd w:val="clear" w:color="auto" w:fill="auto"/>
            <w:hideMark/>
          </w:tcPr>
          <w:p w14:paraId="0324B575" w14:textId="77777777" w:rsidR="00A313FF" w:rsidRPr="007434DA" w:rsidRDefault="00A313FF" w:rsidP="004A57B3">
            <w:pPr>
              <w:rPr>
                <w:rFonts w:eastAsia="Times New Roman" w:cs="Calibri"/>
                <w:color w:val="000000"/>
                <w:sz w:val="18"/>
                <w:szCs w:val="18"/>
                <w:lang w:val="cs-CZ" w:eastAsia="cs-CZ"/>
              </w:rPr>
            </w:pPr>
            <w:r w:rsidRPr="007434DA">
              <w:rPr>
                <w:rFonts w:eastAsia="Times New Roman" w:cs="Calibri"/>
                <w:color w:val="000000"/>
                <w:sz w:val="18"/>
                <w:szCs w:val="18"/>
                <w:lang w:val="cs-CZ" w:eastAsia="cs-CZ"/>
              </w:rPr>
              <w:t>1) Rychlejší šíření infekčních onemocnění</w:t>
            </w:r>
          </w:p>
        </w:tc>
        <w:tc>
          <w:tcPr>
            <w:tcW w:w="5950" w:type="dxa"/>
            <w:tcBorders>
              <w:top w:val="nil"/>
              <w:left w:val="nil"/>
              <w:bottom w:val="single" w:sz="4" w:space="0" w:color="auto"/>
              <w:right w:val="single" w:sz="4" w:space="0" w:color="auto"/>
            </w:tcBorders>
            <w:shd w:val="clear" w:color="auto" w:fill="auto"/>
            <w:hideMark/>
          </w:tcPr>
          <w:p w14:paraId="3251FA35" w14:textId="77777777" w:rsidR="00A313FF" w:rsidRPr="007434DA" w:rsidRDefault="00A313FF" w:rsidP="004A57B3">
            <w:pPr>
              <w:rPr>
                <w:rFonts w:eastAsia="Times New Roman" w:cs="Calibri"/>
                <w:color w:val="000000"/>
                <w:sz w:val="18"/>
                <w:szCs w:val="18"/>
                <w:lang w:val="cs-CZ" w:eastAsia="cs-CZ"/>
              </w:rPr>
            </w:pPr>
            <w:r w:rsidRPr="007434DA">
              <w:rPr>
                <w:rFonts w:eastAsia="Times New Roman" w:cs="Calibri"/>
                <w:color w:val="000000"/>
                <w:sz w:val="18"/>
                <w:szCs w:val="18"/>
                <w:lang w:val="cs-CZ" w:eastAsia="cs-CZ"/>
              </w:rPr>
              <w:t>1) Šíření infekčních onemocnění díky kontaktu s trusem a volně žijícími živočichy. Ve většině chovů je pouze jeden výběh. Plocha pro volný pohyb nosnic tedy nemůže být pravidelně střídána a následně ošetřena (vápnění, desinfekce, regenerace…)</w:t>
            </w:r>
          </w:p>
        </w:tc>
        <w:tc>
          <w:tcPr>
            <w:tcW w:w="1516" w:type="dxa"/>
            <w:tcBorders>
              <w:top w:val="nil"/>
              <w:left w:val="nil"/>
              <w:bottom w:val="single" w:sz="4" w:space="0" w:color="auto"/>
              <w:right w:val="single" w:sz="4" w:space="0" w:color="auto"/>
            </w:tcBorders>
            <w:shd w:val="clear" w:color="auto" w:fill="auto"/>
            <w:noWrap/>
            <w:hideMark/>
          </w:tcPr>
          <w:p w14:paraId="0DF89FA5" w14:textId="77777777" w:rsidR="00A313FF" w:rsidRPr="007434DA" w:rsidRDefault="00A313FF" w:rsidP="004A57B3">
            <w:pPr>
              <w:rPr>
                <w:rFonts w:eastAsia="Times New Roman" w:cs="Calibri"/>
                <w:color w:val="000000"/>
                <w:sz w:val="18"/>
                <w:szCs w:val="18"/>
                <w:lang w:val="cs-CZ" w:eastAsia="cs-CZ"/>
              </w:rPr>
            </w:pPr>
            <w:r w:rsidRPr="007434DA">
              <w:rPr>
                <w:rFonts w:eastAsia="Times New Roman" w:cs="Calibri"/>
                <w:color w:val="000000"/>
                <w:sz w:val="18"/>
                <w:szCs w:val="18"/>
                <w:lang w:val="cs-CZ" w:eastAsia="cs-CZ"/>
              </w:rPr>
              <w:t>1) 40 - 50 % zvířat</w:t>
            </w:r>
          </w:p>
        </w:tc>
      </w:tr>
      <w:tr w:rsidR="00A313FF" w:rsidRPr="007434DA" w14:paraId="416CB51D" w14:textId="77777777" w:rsidTr="004A57B3">
        <w:trPr>
          <w:trHeight w:val="425"/>
        </w:trPr>
        <w:tc>
          <w:tcPr>
            <w:tcW w:w="862" w:type="dxa"/>
            <w:vMerge/>
            <w:tcBorders>
              <w:top w:val="single" w:sz="4" w:space="0" w:color="auto"/>
              <w:left w:val="single" w:sz="4" w:space="0" w:color="auto"/>
              <w:bottom w:val="single" w:sz="4" w:space="0" w:color="000000"/>
              <w:right w:val="single" w:sz="4" w:space="0" w:color="auto"/>
            </w:tcBorders>
            <w:vAlign w:val="center"/>
            <w:hideMark/>
          </w:tcPr>
          <w:p w14:paraId="2FB7254C" w14:textId="77777777" w:rsidR="00A313FF" w:rsidRPr="007434DA" w:rsidRDefault="00A313FF" w:rsidP="004A57B3">
            <w:pPr>
              <w:rPr>
                <w:rFonts w:eastAsia="Times New Roman" w:cs="Calibri"/>
                <w:color w:val="000000"/>
                <w:sz w:val="18"/>
                <w:szCs w:val="18"/>
                <w:lang w:val="cs-CZ" w:eastAsia="cs-CZ"/>
              </w:rPr>
            </w:pPr>
          </w:p>
        </w:tc>
        <w:tc>
          <w:tcPr>
            <w:tcW w:w="1208" w:type="dxa"/>
            <w:vMerge/>
            <w:tcBorders>
              <w:top w:val="single" w:sz="4" w:space="0" w:color="auto"/>
              <w:left w:val="single" w:sz="4" w:space="0" w:color="auto"/>
              <w:bottom w:val="single" w:sz="4" w:space="0" w:color="000000"/>
              <w:right w:val="single" w:sz="4" w:space="0" w:color="auto"/>
            </w:tcBorders>
            <w:vAlign w:val="center"/>
            <w:hideMark/>
          </w:tcPr>
          <w:p w14:paraId="201EB066" w14:textId="77777777" w:rsidR="00A313FF" w:rsidRPr="007434DA" w:rsidRDefault="00A313FF" w:rsidP="004A57B3">
            <w:pPr>
              <w:rPr>
                <w:rFonts w:eastAsia="Times New Roman" w:cs="Calibri"/>
                <w:color w:val="000000"/>
                <w:sz w:val="18"/>
                <w:szCs w:val="18"/>
                <w:lang w:val="cs-CZ" w:eastAsia="cs-CZ"/>
              </w:rPr>
            </w:pPr>
          </w:p>
        </w:tc>
        <w:tc>
          <w:tcPr>
            <w:tcW w:w="1549" w:type="dxa"/>
            <w:vMerge/>
            <w:tcBorders>
              <w:top w:val="nil"/>
              <w:left w:val="single" w:sz="4" w:space="0" w:color="auto"/>
              <w:bottom w:val="single" w:sz="4" w:space="0" w:color="auto"/>
              <w:right w:val="single" w:sz="4" w:space="0" w:color="auto"/>
            </w:tcBorders>
            <w:vAlign w:val="center"/>
            <w:hideMark/>
          </w:tcPr>
          <w:p w14:paraId="54620016" w14:textId="77777777" w:rsidR="00A313FF" w:rsidRPr="007434DA" w:rsidRDefault="00A313FF" w:rsidP="004A57B3">
            <w:pPr>
              <w:rPr>
                <w:rFonts w:eastAsia="Times New Roman" w:cs="Calibri"/>
                <w:color w:val="000000"/>
                <w:sz w:val="18"/>
                <w:szCs w:val="18"/>
                <w:lang w:val="cs-CZ" w:eastAsia="cs-CZ"/>
              </w:rPr>
            </w:pPr>
          </w:p>
        </w:tc>
        <w:tc>
          <w:tcPr>
            <w:tcW w:w="3185" w:type="dxa"/>
            <w:tcBorders>
              <w:top w:val="nil"/>
              <w:left w:val="nil"/>
              <w:bottom w:val="single" w:sz="4" w:space="0" w:color="auto"/>
              <w:right w:val="single" w:sz="4" w:space="0" w:color="auto"/>
            </w:tcBorders>
            <w:shd w:val="clear" w:color="auto" w:fill="auto"/>
            <w:hideMark/>
          </w:tcPr>
          <w:p w14:paraId="4EAA2D53" w14:textId="77777777" w:rsidR="00A313FF" w:rsidRPr="007434DA" w:rsidRDefault="00A313FF" w:rsidP="004A57B3">
            <w:pPr>
              <w:rPr>
                <w:rFonts w:eastAsia="Times New Roman" w:cs="Calibri"/>
                <w:color w:val="000000"/>
                <w:sz w:val="18"/>
                <w:szCs w:val="18"/>
                <w:lang w:val="cs-CZ" w:eastAsia="cs-CZ"/>
              </w:rPr>
            </w:pPr>
            <w:r w:rsidRPr="007434DA">
              <w:rPr>
                <w:rFonts w:eastAsia="Times New Roman" w:cs="Calibri"/>
                <w:color w:val="000000"/>
                <w:sz w:val="18"/>
                <w:szCs w:val="18"/>
                <w:lang w:val="cs-CZ" w:eastAsia="cs-CZ"/>
              </w:rPr>
              <w:t>2) Kanibalismus</w:t>
            </w:r>
          </w:p>
        </w:tc>
        <w:tc>
          <w:tcPr>
            <w:tcW w:w="5950" w:type="dxa"/>
            <w:tcBorders>
              <w:top w:val="nil"/>
              <w:left w:val="nil"/>
              <w:bottom w:val="single" w:sz="4" w:space="0" w:color="auto"/>
              <w:right w:val="single" w:sz="4" w:space="0" w:color="auto"/>
            </w:tcBorders>
            <w:shd w:val="clear" w:color="auto" w:fill="auto"/>
            <w:hideMark/>
          </w:tcPr>
          <w:p w14:paraId="7199A11E" w14:textId="77777777" w:rsidR="00A313FF" w:rsidRPr="007434DA" w:rsidRDefault="00A313FF" w:rsidP="004A57B3">
            <w:pPr>
              <w:rPr>
                <w:rFonts w:eastAsia="Times New Roman" w:cs="Calibri"/>
                <w:color w:val="000000"/>
                <w:sz w:val="18"/>
                <w:szCs w:val="18"/>
                <w:lang w:val="cs-CZ" w:eastAsia="cs-CZ"/>
              </w:rPr>
            </w:pPr>
            <w:r w:rsidRPr="007434DA">
              <w:rPr>
                <w:rFonts w:eastAsia="Times New Roman" w:cs="Calibri"/>
                <w:color w:val="000000"/>
                <w:sz w:val="18"/>
                <w:szCs w:val="18"/>
                <w:lang w:val="cs-CZ" w:eastAsia="cs-CZ"/>
              </w:rPr>
              <w:t>2) Vysoký počet zvířat - hůře vytvářejí stabilní sociální vztahy</w:t>
            </w:r>
          </w:p>
        </w:tc>
        <w:tc>
          <w:tcPr>
            <w:tcW w:w="1516" w:type="dxa"/>
            <w:tcBorders>
              <w:top w:val="nil"/>
              <w:left w:val="nil"/>
              <w:bottom w:val="single" w:sz="4" w:space="0" w:color="auto"/>
              <w:right w:val="single" w:sz="4" w:space="0" w:color="auto"/>
            </w:tcBorders>
            <w:shd w:val="clear" w:color="auto" w:fill="auto"/>
            <w:noWrap/>
            <w:hideMark/>
          </w:tcPr>
          <w:p w14:paraId="2DC6DF2E" w14:textId="77777777" w:rsidR="00A313FF" w:rsidRPr="007434DA" w:rsidRDefault="00A313FF" w:rsidP="004A57B3">
            <w:pPr>
              <w:rPr>
                <w:rFonts w:eastAsia="Times New Roman" w:cs="Calibri"/>
                <w:color w:val="000000"/>
                <w:sz w:val="18"/>
                <w:szCs w:val="18"/>
                <w:lang w:val="cs-CZ" w:eastAsia="cs-CZ"/>
              </w:rPr>
            </w:pPr>
            <w:r w:rsidRPr="007434DA">
              <w:rPr>
                <w:rFonts w:eastAsia="Times New Roman" w:cs="Calibri"/>
                <w:color w:val="000000"/>
                <w:sz w:val="18"/>
                <w:szCs w:val="18"/>
                <w:lang w:val="cs-CZ" w:eastAsia="cs-CZ"/>
              </w:rPr>
              <w:t>2) 20 % zvířat v 90 % chovů</w:t>
            </w:r>
          </w:p>
        </w:tc>
      </w:tr>
    </w:tbl>
    <w:p w14:paraId="1B576B74" w14:textId="03C20C26" w:rsidR="003361B0" w:rsidRPr="007434DA" w:rsidRDefault="003361B0" w:rsidP="00AA5BA3">
      <w:pPr>
        <w:spacing w:before="120"/>
        <w:rPr>
          <w:rFonts w:cs="Times New Roman"/>
          <w:b/>
          <w:sz w:val="20"/>
          <w:szCs w:val="20"/>
          <w:lang w:val="cs-CZ"/>
        </w:rPr>
      </w:pPr>
    </w:p>
    <w:p w14:paraId="4658BA76" w14:textId="54F62499" w:rsidR="003361B0" w:rsidRPr="007434DA" w:rsidRDefault="003361B0" w:rsidP="00AA5BA3">
      <w:pPr>
        <w:spacing w:before="120"/>
        <w:rPr>
          <w:rFonts w:cs="Times New Roman"/>
          <w:b/>
          <w:sz w:val="20"/>
          <w:szCs w:val="20"/>
          <w:lang w:val="cs-CZ"/>
        </w:rPr>
      </w:pPr>
    </w:p>
    <w:p w14:paraId="01E6D25C" w14:textId="0F20BF8F" w:rsidR="003361B0" w:rsidRPr="007434DA" w:rsidRDefault="003361B0" w:rsidP="00AA5BA3">
      <w:pPr>
        <w:spacing w:before="120"/>
        <w:rPr>
          <w:rFonts w:cs="Times New Roman"/>
          <w:b/>
          <w:sz w:val="20"/>
          <w:szCs w:val="20"/>
          <w:lang w:val="cs-CZ"/>
        </w:rPr>
      </w:pPr>
    </w:p>
    <w:p w14:paraId="766183E6" w14:textId="27ABDCA2" w:rsidR="003361B0" w:rsidRPr="007434DA" w:rsidRDefault="003361B0" w:rsidP="00AA5BA3">
      <w:pPr>
        <w:spacing w:before="120"/>
        <w:rPr>
          <w:rFonts w:cs="Times New Roman"/>
          <w:b/>
          <w:sz w:val="20"/>
          <w:szCs w:val="20"/>
          <w:lang w:val="cs-CZ"/>
        </w:rPr>
      </w:pPr>
    </w:p>
    <w:p w14:paraId="073C06C6" w14:textId="24DC9E31" w:rsidR="008C3DEB" w:rsidRPr="007434DA" w:rsidRDefault="008C3DEB" w:rsidP="00AA5BA3">
      <w:pPr>
        <w:spacing w:before="120"/>
        <w:rPr>
          <w:rFonts w:cs="Times New Roman"/>
          <w:b/>
          <w:sz w:val="20"/>
          <w:szCs w:val="20"/>
          <w:lang w:val="cs-CZ"/>
        </w:rPr>
      </w:pPr>
    </w:p>
    <w:p w14:paraId="3EAD837C" w14:textId="219A030A" w:rsidR="008C3DEB" w:rsidRPr="007434DA" w:rsidRDefault="008C3DEB" w:rsidP="00AA5BA3">
      <w:pPr>
        <w:spacing w:before="120"/>
        <w:rPr>
          <w:rFonts w:cs="Times New Roman"/>
          <w:b/>
          <w:sz w:val="20"/>
          <w:szCs w:val="20"/>
          <w:lang w:val="cs-CZ"/>
        </w:rPr>
      </w:pPr>
    </w:p>
    <w:tbl>
      <w:tblPr>
        <w:tblW w:w="14270" w:type="dxa"/>
        <w:tblInd w:w="-5" w:type="dxa"/>
        <w:tblCellMar>
          <w:left w:w="70" w:type="dxa"/>
          <w:right w:w="70" w:type="dxa"/>
        </w:tblCellMar>
        <w:tblLook w:val="04A0" w:firstRow="1" w:lastRow="0" w:firstColumn="1" w:lastColumn="0" w:noHBand="0" w:noVBand="1"/>
      </w:tblPr>
      <w:tblGrid>
        <w:gridCol w:w="900"/>
        <w:gridCol w:w="1189"/>
        <w:gridCol w:w="1530"/>
        <w:gridCol w:w="2902"/>
        <w:gridCol w:w="6233"/>
        <w:gridCol w:w="1516"/>
      </w:tblGrid>
      <w:tr w:rsidR="007A4B1F" w:rsidRPr="007434DA" w14:paraId="0132A147" w14:textId="77777777" w:rsidTr="007D174B">
        <w:trPr>
          <w:trHeight w:val="552"/>
        </w:trPr>
        <w:tc>
          <w:tcPr>
            <w:tcW w:w="900" w:type="dxa"/>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tcPr>
          <w:p w14:paraId="324E66A3" w14:textId="77777777" w:rsidR="007A4B1F" w:rsidRPr="007434DA" w:rsidRDefault="007A4B1F" w:rsidP="004A57B3">
            <w:pPr>
              <w:rPr>
                <w:rFonts w:eastAsia="Times New Roman" w:cs="Calibri"/>
                <w:b/>
                <w:color w:val="000000"/>
                <w:sz w:val="18"/>
                <w:szCs w:val="18"/>
                <w:lang w:val="cs-CZ" w:eastAsia="cs-CZ"/>
              </w:rPr>
            </w:pPr>
            <w:r w:rsidRPr="007434DA">
              <w:rPr>
                <w:rFonts w:eastAsia="Times New Roman" w:cs="Calibri"/>
                <w:b/>
                <w:color w:val="000000"/>
                <w:sz w:val="18"/>
                <w:szCs w:val="18"/>
                <w:lang w:val="cs-CZ" w:eastAsia="cs-CZ"/>
              </w:rPr>
              <w:t>Kategorie</w:t>
            </w:r>
          </w:p>
        </w:tc>
        <w:tc>
          <w:tcPr>
            <w:tcW w:w="1189" w:type="dxa"/>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tcPr>
          <w:p w14:paraId="04C44732" w14:textId="77777777" w:rsidR="007A4B1F" w:rsidRPr="007434DA" w:rsidRDefault="007A4B1F" w:rsidP="004A57B3">
            <w:pPr>
              <w:jc w:val="center"/>
              <w:rPr>
                <w:rFonts w:eastAsia="Times New Roman" w:cs="Calibri"/>
                <w:color w:val="000000"/>
                <w:sz w:val="18"/>
                <w:szCs w:val="18"/>
                <w:lang w:val="cs-CZ" w:eastAsia="cs-CZ"/>
              </w:rPr>
            </w:pPr>
            <w:r w:rsidRPr="007434DA">
              <w:rPr>
                <w:rFonts w:eastAsia="Times New Roman" w:cs="Calibri"/>
                <w:b/>
                <w:bCs/>
                <w:color w:val="000000"/>
                <w:sz w:val="18"/>
                <w:szCs w:val="18"/>
                <w:lang w:val="cs-CZ" w:eastAsia="cs-CZ"/>
              </w:rPr>
              <w:t>Stavy celkem</w:t>
            </w:r>
          </w:p>
        </w:tc>
        <w:tc>
          <w:tcPr>
            <w:tcW w:w="1530" w:type="dxa"/>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tcPr>
          <w:p w14:paraId="78EC03AE" w14:textId="77777777" w:rsidR="007A4B1F" w:rsidRPr="007434DA" w:rsidRDefault="007A4B1F" w:rsidP="004A57B3">
            <w:pPr>
              <w:jc w:val="center"/>
              <w:rPr>
                <w:rFonts w:eastAsia="Times New Roman" w:cs="Calibri"/>
                <w:color w:val="000000"/>
                <w:sz w:val="18"/>
                <w:szCs w:val="18"/>
                <w:lang w:val="cs-CZ" w:eastAsia="cs-CZ"/>
              </w:rPr>
            </w:pPr>
            <w:r w:rsidRPr="007434DA">
              <w:rPr>
                <w:rFonts w:eastAsia="Times New Roman" w:cs="Calibri"/>
                <w:b/>
                <w:bCs/>
                <w:color w:val="000000"/>
                <w:sz w:val="18"/>
                <w:szCs w:val="18"/>
                <w:lang w:val="cs-CZ" w:eastAsia="cs-CZ"/>
              </w:rPr>
              <w:t>Stavy dle užitkového typu/technologie chovu</w:t>
            </w:r>
          </w:p>
        </w:tc>
        <w:tc>
          <w:tcPr>
            <w:tcW w:w="2902" w:type="dxa"/>
            <w:tcBorders>
              <w:top w:val="single" w:sz="4" w:space="0" w:color="auto"/>
              <w:left w:val="nil"/>
              <w:bottom w:val="single" w:sz="4" w:space="0" w:color="auto"/>
              <w:right w:val="single" w:sz="4" w:space="0" w:color="auto"/>
            </w:tcBorders>
            <w:shd w:val="clear" w:color="auto" w:fill="BDD6EE" w:themeFill="accent5" w:themeFillTint="66"/>
            <w:vAlign w:val="center"/>
          </w:tcPr>
          <w:p w14:paraId="11562519" w14:textId="77777777" w:rsidR="007A4B1F" w:rsidRPr="007434DA" w:rsidRDefault="007A4B1F" w:rsidP="004A57B3">
            <w:pPr>
              <w:rPr>
                <w:rFonts w:eastAsia="Times New Roman" w:cs="Calibri"/>
                <w:color w:val="000000"/>
                <w:sz w:val="18"/>
                <w:szCs w:val="18"/>
                <w:lang w:val="cs-CZ" w:eastAsia="cs-CZ"/>
              </w:rPr>
            </w:pPr>
            <w:r w:rsidRPr="007434DA">
              <w:rPr>
                <w:rFonts w:eastAsia="Times New Roman" w:cs="Calibri"/>
                <w:b/>
                <w:bCs/>
                <w:color w:val="000000"/>
                <w:sz w:val="18"/>
                <w:szCs w:val="18"/>
                <w:lang w:val="cs-CZ" w:eastAsia="cs-CZ"/>
              </w:rPr>
              <w:t>Hlavní problémy</w:t>
            </w:r>
          </w:p>
        </w:tc>
        <w:tc>
          <w:tcPr>
            <w:tcW w:w="6233" w:type="dxa"/>
            <w:tcBorders>
              <w:top w:val="single" w:sz="4" w:space="0" w:color="auto"/>
              <w:left w:val="nil"/>
              <w:bottom w:val="single" w:sz="4" w:space="0" w:color="auto"/>
              <w:right w:val="single" w:sz="4" w:space="0" w:color="auto"/>
            </w:tcBorders>
            <w:shd w:val="clear" w:color="auto" w:fill="BDD6EE" w:themeFill="accent5" w:themeFillTint="66"/>
            <w:vAlign w:val="center"/>
          </w:tcPr>
          <w:p w14:paraId="30D9DF5D" w14:textId="77777777" w:rsidR="007A4B1F" w:rsidRPr="007434DA" w:rsidRDefault="007A4B1F" w:rsidP="004A57B3">
            <w:pPr>
              <w:rPr>
                <w:rFonts w:eastAsia="Times New Roman" w:cs="Calibri"/>
                <w:color w:val="000000"/>
                <w:sz w:val="18"/>
                <w:szCs w:val="18"/>
                <w:lang w:val="cs-CZ" w:eastAsia="cs-CZ"/>
              </w:rPr>
            </w:pPr>
            <w:r w:rsidRPr="007434DA">
              <w:rPr>
                <w:rFonts w:eastAsia="Times New Roman" w:cs="Calibri"/>
                <w:b/>
                <w:bCs/>
                <w:color w:val="000000"/>
                <w:sz w:val="18"/>
                <w:szCs w:val="18"/>
                <w:lang w:val="cs-CZ" w:eastAsia="cs-CZ"/>
              </w:rPr>
              <w:t>Příčina problému</w:t>
            </w:r>
          </w:p>
        </w:tc>
        <w:tc>
          <w:tcPr>
            <w:tcW w:w="1516" w:type="dxa"/>
            <w:tcBorders>
              <w:top w:val="single" w:sz="4" w:space="0" w:color="auto"/>
              <w:left w:val="nil"/>
              <w:bottom w:val="single" w:sz="4" w:space="0" w:color="auto"/>
              <w:right w:val="single" w:sz="4" w:space="0" w:color="auto"/>
            </w:tcBorders>
            <w:shd w:val="clear" w:color="auto" w:fill="BDD6EE" w:themeFill="accent5" w:themeFillTint="66"/>
            <w:noWrap/>
            <w:vAlign w:val="center"/>
          </w:tcPr>
          <w:p w14:paraId="315ABDDD" w14:textId="77777777" w:rsidR="007A4B1F" w:rsidRPr="007434DA" w:rsidRDefault="007A4B1F" w:rsidP="004A57B3">
            <w:pPr>
              <w:rPr>
                <w:rFonts w:eastAsia="Times New Roman" w:cs="Calibri"/>
                <w:color w:val="000000"/>
                <w:sz w:val="18"/>
                <w:szCs w:val="18"/>
                <w:lang w:val="cs-CZ" w:eastAsia="cs-CZ"/>
              </w:rPr>
            </w:pPr>
            <w:r w:rsidRPr="007434DA">
              <w:rPr>
                <w:rFonts w:eastAsia="Times New Roman" w:cs="Calibri"/>
                <w:b/>
                <w:bCs/>
                <w:color w:val="000000"/>
                <w:sz w:val="18"/>
                <w:szCs w:val="18"/>
                <w:lang w:val="cs-CZ" w:eastAsia="cs-CZ"/>
              </w:rPr>
              <w:t>Dopad (podíl zasažených zvířat)</w:t>
            </w:r>
          </w:p>
        </w:tc>
      </w:tr>
      <w:tr w:rsidR="007A4B1F" w:rsidRPr="007434DA" w14:paraId="10BA9A12" w14:textId="77777777" w:rsidTr="007D174B">
        <w:trPr>
          <w:trHeight w:val="233"/>
        </w:trPr>
        <w:tc>
          <w:tcPr>
            <w:tcW w:w="900" w:type="dxa"/>
            <w:vMerge w:val="restart"/>
            <w:tcBorders>
              <w:top w:val="nil"/>
              <w:left w:val="single" w:sz="4" w:space="0" w:color="auto"/>
              <w:bottom w:val="single" w:sz="4" w:space="0" w:color="auto"/>
              <w:right w:val="single" w:sz="4" w:space="0" w:color="auto"/>
            </w:tcBorders>
            <w:shd w:val="clear" w:color="auto" w:fill="auto"/>
            <w:vAlign w:val="center"/>
            <w:hideMark/>
          </w:tcPr>
          <w:p w14:paraId="0E61DA0B" w14:textId="77777777" w:rsidR="007A4B1F" w:rsidRPr="007434DA" w:rsidRDefault="007A4B1F" w:rsidP="004A57B3">
            <w:pPr>
              <w:rPr>
                <w:rFonts w:eastAsia="Times New Roman" w:cs="Calibri"/>
                <w:color w:val="000000"/>
                <w:sz w:val="18"/>
                <w:szCs w:val="18"/>
                <w:lang w:val="cs-CZ" w:eastAsia="cs-CZ"/>
              </w:rPr>
            </w:pPr>
            <w:r w:rsidRPr="007434DA">
              <w:rPr>
                <w:rFonts w:eastAsia="Times New Roman" w:cs="Calibri"/>
                <w:color w:val="000000"/>
                <w:sz w:val="18"/>
                <w:szCs w:val="18"/>
                <w:lang w:val="cs-CZ" w:eastAsia="cs-CZ"/>
              </w:rPr>
              <w:t>Kuřice</w:t>
            </w:r>
          </w:p>
        </w:tc>
        <w:tc>
          <w:tcPr>
            <w:tcW w:w="1189" w:type="dxa"/>
            <w:vMerge w:val="restart"/>
            <w:tcBorders>
              <w:top w:val="nil"/>
              <w:left w:val="single" w:sz="4" w:space="0" w:color="auto"/>
              <w:bottom w:val="single" w:sz="4" w:space="0" w:color="auto"/>
              <w:right w:val="single" w:sz="4" w:space="0" w:color="auto"/>
            </w:tcBorders>
            <w:shd w:val="clear" w:color="auto" w:fill="auto"/>
            <w:vAlign w:val="center"/>
            <w:hideMark/>
          </w:tcPr>
          <w:p w14:paraId="5AF682C8" w14:textId="77777777" w:rsidR="007A4B1F" w:rsidRPr="007434DA" w:rsidRDefault="007A4B1F" w:rsidP="004A57B3">
            <w:pPr>
              <w:jc w:val="center"/>
              <w:rPr>
                <w:rFonts w:eastAsia="Times New Roman" w:cs="Calibri"/>
                <w:color w:val="000000"/>
                <w:sz w:val="18"/>
                <w:szCs w:val="18"/>
                <w:lang w:val="cs-CZ" w:eastAsia="cs-CZ"/>
              </w:rPr>
            </w:pPr>
            <w:r w:rsidRPr="007434DA">
              <w:rPr>
                <w:rFonts w:eastAsia="Times New Roman" w:cs="Calibri"/>
                <w:color w:val="000000"/>
                <w:sz w:val="18"/>
                <w:szCs w:val="18"/>
                <w:lang w:val="cs-CZ" w:eastAsia="cs-CZ"/>
              </w:rPr>
              <w:t>Stav: 8 mil. ks; z toho nosné 5,8 mil. ks;</w:t>
            </w:r>
          </w:p>
        </w:tc>
        <w:tc>
          <w:tcPr>
            <w:tcW w:w="1530" w:type="dxa"/>
            <w:vMerge w:val="restart"/>
            <w:tcBorders>
              <w:top w:val="nil"/>
              <w:left w:val="single" w:sz="4" w:space="0" w:color="auto"/>
              <w:bottom w:val="single" w:sz="4" w:space="0" w:color="auto"/>
              <w:right w:val="single" w:sz="4" w:space="0" w:color="auto"/>
            </w:tcBorders>
            <w:shd w:val="clear" w:color="auto" w:fill="auto"/>
            <w:vAlign w:val="center"/>
            <w:hideMark/>
          </w:tcPr>
          <w:p w14:paraId="3E040D22" w14:textId="77777777" w:rsidR="007A4B1F" w:rsidRPr="007434DA" w:rsidRDefault="007A4B1F" w:rsidP="004A57B3">
            <w:pPr>
              <w:jc w:val="center"/>
              <w:rPr>
                <w:rFonts w:eastAsia="Times New Roman" w:cs="Calibri"/>
                <w:color w:val="000000"/>
                <w:sz w:val="18"/>
                <w:szCs w:val="18"/>
                <w:lang w:val="cs-CZ" w:eastAsia="cs-CZ"/>
              </w:rPr>
            </w:pPr>
            <w:r w:rsidRPr="007434DA">
              <w:rPr>
                <w:rFonts w:eastAsia="Times New Roman" w:cs="Calibri"/>
                <w:color w:val="000000"/>
                <w:sz w:val="18"/>
                <w:szCs w:val="18"/>
                <w:lang w:val="cs-CZ" w:eastAsia="cs-CZ"/>
              </w:rPr>
              <w:t>Rozmnožovací chovy - masné</w:t>
            </w:r>
          </w:p>
        </w:tc>
        <w:tc>
          <w:tcPr>
            <w:tcW w:w="2902" w:type="dxa"/>
            <w:tcBorders>
              <w:top w:val="nil"/>
              <w:left w:val="nil"/>
              <w:bottom w:val="single" w:sz="4" w:space="0" w:color="auto"/>
              <w:right w:val="single" w:sz="4" w:space="0" w:color="auto"/>
            </w:tcBorders>
            <w:shd w:val="clear" w:color="auto" w:fill="auto"/>
            <w:hideMark/>
          </w:tcPr>
          <w:p w14:paraId="3C78A4AC" w14:textId="77777777" w:rsidR="007A4B1F" w:rsidRPr="007434DA" w:rsidRDefault="007A4B1F" w:rsidP="004A57B3">
            <w:pPr>
              <w:rPr>
                <w:rFonts w:eastAsia="Times New Roman" w:cs="Calibri"/>
                <w:color w:val="000000"/>
                <w:sz w:val="18"/>
                <w:szCs w:val="18"/>
                <w:lang w:val="cs-CZ" w:eastAsia="cs-CZ"/>
              </w:rPr>
            </w:pPr>
            <w:r w:rsidRPr="007434DA">
              <w:rPr>
                <w:rFonts w:eastAsia="Times New Roman" w:cs="Calibri"/>
                <w:color w:val="000000"/>
                <w:sz w:val="18"/>
                <w:szCs w:val="18"/>
                <w:lang w:val="cs-CZ" w:eastAsia="cs-CZ"/>
              </w:rPr>
              <w:t>1) Kanibalismus</w:t>
            </w:r>
          </w:p>
        </w:tc>
        <w:tc>
          <w:tcPr>
            <w:tcW w:w="6233" w:type="dxa"/>
            <w:tcBorders>
              <w:top w:val="nil"/>
              <w:left w:val="nil"/>
              <w:bottom w:val="single" w:sz="4" w:space="0" w:color="auto"/>
              <w:right w:val="single" w:sz="4" w:space="0" w:color="auto"/>
            </w:tcBorders>
            <w:shd w:val="clear" w:color="auto" w:fill="auto"/>
            <w:hideMark/>
          </w:tcPr>
          <w:p w14:paraId="7B5233B8" w14:textId="77777777" w:rsidR="007A4B1F" w:rsidRPr="007434DA" w:rsidRDefault="007A4B1F" w:rsidP="004A57B3">
            <w:pPr>
              <w:rPr>
                <w:rFonts w:eastAsia="Times New Roman" w:cs="Calibri"/>
                <w:color w:val="000000"/>
                <w:sz w:val="18"/>
                <w:szCs w:val="18"/>
                <w:lang w:val="cs-CZ" w:eastAsia="cs-CZ"/>
              </w:rPr>
            </w:pPr>
            <w:r w:rsidRPr="007434DA">
              <w:rPr>
                <w:rFonts w:eastAsia="Times New Roman" w:cs="Calibri"/>
                <w:color w:val="000000"/>
                <w:sz w:val="18"/>
                <w:szCs w:val="18"/>
                <w:lang w:val="cs-CZ" w:eastAsia="cs-CZ"/>
              </w:rPr>
              <w:t>1) Vysoký počet zvířat - hůře vytvářejí stabilní sociální vztahy</w:t>
            </w:r>
          </w:p>
        </w:tc>
        <w:tc>
          <w:tcPr>
            <w:tcW w:w="1516" w:type="dxa"/>
            <w:tcBorders>
              <w:top w:val="nil"/>
              <w:left w:val="nil"/>
              <w:bottom w:val="single" w:sz="4" w:space="0" w:color="auto"/>
              <w:right w:val="single" w:sz="4" w:space="0" w:color="auto"/>
            </w:tcBorders>
            <w:shd w:val="clear" w:color="auto" w:fill="auto"/>
            <w:noWrap/>
            <w:hideMark/>
          </w:tcPr>
          <w:p w14:paraId="1B9726DD" w14:textId="77777777" w:rsidR="007A4B1F" w:rsidRPr="007434DA" w:rsidRDefault="007A4B1F" w:rsidP="004A57B3">
            <w:pPr>
              <w:rPr>
                <w:rFonts w:eastAsia="Times New Roman" w:cs="Calibri"/>
                <w:color w:val="000000"/>
                <w:sz w:val="18"/>
                <w:szCs w:val="18"/>
                <w:lang w:val="cs-CZ" w:eastAsia="cs-CZ"/>
              </w:rPr>
            </w:pPr>
            <w:r w:rsidRPr="007434DA">
              <w:rPr>
                <w:rFonts w:eastAsia="Times New Roman" w:cs="Calibri"/>
                <w:color w:val="000000"/>
                <w:sz w:val="18"/>
                <w:szCs w:val="18"/>
                <w:lang w:val="cs-CZ" w:eastAsia="cs-CZ"/>
              </w:rPr>
              <w:t>1) 20 % zvířat v 90 % chovů</w:t>
            </w:r>
          </w:p>
        </w:tc>
      </w:tr>
      <w:tr w:rsidR="007A4B1F" w:rsidRPr="007434DA" w14:paraId="24651F40" w14:textId="77777777" w:rsidTr="007D174B">
        <w:trPr>
          <w:trHeight w:val="864"/>
        </w:trPr>
        <w:tc>
          <w:tcPr>
            <w:tcW w:w="900" w:type="dxa"/>
            <w:vMerge/>
            <w:tcBorders>
              <w:top w:val="nil"/>
              <w:left w:val="single" w:sz="4" w:space="0" w:color="auto"/>
              <w:bottom w:val="single" w:sz="4" w:space="0" w:color="auto"/>
              <w:right w:val="single" w:sz="4" w:space="0" w:color="auto"/>
            </w:tcBorders>
            <w:vAlign w:val="center"/>
            <w:hideMark/>
          </w:tcPr>
          <w:p w14:paraId="61B55757" w14:textId="77777777" w:rsidR="007A4B1F" w:rsidRPr="007434DA" w:rsidRDefault="007A4B1F" w:rsidP="004A57B3">
            <w:pPr>
              <w:rPr>
                <w:rFonts w:eastAsia="Times New Roman" w:cs="Calibri"/>
                <w:color w:val="000000"/>
                <w:sz w:val="18"/>
                <w:szCs w:val="18"/>
                <w:lang w:val="cs-CZ" w:eastAsia="cs-CZ"/>
              </w:rPr>
            </w:pPr>
          </w:p>
        </w:tc>
        <w:tc>
          <w:tcPr>
            <w:tcW w:w="1189" w:type="dxa"/>
            <w:vMerge/>
            <w:tcBorders>
              <w:top w:val="nil"/>
              <w:left w:val="single" w:sz="4" w:space="0" w:color="auto"/>
              <w:bottom w:val="single" w:sz="4" w:space="0" w:color="auto"/>
              <w:right w:val="single" w:sz="4" w:space="0" w:color="auto"/>
            </w:tcBorders>
            <w:vAlign w:val="center"/>
            <w:hideMark/>
          </w:tcPr>
          <w:p w14:paraId="04E4844B" w14:textId="77777777" w:rsidR="007A4B1F" w:rsidRPr="007434DA" w:rsidRDefault="007A4B1F" w:rsidP="004A57B3">
            <w:pPr>
              <w:rPr>
                <w:rFonts w:eastAsia="Times New Roman" w:cs="Calibri"/>
                <w:color w:val="000000"/>
                <w:sz w:val="18"/>
                <w:szCs w:val="18"/>
                <w:lang w:val="cs-CZ" w:eastAsia="cs-CZ"/>
              </w:rPr>
            </w:pPr>
          </w:p>
        </w:tc>
        <w:tc>
          <w:tcPr>
            <w:tcW w:w="1530" w:type="dxa"/>
            <w:vMerge/>
            <w:tcBorders>
              <w:top w:val="nil"/>
              <w:left w:val="single" w:sz="4" w:space="0" w:color="auto"/>
              <w:bottom w:val="single" w:sz="4" w:space="0" w:color="auto"/>
              <w:right w:val="single" w:sz="4" w:space="0" w:color="auto"/>
            </w:tcBorders>
            <w:vAlign w:val="center"/>
            <w:hideMark/>
          </w:tcPr>
          <w:p w14:paraId="4DB3E2FF" w14:textId="77777777" w:rsidR="007A4B1F" w:rsidRPr="007434DA" w:rsidRDefault="007A4B1F" w:rsidP="004A57B3">
            <w:pPr>
              <w:rPr>
                <w:rFonts w:eastAsia="Times New Roman" w:cs="Calibri"/>
                <w:color w:val="000000"/>
                <w:sz w:val="18"/>
                <w:szCs w:val="18"/>
                <w:lang w:val="cs-CZ" w:eastAsia="cs-CZ"/>
              </w:rPr>
            </w:pPr>
          </w:p>
        </w:tc>
        <w:tc>
          <w:tcPr>
            <w:tcW w:w="2902" w:type="dxa"/>
            <w:tcBorders>
              <w:top w:val="nil"/>
              <w:left w:val="nil"/>
              <w:bottom w:val="single" w:sz="4" w:space="0" w:color="auto"/>
              <w:right w:val="single" w:sz="4" w:space="0" w:color="auto"/>
            </w:tcBorders>
            <w:shd w:val="clear" w:color="auto" w:fill="auto"/>
            <w:hideMark/>
          </w:tcPr>
          <w:p w14:paraId="091841DB" w14:textId="77777777" w:rsidR="007A4B1F" w:rsidRPr="007434DA" w:rsidRDefault="007A4B1F" w:rsidP="004A57B3">
            <w:pPr>
              <w:rPr>
                <w:rFonts w:eastAsia="Times New Roman" w:cs="Calibri"/>
                <w:color w:val="000000"/>
                <w:sz w:val="18"/>
                <w:szCs w:val="18"/>
                <w:lang w:val="cs-CZ" w:eastAsia="cs-CZ"/>
              </w:rPr>
            </w:pPr>
            <w:r w:rsidRPr="007434DA">
              <w:rPr>
                <w:rFonts w:eastAsia="Times New Roman" w:cs="Calibri"/>
                <w:color w:val="000000"/>
                <w:sz w:val="18"/>
                <w:szCs w:val="18"/>
                <w:lang w:val="cs-CZ" w:eastAsia="cs-CZ"/>
              </w:rPr>
              <w:t>2) Rychlejší šíření infekčních onemocnění</w:t>
            </w:r>
          </w:p>
        </w:tc>
        <w:tc>
          <w:tcPr>
            <w:tcW w:w="6233" w:type="dxa"/>
            <w:tcBorders>
              <w:top w:val="nil"/>
              <w:left w:val="nil"/>
              <w:bottom w:val="single" w:sz="4" w:space="0" w:color="auto"/>
              <w:right w:val="single" w:sz="4" w:space="0" w:color="auto"/>
            </w:tcBorders>
            <w:shd w:val="clear" w:color="auto" w:fill="auto"/>
            <w:hideMark/>
          </w:tcPr>
          <w:p w14:paraId="02A333A6" w14:textId="77777777" w:rsidR="007A4B1F" w:rsidRPr="007434DA" w:rsidRDefault="007A4B1F" w:rsidP="004A57B3">
            <w:pPr>
              <w:rPr>
                <w:rFonts w:eastAsia="Times New Roman" w:cs="Calibri"/>
                <w:color w:val="000000"/>
                <w:sz w:val="18"/>
                <w:szCs w:val="18"/>
                <w:lang w:val="cs-CZ" w:eastAsia="cs-CZ"/>
              </w:rPr>
            </w:pPr>
            <w:r w:rsidRPr="007434DA">
              <w:rPr>
                <w:rFonts w:eastAsia="Times New Roman" w:cs="Calibri"/>
                <w:color w:val="000000"/>
                <w:sz w:val="18"/>
                <w:szCs w:val="18"/>
                <w:lang w:val="cs-CZ" w:eastAsia="cs-CZ"/>
              </w:rPr>
              <w:t>2) Šíření infekčních onemocnění díky kontaktu s trusem a volně žijícími živočichy. Ve většině chovů je pouze jeden výběh. Plocha pro volný pohyb nosnic tedy nemůže být pravidelně střídána a následně ošetřena (vápnění, desinfekce, regenerace…)</w:t>
            </w:r>
          </w:p>
        </w:tc>
        <w:tc>
          <w:tcPr>
            <w:tcW w:w="1516" w:type="dxa"/>
            <w:tcBorders>
              <w:top w:val="nil"/>
              <w:left w:val="nil"/>
              <w:bottom w:val="single" w:sz="4" w:space="0" w:color="auto"/>
              <w:right w:val="single" w:sz="4" w:space="0" w:color="auto"/>
            </w:tcBorders>
            <w:shd w:val="clear" w:color="auto" w:fill="auto"/>
            <w:noWrap/>
            <w:hideMark/>
          </w:tcPr>
          <w:p w14:paraId="4A01068D" w14:textId="77777777" w:rsidR="007A4B1F" w:rsidRPr="007434DA" w:rsidRDefault="007A4B1F" w:rsidP="004A57B3">
            <w:pPr>
              <w:rPr>
                <w:rFonts w:eastAsia="Times New Roman" w:cs="Calibri"/>
                <w:color w:val="000000"/>
                <w:sz w:val="18"/>
                <w:szCs w:val="18"/>
                <w:lang w:val="cs-CZ" w:eastAsia="cs-CZ"/>
              </w:rPr>
            </w:pPr>
            <w:r w:rsidRPr="007434DA">
              <w:rPr>
                <w:rFonts w:eastAsia="Times New Roman" w:cs="Calibri"/>
                <w:color w:val="000000"/>
                <w:sz w:val="18"/>
                <w:szCs w:val="18"/>
                <w:lang w:val="cs-CZ" w:eastAsia="cs-CZ"/>
              </w:rPr>
              <w:t>2) 40 - 50 % zvířat</w:t>
            </w:r>
          </w:p>
        </w:tc>
      </w:tr>
      <w:tr w:rsidR="007A4B1F" w:rsidRPr="007434DA" w14:paraId="56C56E36" w14:textId="77777777" w:rsidTr="007D174B">
        <w:trPr>
          <w:trHeight w:val="425"/>
        </w:trPr>
        <w:tc>
          <w:tcPr>
            <w:tcW w:w="900" w:type="dxa"/>
            <w:vMerge/>
            <w:tcBorders>
              <w:top w:val="nil"/>
              <w:left w:val="single" w:sz="4" w:space="0" w:color="auto"/>
              <w:bottom w:val="single" w:sz="4" w:space="0" w:color="auto"/>
              <w:right w:val="single" w:sz="4" w:space="0" w:color="auto"/>
            </w:tcBorders>
            <w:vAlign w:val="center"/>
            <w:hideMark/>
          </w:tcPr>
          <w:p w14:paraId="566CA46E" w14:textId="77777777" w:rsidR="007A4B1F" w:rsidRPr="007434DA" w:rsidRDefault="007A4B1F" w:rsidP="004A57B3">
            <w:pPr>
              <w:rPr>
                <w:rFonts w:eastAsia="Times New Roman" w:cs="Calibri"/>
                <w:color w:val="000000"/>
                <w:sz w:val="18"/>
                <w:szCs w:val="18"/>
                <w:lang w:val="cs-CZ" w:eastAsia="cs-CZ"/>
              </w:rPr>
            </w:pPr>
          </w:p>
        </w:tc>
        <w:tc>
          <w:tcPr>
            <w:tcW w:w="1189" w:type="dxa"/>
            <w:vMerge/>
            <w:tcBorders>
              <w:top w:val="nil"/>
              <w:left w:val="single" w:sz="4" w:space="0" w:color="auto"/>
              <w:bottom w:val="single" w:sz="4" w:space="0" w:color="auto"/>
              <w:right w:val="single" w:sz="4" w:space="0" w:color="auto"/>
            </w:tcBorders>
            <w:vAlign w:val="center"/>
            <w:hideMark/>
          </w:tcPr>
          <w:p w14:paraId="20ECE30F" w14:textId="77777777" w:rsidR="007A4B1F" w:rsidRPr="007434DA" w:rsidRDefault="007A4B1F" w:rsidP="004A57B3">
            <w:pPr>
              <w:rPr>
                <w:rFonts w:eastAsia="Times New Roman" w:cs="Calibri"/>
                <w:color w:val="000000"/>
                <w:sz w:val="18"/>
                <w:szCs w:val="18"/>
                <w:lang w:val="cs-CZ" w:eastAsia="cs-CZ"/>
              </w:rPr>
            </w:pPr>
          </w:p>
        </w:tc>
        <w:tc>
          <w:tcPr>
            <w:tcW w:w="1530" w:type="dxa"/>
            <w:vMerge w:val="restart"/>
            <w:tcBorders>
              <w:top w:val="nil"/>
              <w:left w:val="single" w:sz="4" w:space="0" w:color="auto"/>
              <w:bottom w:val="single" w:sz="4" w:space="0" w:color="auto"/>
              <w:right w:val="single" w:sz="4" w:space="0" w:color="auto"/>
            </w:tcBorders>
            <w:shd w:val="clear" w:color="auto" w:fill="auto"/>
            <w:vAlign w:val="center"/>
            <w:hideMark/>
          </w:tcPr>
          <w:p w14:paraId="3ACF7AC9" w14:textId="77777777" w:rsidR="007A4B1F" w:rsidRPr="007434DA" w:rsidRDefault="007A4B1F" w:rsidP="004A57B3">
            <w:pPr>
              <w:jc w:val="center"/>
              <w:rPr>
                <w:rFonts w:eastAsia="Times New Roman" w:cs="Calibri"/>
                <w:color w:val="000000"/>
                <w:sz w:val="18"/>
                <w:szCs w:val="18"/>
                <w:lang w:val="cs-CZ" w:eastAsia="cs-CZ"/>
              </w:rPr>
            </w:pPr>
            <w:r w:rsidRPr="007434DA">
              <w:rPr>
                <w:rFonts w:eastAsia="Times New Roman" w:cs="Calibri"/>
                <w:color w:val="000000"/>
                <w:sz w:val="18"/>
                <w:szCs w:val="18"/>
                <w:lang w:val="cs-CZ" w:eastAsia="cs-CZ"/>
              </w:rPr>
              <w:t xml:space="preserve">Rozmnožovací chovy - nosné </w:t>
            </w:r>
          </w:p>
        </w:tc>
        <w:tc>
          <w:tcPr>
            <w:tcW w:w="2902" w:type="dxa"/>
            <w:tcBorders>
              <w:top w:val="nil"/>
              <w:left w:val="nil"/>
              <w:bottom w:val="single" w:sz="4" w:space="0" w:color="auto"/>
              <w:right w:val="single" w:sz="4" w:space="0" w:color="auto"/>
            </w:tcBorders>
            <w:shd w:val="clear" w:color="auto" w:fill="auto"/>
            <w:hideMark/>
          </w:tcPr>
          <w:p w14:paraId="44A63DAC" w14:textId="77777777" w:rsidR="007A4B1F" w:rsidRPr="007434DA" w:rsidRDefault="007A4B1F" w:rsidP="004A57B3">
            <w:pPr>
              <w:rPr>
                <w:rFonts w:eastAsia="Times New Roman" w:cs="Calibri"/>
                <w:color w:val="000000"/>
                <w:sz w:val="18"/>
                <w:szCs w:val="18"/>
                <w:lang w:val="cs-CZ" w:eastAsia="cs-CZ"/>
              </w:rPr>
            </w:pPr>
            <w:r w:rsidRPr="007434DA">
              <w:rPr>
                <w:rFonts w:eastAsia="Times New Roman" w:cs="Calibri"/>
                <w:color w:val="000000"/>
                <w:sz w:val="18"/>
                <w:szCs w:val="18"/>
                <w:lang w:val="cs-CZ" w:eastAsia="cs-CZ"/>
              </w:rPr>
              <w:t>1) Kuřice mají omezenou možnost pohybu, chybí přímý kontakt s vnějším prostředím.</w:t>
            </w:r>
          </w:p>
        </w:tc>
        <w:tc>
          <w:tcPr>
            <w:tcW w:w="6233" w:type="dxa"/>
            <w:tcBorders>
              <w:top w:val="nil"/>
              <w:left w:val="nil"/>
              <w:bottom w:val="single" w:sz="4" w:space="0" w:color="auto"/>
              <w:right w:val="single" w:sz="4" w:space="0" w:color="auto"/>
            </w:tcBorders>
            <w:shd w:val="clear" w:color="auto" w:fill="auto"/>
            <w:hideMark/>
          </w:tcPr>
          <w:p w14:paraId="3898C25B" w14:textId="77777777" w:rsidR="007A4B1F" w:rsidRPr="007434DA" w:rsidRDefault="007A4B1F" w:rsidP="004A57B3">
            <w:pPr>
              <w:rPr>
                <w:rFonts w:eastAsia="Times New Roman" w:cs="Calibri"/>
                <w:color w:val="000000"/>
                <w:sz w:val="18"/>
                <w:szCs w:val="18"/>
                <w:lang w:val="cs-CZ" w:eastAsia="cs-CZ"/>
              </w:rPr>
            </w:pPr>
            <w:r w:rsidRPr="007434DA">
              <w:rPr>
                <w:rFonts w:eastAsia="Times New Roman" w:cs="Calibri"/>
                <w:color w:val="000000"/>
                <w:sz w:val="18"/>
                <w:szCs w:val="18"/>
                <w:lang w:val="cs-CZ" w:eastAsia="cs-CZ"/>
              </w:rPr>
              <w:t xml:space="preserve">1) Vyšší koncentrace zvířat a nedostupnost výběhu pro nosnice vycházející ze způsobu ustájení v halách s bateriovými klecemi. </w:t>
            </w:r>
          </w:p>
        </w:tc>
        <w:tc>
          <w:tcPr>
            <w:tcW w:w="1516" w:type="dxa"/>
            <w:tcBorders>
              <w:top w:val="nil"/>
              <w:left w:val="nil"/>
              <w:bottom w:val="single" w:sz="4" w:space="0" w:color="auto"/>
              <w:right w:val="single" w:sz="4" w:space="0" w:color="auto"/>
            </w:tcBorders>
            <w:shd w:val="clear" w:color="auto" w:fill="auto"/>
            <w:noWrap/>
            <w:vAlign w:val="center"/>
            <w:hideMark/>
          </w:tcPr>
          <w:p w14:paraId="5764F2DA" w14:textId="77777777" w:rsidR="007A4B1F" w:rsidRPr="007434DA" w:rsidRDefault="007A4B1F" w:rsidP="004A57B3">
            <w:pPr>
              <w:rPr>
                <w:rFonts w:eastAsia="Times New Roman" w:cs="Calibri"/>
                <w:color w:val="000000"/>
                <w:sz w:val="18"/>
                <w:szCs w:val="18"/>
                <w:lang w:val="cs-CZ" w:eastAsia="cs-CZ"/>
              </w:rPr>
            </w:pPr>
            <w:r w:rsidRPr="007434DA">
              <w:rPr>
                <w:rFonts w:eastAsia="Times New Roman" w:cs="Calibri"/>
                <w:color w:val="000000"/>
                <w:sz w:val="18"/>
                <w:szCs w:val="18"/>
                <w:lang w:val="cs-CZ" w:eastAsia="cs-CZ"/>
              </w:rPr>
              <w:t>1) 84 % zvířat</w:t>
            </w:r>
          </w:p>
        </w:tc>
      </w:tr>
      <w:tr w:rsidR="007A4B1F" w:rsidRPr="007434DA" w14:paraId="4DB53EE1" w14:textId="77777777" w:rsidTr="007D174B">
        <w:trPr>
          <w:trHeight w:val="260"/>
        </w:trPr>
        <w:tc>
          <w:tcPr>
            <w:tcW w:w="900" w:type="dxa"/>
            <w:vMerge/>
            <w:tcBorders>
              <w:top w:val="nil"/>
              <w:left w:val="single" w:sz="4" w:space="0" w:color="auto"/>
              <w:bottom w:val="single" w:sz="4" w:space="0" w:color="auto"/>
              <w:right w:val="single" w:sz="4" w:space="0" w:color="auto"/>
            </w:tcBorders>
            <w:vAlign w:val="center"/>
            <w:hideMark/>
          </w:tcPr>
          <w:p w14:paraId="6F21DF5D" w14:textId="77777777" w:rsidR="007A4B1F" w:rsidRPr="007434DA" w:rsidRDefault="007A4B1F" w:rsidP="004A57B3">
            <w:pPr>
              <w:rPr>
                <w:rFonts w:eastAsia="Times New Roman" w:cs="Calibri"/>
                <w:color w:val="000000"/>
                <w:sz w:val="18"/>
                <w:szCs w:val="18"/>
                <w:lang w:val="cs-CZ" w:eastAsia="cs-CZ"/>
              </w:rPr>
            </w:pPr>
          </w:p>
        </w:tc>
        <w:tc>
          <w:tcPr>
            <w:tcW w:w="1189" w:type="dxa"/>
            <w:vMerge/>
            <w:tcBorders>
              <w:top w:val="nil"/>
              <w:left w:val="single" w:sz="4" w:space="0" w:color="auto"/>
              <w:bottom w:val="single" w:sz="4" w:space="0" w:color="auto"/>
              <w:right w:val="single" w:sz="4" w:space="0" w:color="auto"/>
            </w:tcBorders>
            <w:vAlign w:val="center"/>
            <w:hideMark/>
          </w:tcPr>
          <w:p w14:paraId="0182D326" w14:textId="77777777" w:rsidR="007A4B1F" w:rsidRPr="007434DA" w:rsidRDefault="007A4B1F" w:rsidP="004A57B3">
            <w:pPr>
              <w:rPr>
                <w:rFonts w:eastAsia="Times New Roman" w:cs="Calibri"/>
                <w:color w:val="000000"/>
                <w:sz w:val="18"/>
                <w:szCs w:val="18"/>
                <w:lang w:val="cs-CZ" w:eastAsia="cs-CZ"/>
              </w:rPr>
            </w:pPr>
          </w:p>
        </w:tc>
        <w:tc>
          <w:tcPr>
            <w:tcW w:w="1530" w:type="dxa"/>
            <w:vMerge/>
            <w:tcBorders>
              <w:top w:val="nil"/>
              <w:left w:val="single" w:sz="4" w:space="0" w:color="auto"/>
              <w:bottom w:val="single" w:sz="4" w:space="0" w:color="auto"/>
              <w:right w:val="single" w:sz="4" w:space="0" w:color="auto"/>
            </w:tcBorders>
            <w:vAlign w:val="center"/>
            <w:hideMark/>
          </w:tcPr>
          <w:p w14:paraId="12EAFCB3" w14:textId="77777777" w:rsidR="007A4B1F" w:rsidRPr="007434DA" w:rsidRDefault="007A4B1F" w:rsidP="004A57B3">
            <w:pPr>
              <w:rPr>
                <w:rFonts w:eastAsia="Times New Roman" w:cs="Calibri"/>
                <w:color w:val="000000"/>
                <w:sz w:val="18"/>
                <w:szCs w:val="18"/>
                <w:lang w:val="cs-CZ" w:eastAsia="cs-CZ"/>
              </w:rPr>
            </w:pPr>
          </w:p>
        </w:tc>
        <w:tc>
          <w:tcPr>
            <w:tcW w:w="2902" w:type="dxa"/>
            <w:tcBorders>
              <w:top w:val="nil"/>
              <w:left w:val="nil"/>
              <w:bottom w:val="single" w:sz="4" w:space="0" w:color="auto"/>
              <w:right w:val="single" w:sz="4" w:space="0" w:color="auto"/>
            </w:tcBorders>
            <w:shd w:val="clear" w:color="auto" w:fill="auto"/>
            <w:hideMark/>
          </w:tcPr>
          <w:p w14:paraId="5BED12BA" w14:textId="77777777" w:rsidR="007A4B1F" w:rsidRPr="007434DA" w:rsidRDefault="007A4B1F" w:rsidP="004A57B3">
            <w:pPr>
              <w:rPr>
                <w:rFonts w:eastAsia="Times New Roman" w:cs="Calibri"/>
                <w:color w:val="000000"/>
                <w:sz w:val="18"/>
                <w:szCs w:val="18"/>
                <w:lang w:val="cs-CZ" w:eastAsia="cs-CZ"/>
              </w:rPr>
            </w:pPr>
            <w:r w:rsidRPr="007434DA">
              <w:rPr>
                <w:rFonts w:eastAsia="Times New Roman" w:cs="Calibri"/>
                <w:color w:val="000000"/>
                <w:sz w:val="18"/>
                <w:szCs w:val="18"/>
                <w:lang w:val="cs-CZ" w:eastAsia="cs-CZ"/>
              </w:rPr>
              <w:t xml:space="preserve">2) Zhoršení kvality opeření </w:t>
            </w:r>
          </w:p>
        </w:tc>
        <w:tc>
          <w:tcPr>
            <w:tcW w:w="6233" w:type="dxa"/>
            <w:tcBorders>
              <w:top w:val="nil"/>
              <w:left w:val="nil"/>
              <w:bottom w:val="single" w:sz="4" w:space="0" w:color="auto"/>
              <w:right w:val="single" w:sz="4" w:space="0" w:color="auto"/>
            </w:tcBorders>
            <w:shd w:val="clear" w:color="auto" w:fill="auto"/>
            <w:hideMark/>
          </w:tcPr>
          <w:p w14:paraId="30F45BA6" w14:textId="77777777" w:rsidR="007A4B1F" w:rsidRPr="007434DA" w:rsidRDefault="007A4B1F" w:rsidP="004A57B3">
            <w:pPr>
              <w:rPr>
                <w:rFonts w:eastAsia="Times New Roman" w:cs="Calibri"/>
                <w:color w:val="000000"/>
                <w:sz w:val="18"/>
                <w:szCs w:val="18"/>
                <w:lang w:val="cs-CZ" w:eastAsia="cs-CZ"/>
              </w:rPr>
            </w:pPr>
            <w:r w:rsidRPr="007434DA">
              <w:rPr>
                <w:rFonts w:eastAsia="Times New Roman" w:cs="Calibri"/>
                <w:color w:val="000000"/>
                <w:sz w:val="18"/>
                <w:szCs w:val="18"/>
                <w:lang w:val="cs-CZ" w:eastAsia="cs-CZ"/>
              </w:rPr>
              <w:t>2) Krmítko umístěné mimo klec - při příjmu krmiva dochází k odírání peří.</w:t>
            </w:r>
          </w:p>
        </w:tc>
        <w:tc>
          <w:tcPr>
            <w:tcW w:w="1516" w:type="dxa"/>
            <w:tcBorders>
              <w:top w:val="nil"/>
              <w:left w:val="nil"/>
              <w:bottom w:val="single" w:sz="4" w:space="0" w:color="auto"/>
              <w:right w:val="single" w:sz="4" w:space="0" w:color="auto"/>
            </w:tcBorders>
            <w:shd w:val="clear" w:color="auto" w:fill="auto"/>
            <w:hideMark/>
          </w:tcPr>
          <w:p w14:paraId="296CCB05" w14:textId="77777777" w:rsidR="007A4B1F" w:rsidRPr="007434DA" w:rsidRDefault="007A4B1F" w:rsidP="004A57B3">
            <w:pPr>
              <w:rPr>
                <w:rFonts w:eastAsia="Times New Roman" w:cs="Calibri"/>
                <w:color w:val="000000"/>
                <w:sz w:val="18"/>
                <w:szCs w:val="18"/>
                <w:lang w:val="cs-CZ" w:eastAsia="cs-CZ"/>
              </w:rPr>
            </w:pPr>
            <w:r w:rsidRPr="007434DA">
              <w:rPr>
                <w:rFonts w:eastAsia="Times New Roman" w:cs="Calibri"/>
                <w:color w:val="000000"/>
                <w:sz w:val="18"/>
                <w:szCs w:val="18"/>
                <w:lang w:val="cs-CZ" w:eastAsia="cs-CZ"/>
              </w:rPr>
              <w:t xml:space="preserve">2) 84 % zvířat </w:t>
            </w:r>
          </w:p>
        </w:tc>
      </w:tr>
      <w:tr w:rsidR="007A4B1F" w:rsidRPr="007434DA" w14:paraId="0F1BEDA5" w14:textId="77777777" w:rsidTr="007D174B">
        <w:trPr>
          <w:trHeight w:val="932"/>
        </w:trPr>
        <w:tc>
          <w:tcPr>
            <w:tcW w:w="900" w:type="dxa"/>
            <w:tcBorders>
              <w:top w:val="nil"/>
              <w:left w:val="single" w:sz="4" w:space="0" w:color="auto"/>
              <w:bottom w:val="single" w:sz="4" w:space="0" w:color="auto"/>
              <w:right w:val="single" w:sz="4" w:space="0" w:color="auto"/>
            </w:tcBorders>
            <w:shd w:val="clear" w:color="auto" w:fill="auto"/>
            <w:vAlign w:val="center"/>
            <w:hideMark/>
          </w:tcPr>
          <w:p w14:paraId="3D3A2331" w14:textId="77777777" w:rsidR="007A4B1F" w:rsidRPr="007434DA" w:rsidRDefault="007A4B1F" w:rsidP="004A57B3">
            <w:pPr>
              <w:rPr>
                <w:rFonts w:eastAsia="Times New Roman" w:cs="Calibri"/>
                <w:color w:val="000000"/>
                <w:sz w:val="18"/>
                <w:szCs w:val="18"/>
                <w:lang w:val="cs-CZ" w:eastAsia="cs-CZ"/>
              </w:rPr>
            </w:pPr>
            <w:r w:rsidRPr="007434DA">
              <w:rPr>
                <w:rFonts w:eastAsia="Times New Roman" w:cs="Calibri"/>
                <w:color w:val="000000"/>
                <w:sz w:val="18"/>
                <w:szCs w:val="18"/>
                <w:lang w:val="cs-CZ" w:eastAsia="cs-CZ"/>
              </w:rPr>
              <w:t>Výkrm kuřat</w:t>
            </w:r>
          </w:p>
        </w:tc>
        <w:tc>
          <w:tcPr>
            <w:tcW w:w="1189" w:type="dxa"/>
            <w:tcBorders>
              <w:top w:val="nil"/>
              <w:left w:val="nil"/>
              <w:bottom w:val="single" w:sz="4" w:space="0" w:color="auto"/>
              <w:right w:val="single" w:sz="4" w:space="0" w:color="auto"/>
            </w:tcBorders>
            <w:shd w:val="clear" w:color="auto" w:fill="auto"/>
            <w:vAlign w:val="center"/>
            <w:hideMark/>
          </w:tcPr>
          <w:p w14:paraId="7A64E664" w14:textId="77777777" w:rsidR="007A4B1F" w:rsidRPr="007434DA" w:rsidRDefault="007A4B1F" w:rsidP="004A57B3">
            <w:pPr>
              <w:jc w:val="center"/>
              <w:rPr>
                <w:rFonts w:eastAsia="Times New Roman" w:cs="Calibri"/>
                <w:color w:val="000000"/>
                <w:sz w:val="18"/>
                <w:szCs w:val="18"/>
                <w:lang w:val="cs-CZ" w:eastAsia="cs-CZ"/>
              </w:rPr>
            </w:pPr>
            <w:r w:rsidRPr="007434DA">
              <w:rPr>
                <w:rFonts w:eastAsia="Times New Roman" w:cs="Calibri"/>
                <w:color w:val="000000"/>
                <w:sz w:val="18"/>
                <w:szCs w:val="18"/>
                <w:lang w:val="cs-CZ" w:eastAsia="cs-CZ"/>
              </w:rPr>
              <w:t>Stav: 120 mil. ks; z toho v ekologickém režimu odhad 22554 ks</w:t>
            </w:r>
          </w:p>
        </w:tc>
        <w:tc>
          <w:tcPr>
            <w:tcW w:w="1530" w:type="dxa"/>
            <w:tcBorders>
              <w:top w:val="nil"/>
              <w:left w:val="nil"/>
              <w:bottom w:val="single" w:sz="4" w:space="0" w:color="auto"/>
              <w:right w:val="single" w:sz="4" w:space="0" w:color="auto"/>
            </w:tcBorders>
            <w:shd w:val="clear" w:color="auto" w:fill="auto"/>
            <w:vAlign w:val="center"/>
            <w:hideMark/>
          </w:tcPr>
          <w:p w14:paraId="0BE77122" w14:textId="77777777" w:rsidR="007A4B1F" w:rsidRPr="007434DA" w:rsidRDefault="007A4B1F" w:rsidP="004A57B3">
            <w:pPr>
              <w:jc w:val="center"/>
              <w:rPr>
                <w:rFonts w:eastAsia="Times New Roman" w:cs="Calibri"/>
                <w:color w:val="000000"/>
                <w:sz w:val="18"/>
                <w:szCs w:val="18"/>
                <w:lang w:val="cs-CZ" w:eastAsia="cs-CZ"/>
              </w:rPr>
            </w:pPr>
            <w:r w:rsidRPr="007434DA">
              <w:rPr>
                <w:rFonts w:eastAsia="Times New Roman" w:cs="Calibri"/>
                <w:color w:val="000000"/>
                <w:sz w:val="18"/>
                <w:szCs w:val="18"/>
                <w:lang w:val="cs-CZ" w:eastAsia="cs-CZ"/>
              </w:rPr>
              <w:t>Výkrm - podestýlka</w:t>
            </w:r>
          </w:p>
        </w:tc>
        <w:tc>
          <w:tcPr>
            <w:tcW w:w="2902" w:type="dxa"/>
            <w:tcBorders>
              <w:top w:val="nil"/>
              <w:left w:val="nil"/>
              <w:bottom w:val="single" w:sz="4" w:space="0" w:color="auto"/>
              <w:right w:val="single" w:sz="4" w:space="0" w:color="auto"/>
            </w:tcBorders>
            <w:shd w:val="clear" w:color="auto" w:fill="auto"/>
            <w:vAlign w:val="center"/>
            <w:hideMark/>
          </w:tcPr>
          <w:p w14:paraId="48EBE0EB" w14:textId="77777777" w:rsidR="007A4B1F" w:rsidRPr="007434DA" w:rsidRDefault="007A4B1F" w:rsidP="004A57B3">
            <w:pPr>
              <w:rPr>
                <w:rFonts w:eastAsia="Times New Roman" w:cs="Calibri"/>
                <w:color w:val="000000"/>
                <w:sz w:val="18"/>
                <w:szCs w:val="18"/>
                <w:lang w:val="cs-CZ" w:eastAsia="cs-CZ"/>
              </w:rPr>
            </w:pPr>
            <w:r w:rsidRPr="007434DA">
              <w:rPr>
                <w:rFonts w:eastAsia="Times New Roman" w:cs="Calibri"/>
                <w:color w:val="000000"/>
                <w:sz w:val="18"/>
                <w:szCs w:val="18"/>
                <w:lang w:val="cs-CZ" w:eastAsia="cs-CZ"/>
              </w:rPr>
              <w:t>1) Otlaky v oblasti hrudní kosti, deformace končetin, dermatitidy</w:t>
            </w:r>
          </w:p>
        </w:tc>
        <w:tc>
          <w:tcPr>
            <w:tcW w:w="6233" w:type="dxa"/>
            <w:tcBorders>
              <w:top w:val="nil"/>
              <w:left w:val="nil"/>
              <w:bottom w:val="single" w:sz="4" w:space="0" w:color="auto"/>
              <w:right w:val="single" w:sz="4" w:space="0" w:color="auto"/>
            </w:tcBorders>
            <w:shd w:val="clear" w:color="auto" w:fill="auto"/>
            <w:vAlign w:val="center"/>
            <w:hideMark/>
          </w:tcPr>
          <w:p w14:paraId="1C2080B9" w14:textId="77777777" w:rsidR="007A4B1F" w:rsidRPr="007434DA" w:rsidRDefault="007A4B1F" w:rsidP="004A57B3">
            <w:pPr>
              <w:rPr>
                <w:rFonts w:eastAsia="Times New Roman" w:cs="Calibri"/>
                <w:color w:val="000000"/>
                <w:sz w:val="18"/>
                <w:szCs w:val="18"/>
                <w:lang w:val="cs-CZ" w:eastAsia="cs-CZ"/>
              </w:rPr>
            </w:pPr>
            <w:r w:rsidRPr="007434DA">
              <w:rPr>
                <w:rFonts w:eastAsia="Times New Roman" w:cs="Calibri"/>
                <w:color w:val="000000"/>
                <w:sz w:val="18"/>
                <w:szCs w:val="18"/>
                <w:lang w:val="cs-CZ" w:eastAsia="cs-CZ"/>
              </w:rPr>
              <w:t>1) Nízká kvalita podestýlky, mimo jiné v důsledku využití nevhodného materiálu. Standardně je využívána sláma a pilin. Nejlepším materiálem z pohledu absorpčních vlastnosti, prašnosti atd. jsou však hobliny či rašelina.</w:t>
            </w:r>
          </w:p>
        </w:tc>
        <w:tc>
          <w:tcPr>
            <w:tcW w:w="1516" w:type="dxa"/>
            <w:tcBorders>
              <w:top w:val="nil"/>
              <w:left w:val="nil"/>
              <w:bottom w:val="single" w:sz="4" w:space="0" w:color="auto"/>
              <w:right w:val="single" w:sz="4" w:space="0" w:color="auto"/>
            </w:tcBorders>
            <w:shd w:val="clear" w:color="auto" w:fill="auto"/>
            <w:noWrap/>
            <w:vAlign w:val="center"/>
            <w:hideMark/>
          </w:tcPr>
          <w:p w14:paraId="25F6FB85" w14:textId="77777777" w:rsidR="007A4B1F" w:rsidRPr="007434DA" w:rsidRDefault="007A4B1F" w:rsidP="004A57B3">
            <w:pPr>
              <w:rPr>
                <w:rFonts w:eastAsia="Times New Roman" w:cs="Calibri"/>
                <w:color w:val="000000"/>
                <w:sz w:val="18"/>
                <w:szCs w:val="18"/>
                <w:lang w:val="cs-CZ" w:eastAsia="cs-CZ"/>
              </w:rPr>
            </w:pPr>
            <w:r w:rsidRPr="007434DA">
              <w:rPr>
                <w:rFonts w:eastAsia="Times New Roman" w:cs="Calibri"/>
                <w:color w:val="000000"/>
                <w:sz w:val="18"/>
                <w:szCs w:val="18"/>
                <w:lang w:val="cs-CZ" w:eastAsia="cs-CZ"/>
              </w:rPr>
              <w:t>1) 90 % zvířat</w:t>
            </w:r>
          </w:p>
        </w:tc>
      </w:tr>
      <w:tr w:rsidR="007A4B1F" w:rsidRPr="007434DA" w14:paraId="77BA0273" w14:textId="77777777" w:rsidTr="007D174B">
        <w:trPr>
          <w:trHeight w:val="301"/>
        </w:trPr>
        <w:tc>
          <w:tcPr>
            <w:tcW w:w="900" w:type="dxa"/>
            <w:vMerge w:val="restart"/>
            <w:tcBorders>
              <w:top w:val="nil"/>
              <w:left w:val="single" w:sz="4" w:space="0" w:color="auto"/>
              <w:bottom w:val="single" w:sz="4" w:space="0" w:color="auto"/>
              <w:right w:val="single" w:sz="4" w:space="0" w:color="auto"/>
            </w:tcBorders>
            <w:shd w:val="clear" w:color="auto" w:fill="auto"/>
            <w:vAlign w:val="center"/>
            <w:hideMark/>
          </w:tcPr>
          <w:p w14:paraId="3D787BA1" w14:textId="77777777" w:rsidR="007A4B1F" w:rsidRPr="007434DA" w:rsidRDefault="007A4B1F" w:rsidP="004A57B3">
            <w:pPr>
              <w:rPr>
                <w:rFonts w:eastAsia="Times New Roman" w:cs="Calibri"/>
                <w:color w:val="000000"/>
                <w:sz w:val="18"/>
                <w:szCs w:val="18"/>
                <w:lang w:val="cs-CZ" w:eastAsia="cs-CZ"/>
              </w:rPr>
            </w:pPr>
            <w:r w:rsidRPr="007434DA">
              <w:rPr>
                <w:rFonts w:eastAsia="Times New Roman" w:cs="Calibri"/>
                <w:color w:val="000000"/>
                <w:sz w:val="18"/>
                <w:szCs w:val="18"/>
                <w:lang w:val="cs-CZ" w:eastAsia="cs-CZ"/>
              </w:rPr>
              <w:t>Kachny</w:t>
            </w:r>
          </w:p>
        </w:tc>
        <w:tc>
          <w:tcPr>
            <w:tcW w:w="1189" w:type="dxa"/>
            <w:vMerge w:val="restart"/>
            <w:tcBorders>
              <w:top w:val="nil"/>
              <w:left w:val="single" w:sz="4" w:space="0" w:color="auto"/>
              <w:bottom w:val="single" w:sz="4" w:space="0" w:color="auto"/>
              <w:right w:val="single" w:sz="4" w:space="0" w:color="auto"/>
            </w:tcBorders>
            <w:shd w:val="clear" w:color="auto" w:fill="auto"/>
            <w:vAlign w:val="center"/>
            <w:hideMark/>
          </w:tcPr>
          <w:p w14:paraId="522B9B2A" w14:textId="77777777" w:rsidR="007A4B1F" w:rsidRPr="007434DA" w:rsidRDefault="007A4B1F" w:rsidP="004A57B3">
            <w:pPr>
              <w:jc w:val="center"/>
              <w:rPr>
                <w:rFonts w:eastAsia="Times New Roman" w:cs="Calibri"/>
                <w:color w:val="000000"/>
                <w:sz w:val="18"/>
                <w:szCs w:val="18"/>
                <w:lang w:val="cs-CZ" w:eastAsia="cs-CZ"/>
              </w:rPr>
            </w:pPr>
            <w:r w:rsidRPr="007434DA">
              <w:rPr>
                <w:rFonts w:eastAsia="Times New Roman" w:cs="Calibri"/>
                <w:color w:val="000000"/>
                <w:sz w:val="18"/>
                <w:szCs w:val="18"/>
                <w:lang w:val="cs-CZ" w:eastAsia="cs-CZ"/>
              </w:rPr>
              <w:t> </w:t>
            </w:r>
          </w:p>
        </w:tc>
        <w:tc>
          <w:tcPr>
            <w:tcW w:w="1530" w:type="dxa"/>
            <w:vMerge w:val="restart"/>
            <w:tcBorders>
              <w:top w:val="nil"/>
              <w:left w:val="single" w:sz="4" w:space="0" w:color="auto"/>
              <w:bottom w:val="single" w:sz="4" w:space="0" w:color="auto"/>
              <w:right w:val="single" w:sz="4" w:space="0" w:color="auto"/>
            </w:tcBorders>
            <w:shd w:val="clear" w:color="auto" w:fill="auto"/>
            <w:vAlign w:val="center"/>
            <w:hideMark/>
          </w:tcPr>
          <w:p w14:paraId="6DEC85A1" w14:textId="77777777" w:rsidR="007A4B1F" w:rsidRPr="007434DA" w:rsidRDefault="007A4B1F" w:rsidP="004A57B3">
            <w:pPr>
              <w:jc w:val="center"/>
              <w:rPr>
                <w:rFonts w:eastAsia="Times New Roman" w:cs="Calibri"/>
                <w:color w:val="000000"/>
                <w:sz w:val="18"/>
                <w:szCs w:val="18"/>
                <w:lang w:val="cs-CZ" w:eastAsia="cs-CZ"/>
              </w:rPr>
            </w:pPr>
            <w:r w:rsidRPr="007434DA">
              <w:rPr>
                <w:rFonts w:eastAsia="Times New Roman" w:cs="Calibri"/>
                <w:color w:val="000000"/>
                <w:sz w:val="18"/>
                <w:szCs w:val="18"/>
                <w:lang w:val="cs-CZ" w:eastAsia="cs-CZ"/>
              </w:rPr>
              <w:t>Odchov, chov, výkrm - podestýlka a rošty</w:t>
            </w:r>
          </w:p>
        </w:tc>
        <w:tc>
          <w:tcPr>
            <w:tcW w:w="2902" w:type="dxa"/>
            <w:tcBorders>
              <w:top w:val="nil"/>
              <w:left w:val="nil"/>
              <w:bottom w:val="single" w:sz="4" w:space="0" w:color="auto"/>
              <w:right w:val="single" w:sz="4" w:space="0" w:color="auto"/>
            </w:tcBorders>
            <w:shd w:val="clear" w:color="auto" w:fill="auto"/>
            <w:vAlign w:val="center"/>
            <w:hideMark/>
          </w:tcPr>
          <w:p w14:paraId="25CF567E" w14:textId="77777777" w:rsidR="007A4B1F" w:rsidRPr="007434DA" w:rsidRDefault="007A4B1F" w:rsidP="004A57B3">
            <w:pPr>
              <w:rPr>
                <w:rFonts w:eastAsia="Times New Roman" w:cs="Calibri"/>
                <w:color w:val="000000"/>
                <w:sz w:val="18"/>
                <w:szCs w:val="18"/>
                <w:lang w:val="cs-CZ" w:eastAsia="cs-CZ"/>
              </w:rPr>
            </w:pPr>
            <w:r w:rsidRPr="007434DA">
              <w:rPr>
                <w:rFonts w:eastAsia="Times New Roman" w:cs="Calibri"/>
                <w:color w:val="000000"/>
                <w:sz w:val="18"/>
                <w:szCs w:val="18"/>
                <w:lang w:val="cs-CZ" w:eastAsia="cs-CZ"/>
              </w:rPr>
              <w:t>1) Zvýšená vlhkost podlahy a vzduchu</w:t>
            </w:r>
          </w:p>
        </w:tc>
        <w:tc>
          <w:tcPr>
            <w:tcW w:w="6233" w:type="dxa"/>
            <w:tcBorders>
              <w:top w:val="nil"/>
              <w:left w:val="nil"/>
              <w:bottom w:val="single" w:sz="4" w:space="0" w:color="auto"/>
              <w:right w:val="single" w:sz="4" w:space="0" w:color="auto"/>
            </w:tcBorders>
            <w:shd w:val="clear" w:color="auto" w:fill="auto"/>
            <w:vAlign w:val="center"/>
            <w:hideMark/>
          </w:tcPr>
          <w:p w14:paraId="1E35F3EC" w14:textId="77777777" w:rsidR="007A4B1F" w:rsidRPr="007434DA" w:rsidRDefault="007A4B1F" w:rsidP="004A57B3">
            <w:pPr>
              <w:rPr>
                <w:rFonts w:eastAsia="Times New Roman" w:cs="Calibri"/>
                <w:color w:val="000000"/>
                <w:sz w:val="18"/>
                <w:szCs w:val="18"/>
                <w:lang w:val="cs-CZ" w:eastAsia="cs-CZ"/>
              </w:rPr>
            </w:pPr>
            <w:r w:rsidRPr="007434DA">
              <w:rPr>
                <w:rFonts w:eastAsia="Times New Roman" w:cs="Calibri"/>
                <w:color w:val="000000"/>
                <w:sz w:val="18"/>
                <w:szCs w:val="18"/>
                <w:lang w:val="cs-CZ" w:eastAsia="cs-CZ"/>
              </w:rPr>
              <w:t xml:space="preserve">1) Rozstřikování napájecí vody </w:t>
            </w:r>
          </w:p>
        </w:tc>
        <w:tc>
          <w:tcPr>
            <w:tcW w:w="1516" w:type="dxa"/>
            <w:tcBorders>
              <w:top w:val="nil"/>
              <w:left w:val="nil"/>
              <w:bottom w:val="single" w:sz="4" w:space="0" w:color="auto"/>
              <w:right w:val="single" w:sz="4" w:space="0" w:color="auto"/>
            </w:tcBorders>
            <w:shd w:val="clear" w:color="auto" w:fill="auto"/>
            <w:noWrap/>
            <w:vAlign w:val="center"/>
            <w:hideMark/>
          </w:tcPr>
          <w:p w14:paraId="16DB578A" w14:textId="77777777" w:rsidR="007A4B1F" w:rsidRPr="007434DA" w:rsidRDefault="007A4B1F" w:rsidP="004A57B3">
            <w:pPr>
              <w:rPr>
                <w:rFonts w:eastAsia="Times New Roman" w:cs="Calibri"/>
                <w:color w:val="000000"/>
                <w:sz w:val="18"/>
                <w:szCs w:val="18"/>
                <w:lang w:val="cs-CZ" w:eastAsia="cs-CZ"/>
              </w:rPr>
            </w:pPr>
            <w:r w:rsidRPr="007434DA">
              <w:rPr>
                <w:rFonts w:eastAsia="Times New Roman" w:cs="Calibri"/>
                <w:color w:val="000000"/>
                <w:sz w:val="18"/>
                <w:szCs w:val="18"/>
                <w:lang w:val="cs-CZ" w:eastAsia="cs-CZ"/>
              </w:rPr>
              <w:t>1) odhad VÚŽV 80 %</w:t>
            </w:r>
          </w:p>
        </w:tc>
      </w:tr>
      <w:tr w:rsidR="007A4B1F" w:rsidRPr="007434DA" w14:paraId="28332419" w14:textId="77777777" w:rsidTr="007D174B">
        <w:trPr>
          <w:trHeight w:val="370"/>
        </w:trPr>
        <w:tc>
          <w:tcPr>
            <w:tcW w:w="900" w:type="dxa"/>
            <w:vMerge/>
            <w:tcBorders>
              <w:top w:val="nil"/>
              <w:left w:val="single" w:sz="4" w:space="0" w:color="auto"/>
              <w:bottom w:val="single" w:sz="4" w:space="0" w:color="auto"/>
              <w:right w:val="single" w:sz="4" w:space="0" w:color="auto"/>
            </w:tcBorders>
            <w:vAlign w:val="center"/>
            <w:hideMark/>
          </w:tcPr>
          <w:p w14:paraId="35FCF442" w14:textId="77777777" w:rsidR="007A4B1F" w:rsidRPr="007434DA" w:rsidRDefault="007A4B1F" w:rsidP="004A57B3">
            <w:pPr>
              <w:rPr>
                <w:rFonts w:eastAsia="Times New Roman" w:cs="Calibri"/>
                <w:color w:val="000000"/>
                <w:sz w:val="18"/>
                <w:szCs w:val="18"/>
                <w:lang w:val="cs-CZ" w:eastAsia="cs-CZ"/>
              </w:rPr>
            </w:pPr>
          </w:p>
        </w:tc>
        <w:tc>
          <w:tcPr>
            <w:tcW w:w="1189" w:type="dxa"/>
            <w:vMerge/>
            <w:tcBorders>
              <w:top w:val="nil"/>
              <w:left w:val="single" w:sz="4" w:space="0" w:color="auto"/>
              <w:bottom w:val="single" w:sz="4" w:space="0" w:color="auto"/>
              <w:right w:val="single" w:sz="4" w:space="0" w:color="auto"/>
            </w:tcBorders>
            <w:vAlign w:val="center"/>
            <w:hideMark/>
          </w:tcPr>
          <w:p w14:paraId="443352D4" w14:textId="77777777" w:rsidR="007A4B1F" w:rsidRPr="007434DA" w:rsidRDefault="007A4B1F" w:rsidP="004A57B3">
            <w:pPr>
              <w:rPr>
                <w:rFonts w:eastAsia="Times New Roman" w:cs="Calibri"/>
                <w:color w:val="000000"/>
                <w:sz w:val="18"/>
                <w:szCs w:val="18"/>
                <w:lang w:val="cs-CZ" w:eastAsia="cs-CZ"/>
              </w:rPr>
            </w:pPr>
          </w:p>
        </w:tc>
        <w:tc>
          <w:tcPr>
            <w:tcW w:w="1530" w:type="dxa"/>
            <w:vMerge/>
            <w:tcBorders>
              <w:top w:val="nil"/>
              <w:left w:val="single" w:sz="4" w:space="0" w:color="auto"/>
              <w:bottom w:val="single" w:sz="4" w:space="0" w:color="auto"/>
              <w:right w:val="single" w:sz="4" w:space="0" w:color="auto"/>
            </w:tcBorders>
            <w:vAlign w:val="center"/>
            <w:hideMark/>
          </w:tcPr>
          <w:p w14:paraId="7FFD7A76" w14:textId="77777777" w:rsidR="007A4B1F" w:rsidRPr="007434DA" w:rsidRDefault="007A4B1F" w:rsidP="004A57B3">
            <w:pPr>
              <w:rPr>
                <w:rFonts w:eastAsia="Times New Roman" w:cs="Calibri"/>
                <w:color w:val="000000"/>
                <w:sz w:val="18"/>
                <w:szCs w:val="18"/>
                <w:lang w:val="cs-CZ" w:eastAsia="cs-CZ"/>
              </w:rPr>
            </w:pPr>
          </w:p>
        </w:tc>
        <w:tc>
          <w:tcPr>
            <w:tcW w:w="2902" w:type="dxa"/>
            <w:tcBorders>
              <w:top w:val="nil"/>
              <w:left w:val="nil"/>
              <w:bottom w:val="single" w:sz="4" w:space="0" w:color="auto"/>
              <w:right w:val="single" w:sz="4" w:space="0" w:color="auto"/>
            </w:tcBorders>
            <w:shd w:val="clear" w:color="auto" w:fill="auto"/>
            <w:noWrap/>
            <w:vAlign w:val="center"/>
            <w:hideMark/>
          </w:tcPr>
          <w:p w14:paraId="3A4FECD7" w14:textId="77777777" w:rsidR="007A4B1F" w:rsidRPr="007434DA" w:rsidRDefault="007A4B1F" w:rsidP="004A57B3">
            <w:pPr>
              <w:rPr>
                <w:rFonts w:eastAsia="Times New Roman" w:cs="Calibri"/>
                <w:color w:val="000000"/>
                <w:sz w:val="18"/>
                <w:szCs w:val="18"/>
                <w:lang w:val="cs-CZ" w:eastAsia="cs-CZ"/>
              </w:rPr>
            </w:pPr>
            <w:r w:rsidRPr="007434DA">
              <w:rPr>
                <w:rFonts w:eastAsia="Times New Roman" w:cs="Calibri"/>
                <w:color w:val="000000"/>
                <w:sz w:val="18"/>
                <w:szCs w:val="18"/>
                <w:lang w:val="cs-CZ" w:eastAsia="cs-CZ"/>
              </w:rPr>
              <w:t>2) Nevhodné mikroklima</w:t>
            </w:r>
          </w:p>
        </w:tc>
        <w:tc>
          <w:tcPr>
            <w:tcW w:w="6233" w:type="dxa"/>
            <w:tcBorders>
              <w:top w:val="nil"/>
              <w:left w:val="nil"/>
              <w:bottom w:val="single" w:sz="4" w:space="0" w:color="auto"/>
              <w:right w:val="single" w:sz="4" w:space="0" w:color="auto"/>
            </w:tcBorders>
            <w:shd w:val="clear" w:color="auto" w:fill="auto"/>
            <w:vAlign w:val="center"/>
            <w:hideMark/>
          </w:tcPr>
          <w:p w14:paraId="273DC435" w14:textId="77777777" w:rsidR="007A4B1F" w:rsidRPr="007434DA" w:rsidRDefault="007A4B1F" w:rsidP="004A57B3">
            <w:pPr>
              <w:rPr>
                <w:rFonts w:eastAsia="Times New Roman" w:cs="Calibri"/>
                <w:color w:val="000000"/>
                <w:sz w:val="18"/>
                <w:szCs w:val="18"/>
                <w:lang w:val="cs-CZ" w:eastAsia="cs-CZ"/>
              </w:rPr>
            </w:pPr>
            <w:r w:rsidRPr="007434DA">
              <w:rPr>
                <w:rFonts w:eastAsia="Times New Roman" w:cs="Calibri"/>
                <w:color w:val="000000"/>
                <w:sz w:val="18"/>
                <w:szCs w:val="18"/>
                <w:lang w:val="cs-CZ" w:eastAsia="cs-CZ"/>
              </w:rPr>
              <w:t xml:space="preserve">2) Zvýšená koncentrace čpavku a sirovodíku </w:t>
            </w:r>
          </w:p>
        </w:tc>
        <w:tc>
          <w:tcPr>
            <w:tcW w:w="1516" w:type="dxa"/>
            <w:tcBorders>
              <w:top w:val="nil"/>
              <w:left w:val="nil"/>
              <w:bottom w:val="single" w:sz="4" w:space="0" w:color="auto"/>
              <w:right w:val="single" w:sz="4" w:space="0" w:color="auto"/>
            </w:tcBorders>
            <w:shd w:val="clear" w:color="auto" w:fill="auto"/>
            <w:noWrap/>
            <w:vAlign w:val="center"/>
            <w:hideMark/>
          </w:tcPr>
          <w:p w14:paraId="079CDF67" w14:textId="77777777" w:rsidR="007A4B1F" w:rsidRPr="007434DA" w:rsidRDefault="007A4B1F" w:rsidP="004A57B3">
            <w:pPr>
              <w:rPr>
                <w:rFonts w:eastAsia="Times New Roman" w:cs="Calibri"/>
                <w:color w:val="000000"/>
                <w:sz w:val="18"/>
                <w:szCs w:val="18"/>
                <w:lang w:val="cs-CZ" w:eastAsia="cs-CZ"/>
              </w:rPr>
            </w:pPr>
            <w:r w:rsidRPr="007434DA">
              <w:rPr>
                <w:rFonts w:eastAsia="Times New Roman" w:cs="Calibri"/>
                <w:color w:val="000000"/>
                <w:sz w:val="18"/>
                <w:szCs w:val="18"/>
                <w:lang w:val="cs-CZ" w:eastAsia="cs-CZ"/>
              </w:rPr>
              <w:t>2) odhad VÚŽV 80 %</w:t>
            </w:r>
          </w:p>
        </w:tc>
      </w:tr>
      <w:tr w:rsidR="007A4B1F" w:rsidRPr="007434DA" w14:paraId="04DBBE0A" w14:textId="77777777" w:rsidTr="007D174B">
        <w:trPr>
          <w:trHeight w:val="329"/>
        </w:trPr>
        <w:tc>
          <w:tcPr>
            <w:tcW w:w="9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CFC96F7" w14:textId="77777777" w:rsidR="007A4B1F" w:rsidRPr="007434DA" w:rsidRDefault="007A4B1F" w:rsidP="004A57B3">
            <w:pPr>
              <w:rPr>
                <w:rFonts w:eastAsia="Times New Roman" w:cs="Calibri"/>
                <w:color w:val="000000"/>
                <w:sz w:val="18"/>
                <w:szCs w:val="18"/>
                <w:lang w:val="cs-CZ" w:eastAsia="cs-CZ"/>
              </w:rPr>
            </w:pPr>
            <w:r w:rsidRPr="007434DA">
              <w:rPr>
                <w:rFonts w:eastAsia="Times New Roman" w:cs="Calibri"/>
                <w:color w:val="000000"/>
                <w:sz w:val="18"/>
                <w:szCs w:val="18"/>
                <w:lang w:val="cs-CZ" w:eastAsia="cs-CZ"/>
              </w:rPr>
              <w:t>Husy</w:t>
            </w:r>
          </w:p>
        </w:tc>
        <w:tc>
          <w:tcPr>
            <w:tcW w:w="1189" w:type="dxa"/>
            <w:vMerge w:val="restart"/>
            <w:tcBorders>
              <w:top w:val="nil"/>
              <w:left w:val="single" w:sz="4" w:space="0" w:color="auto"/>
              <w:bottom w:val="single" w:sz="4" w:space="0" w:color="auto"/>
              <w:right w:val="single" w:sz="4" w:space="0" w:color="auto"/>
            </w:tcBorders>
            <w:shd w:val="clear" w:color="auto" w:fill="auto"/>
            <w:vAlign w:val="center"/>
            <w:hideMark/>
          </w:tcPr>
          <w:p w14:paraId="1138714D" w14:textId="77777777" w:rsidR="007A4B1F" w:rsidRPr="007434DA" w:rsidRDefault="007A4B1F" w:rsidP="004A57B3">
            <w:pPr>
              <w:jc w:val="center"/>
              <w:rPr>
                <w:rFonts w:eastAsia="Times New Roman" w:cs="Calibri"/>
                <w:color w:val="000000"/>
                <w:sz w:val="18"/>
                <w:szCs w:val="18"/>
                <w:lang w:val="cs-CZ" w:eastAsia="cs-CZ"/>
              </w:rPr>
            </w:pPr>
            <w:r w:rsidRPr="007434DA">
              <w:rPr>
                <w:rFonts w:eastAsia="Times New Roman" w:cs="Calibri"/>
                <w:color w:val="000000"/>
                <w:sz w:val="18"/>
                <w:szCs w:val="18"/>
                <w:lang w:val="cs-CZ" w:eastAsia="cs-CZ"/>
              </w:rPr>
              <w:t> </w:t>
            </w:r>
          </w:p>
        </w:tc>
        <w:tc>
          <w:tcPr>
            <w:tcW w:w="1530" w:type="dxa"/>
            <w:vMerge w:val="restart"/>
            <w:tcBorders>
              <w:top w:val="nil"/>
              <w:left w:val="single" w:sz="4" w:space="0" w:color="auto"/>
              <w:bottom w:val="single" w:sz="4" w:space="0" w:color="auto"/>
              <w:right w:val="single" w:sz="4" w:space="0" w:color="auto"/>
            </w:tcBorders>
            <w:shd w:val="clear" w:color="auto" w:fill="auto"/>
            <w:vAlign w:val="center"/>
            <w:hideMark/>
          </w:tcPr>
          <w:p w14:paraId="3D5F5C35" w14:textId="77777777" w:rsidR="007A4B1F" w:rsidRPr="007434DA" w:rsidRDefault="007A4B1F" w:rsidP="004A57B3">
            <w:pPr>
              <w:jc w:val="center"/>
              <w:rPr>
                <w:rFonts w:eastAsia="Times New Roman" w:cs="Calibri"/>
                <w:color w:val="000000"/>
                <w:sz w:val="18"/>
                <w:szCs w:val="18"/>
                <w:lang w:val="cs-CZ" w:eastAsia="cs-CZ"/>
              </w:rPr>
            </w:pPr>
            <w:r w:rsidRPr="007434DA">
              <w:rPr>
                <w:rFonts w:eastAsia="Times New Roman" w:cs="Calibri"/>
                <w:color w:val="000000"/>
                <w:sz w:val="18"/>
                <w:szCs w:val="18"/>
                <w:lang w:val="cs-CZ" w:eastAsia="cs-CZ"/>
              </w:rPr>
              <w:t>Odchov, chov a výkrm: haly s podestýlkou a výběhové chovy</w:t>
            </w:r>
          </w:p>
        </w:tc>
        <w:tc>
          <w:tcPr>
            <w:tcW w:w="2902" w:type="dxa"/>
            <w:tcBorders>
              <w:top w:val="nil"/>
              <w:left w:val="nil"/>
              <w:bottom w:val="single" w:sz="4" w:space="0" w:color="auto"/>
              <w:right w:val="single" w:sz="4" w:space="0" w:color="auto"/>
            </w:tcBorders>
            <w:shd w:val="clear" w:color="auto" w:fill="auto"/>
            <w:vAlign w:val="center"/>
            <w:hideMark/>
          </w:tcPr>
          <w:p w14:paraId="0E6130CD" w14:textId="77777777" w:rsidR="007A4B1F" w:rsidRPr="007434DA" w:rsidRDefault="007A4B1F" w:rsidP="004A57B3">
            <w:pPr>
              <w:rPr>
                <w:rFonts w:eastAsia="Times New Roman" w:cs="Calibri"/>
                <w:color w:val="000000"/>
                <w:sz w:val="18"/>
                <w:szCs w:val="18"/>
                <w:lang w:val="cs-CZ" w:eastAsia="cs-CZ"/>
              </w:rPr>
            </w:pPr>
            <w:r w:rsidRPr="007434DA">
              <w:rPr>
                <w:rFonts w:eastAsia="Times New Roman" w:cs="Calibri"/>
                <w:color w:val="000000"/>
                <w:sz w:val="18"/>
                <w:szCs w:val="18"/>
                <w:lang w:val="cs-CZ" w:eastAsia="cs-CZ"/>
              </w:rPr>
              <w:t>1) Vyšší vlhkost půdy, popřípadě rozbahněná místa</w:t>
            </w:r>
          </w:p>
        </w:tc>
        <w:tc>
          <w:tcPr>
            <w:tcW w:w="6233" w:type="dxa"/>
            <w:tcBorders>
              <w:top w:val="nil"/>
              <w:left w:val="nil"/>
              <w:bottom w:val="single" w:sz="4" w:space="0" w:color="auto"/>
              <w:right w:val="single" w:sz="4" w:space="0" w:color="auto"/>
            </w:tcBorders>
            <w:shd w:val="clear" w:color="auto" w:fill="auto"/>
            <w:vAlign w:val="center"/>
            <w:hideMark/>
          </w:tcPr>
          <w:p w14:paraId="4199F041" w14:textId="77777777" w:rsidR="007A4B1F" w:rsidRPr="007434DA" w:rsidRDefault="007A4B1F" w:rsidP="004A57B3">
            <w:pPr>
              <w:rPr>
                <w:rFonts w:eastAsia="Times New Roman" w:cs="Calibri"/>
                <w:color w:val="000000"/>
                <w:sz w:val="18"/>
                <w:szCs w:val="18"/>
                <w:lang w:val="cs-CZ" w:eastAsia="cs-CZ"/>
              </w:rPr>
            </w:pPr>
            <w:r w:rsidRPr="007434DA">
              <w:rPr>
                <w:rFonts w:eastAsia="Times New Roman" w:cs="Calibri"/>
                <w:color w:val="000000"/>
                <w:sz w:val="18"/>
                <w:szCs w:val="18"/>
                <w:lang w:val="cs-CZ" w:eastAsia="cs-CZ"/>
              </w:rPr>
              <w:t>1) Vyšší nároky na vodu</w:t>
            </w:r>
          </w:p>
        </w:tc>
        <w:tc>
          <w:tcPr>
            <w:tcW w:w="1516" w:type="dxa"/>
            <w:tcBorders>
              <w:top w:val="nil"/>
              <w:left w:val="nil"/>
              <w:bottom w:val="single" w:sz="4" w:space="0" w:color="auto"/>
              <w:right w:val="single" w:sz="4" w:space="0" w:color="auto"/>
            </w:tcBorders>
            <w:shd w:val="clear" w:color="auto" w:fill="auto"/>
            <w:noWrap/>
            <w:vAlign w:val="center"/>
            <w:hideMark/>
          </w:tcPr>
          <w:p w14:paraId="49A2C7E7" w14:textId="77777777" w:rsidR="007A4B1F" w:rsidRPr="007434DA" w:rsidRDefault="007A4B1F" w:rsidP="004A57B3">
            <w:pPr>
              <w:rPr>
                <w:rFonts w:eastAsia="Times New Roman" w:cs="Calibri"/>
                <w:color w:val="000000"/>
                <w:sz w:val="18"/>
                <w:szCs w:val="18"/>
                <w:lang w:val="cs-CZ" w:eastAsia="cs-CZ"/>
              </w:rPr>
            </w:pPr>
            <w:r w:rsidRPr="007434DA">
              <w:rPr>
                <w:rFonts w:eastAsia="Times New Roman" w:cs="Calibri"/>
                <w:color w:val="000000"/>
                <w:sz w:val="18"/>
                <w:szCs w:val="18"/>
                <w:lang w:val="cs-CZ" w:eastAsia="cs-CZ"/>
              </w:rPr>
              <w:t>1) odhad VÚŽV 80 %</w:t>
            </w:r>
          </w:p>
        </w:tc>
      </w:tr>
      <w:tr w:rsidR="007A4B1F" w:rsidRPr="007434DA" w14:paraId="7503F9D5" w14:textId="77777777" w:rsidTr="007D174B">
        <w:trPr>
          <w:trHeight w:val="329"/>
        </w:trPr>
        <w:tc>
          <w:tcPr>
            <w:tcW w:w="900" w:type="dxa"/>
            <w:vMerge/>
            <w:tcBorders>
              <w:top w:val="nil"/>
              <w:left w:val="single" w:sz="4" w:space="0" w:color="auto"/>
              <w:bottom w:val="single" w:sz="4" w:space="0" w:color="auto"/>
              <w:right w:val="single" w:sz="4" w:space="0" w:color="auto"/>
            </w:tcBorders>
            <w:vAlign w:val="center"/>
            <w:hideMark/>
          </w:tcPr>
          <w:p w14:paraId="7D16464B" w14:textId="77777777" w:rsidR="007A4B1F" w:rsidRPr="007434DA" w:rsidRDefault="007A4B1F" w:rsidP="004A57B3">
            <w:pPr>
              <w:rPr>
                <w:rFonts w:eastAsia="Times New Roman" w:cs="Calibri"/>
                <w:color w:val="000000"/>
                <w:sz w:val="18"/>
                <w:szCs w:val="18"/>
                <w:lang w:val="cs-CZ" w:eastAsia="cs-CZ"/>
              </w:rPr>
            </w:pPr>
          </w:p>
        </w:tc>
        <w:tc>
          <w:tcPr>
            <w:tcW w:w="1189" w:type="dxa"/>
            <w:vMerge/>
            <w:tcBorders>
              <w:top w:val="nil"/>
              <w:left w:val="single" w:sz="4" w:space="0" w:color="auto"/>
              <w:bottom w:val="single" w:sz="4" w:space="0" w:color="auto"/>
              <w:right w:val="single" w:sz="4" w:space="0" w:color="auto"/>
            </w:tcBorders>
            <w:vAlign w:val="center"/>
            <w:hideMark/>
          </w:tcPr>
          <w:p w14:paraId="5A93A215" w14:textId="77777777" w:rsidR="007A4B1F" w:rsidRPr="007434DA" w:rsidRDefault="007A4B1F" w:rsidP="004A57B3">
            <w:pPr>
              <w:rPr>
                <w:rFonts w:eastAsia="Times New Roman" w:cs="Calibri"/>
                <w:color w:val="000000"/>
                <w:sz w:val="18"/>
                <w:szCs w:val="18"/>
                <w:lang w:val="cs-CZ" w:eastAsia="cs-CZ"/>
              </w:rPr>
            </w:pPr>
          </w:p>
        </w:tc>
        <w:tc>
          <w:tcPr>
            <w:tcW w:w="1530" w:type="dxa"/>
            <w:vMerge/>
            <w:tcBorders>
              <w:top w:val="nil"/>
              <w:left w:val="single" w:sz="4" w:space="0" w:color="auto"/>
              <w:bottom w:val="single" w:sz="4" w:space="0" w:color="auto"/>
              <w:right w:val="single" w:sz="4" w:space="0" w:color="auto"/>
            </w:tcBorders>
            <w:vAlign w:val="center"/>
            <w:hideMark/>
          </w:tcPr>
          <w:p w14:paraId="6CBDDCC3" w14:textId="77777777" w:rsidR="007A4B1F" w:rsidRPr="007434DA" w:rsidRDefault="007A4B1F" w:rsidP="004A57B3">
            <w:pPr>
              <w:rPr>
                <w:rFonts w:eastAsia="Times New Roman" w:cs="Calibri"/>
                <w:color w:val="000000"/>
                <w:sz w:val="18"/>
                <w:szCs w:val="18"/>
                <w:lang w:val="cs-CZ" w:eastAsia="cs-CZ"/>
              </w:rPr>
            </w:pPr>
          </w:p>
        </w:tc>
        <w:tc>
          <w:tcPr>
            <w:tcW w:w="2902" w:type="dxa"/>
            <w:tcBorders>
              <w:top w:val="nil"/>
              <w:left w:val="nil"/>
              <w:bottom w:val="single" w:sz="4" w:space="0" w:color="auto"/>
              <w:right w:val="single" w:sz="4" w:space="0" w:color="auto"/>
            </w:tcBorders>
            <w:shd w:val="clear" w:color="auto" w:fill="auto"/>
            <w:vAlign w:val="center"/>
            <w:hideMark/>
          </w:tcPr>
          <w:p w14:paraId="4ACB1C93" w14:textId="77777777" w:rsidR="007A4B1F" w:rsidRPr="007434DA" w:rsidRDefault="007A4B1F" w:rsidP="004A57B3">
            <w:pPr>
              <w:rPr>
                <w:rFonts w:eastAsia="Times New Roman" w:cs="Calibri"/>
                <w:color w:val="000000"/>
                <w:sz w:val="18"/>
                <w:szCs w:val="18"/>
                <w:lang w:val="cs-CZ" w:eastAsia="cs-CZ"/>
              </w:rPr>
            </w:pPr>
            <w:r w:rsidRPr="007434DA">
              <w:rPr>
                <w:rFonts w:eastAsia="Times New Roman" w:cs="Calibri"/>
                <w:color w:val="000000"/>
                <w:sz w:val="18"/>
                <w:szCs w:val="18"/>
                <w:lang w:val="cs-CZ" w:eastAsia="cs-CZ"/>
              </w:rPr>
              <w:t>2) vyšší výskyt endoparazitů u venkovního výkrmu</w:t>
            </w:r>
          </w:p>
        </w:tc>
        <w:tc>
          <w:tcPr>
            <w:tcW w:w="6233" w:type="dxa"/>
            <w:tcBorders>
              <w:top w:val="nil"/>
              <w:left w:val="nil"/>
              <w:bottom w:val="single" w:sz="4" w:space="0" w:color="auto"/>
              <w:right w:val="single" w:sz="4" w:space="0" w:color="auto"/>
            </w:tcBorders>
            <w:shd w:val="clear" w:color="auto" w:fill="auto"/>
            <w:noWrap/>
            <w:vAlign w:val="center"/>
            <w:hideMark/>
          </w:tcPr>
          <w:p w14:paraId="6D14176E" w14:textId="77777777" w:rsidR="007A4B1F" w:rsidRPr="007434DA" w:rsidRDefault="007A4B1F" w:rsidP="004A57B3">
            <w:pPr>
              <w:rPr>
                <w:rFonts w:eastAsia="Times New Roman" w:cs="Calibri"/>
                <w:color w:val="000000"/>
                <w:sz w:val="18"/>
                <w:szCs w:val="18"/>
                <w:lang w:val="cs-CZ" w:eastAsia="cs-CZ"/>
              </w:rPr>
            </w:pPr>
            <w:r w:rsidRPr="007434DA">
              <w:rPr>
                <w:rFonts w:eastAsia="Times New Roman" w:cs="Calibri"/>
                <w:color w:val="000000"/>
                <w:sz w:val="18"/>
                <w:szCs w:val="18"/>
                <w:lang w:val="cs-CZ" w:eastAsia="cs-CZ"/>
              </w:rPr>
              <w:t>2) Kontakt s vnějším prostředím</w:t>
            </w:r>
          </w:p>
        </w:tc>
        <w:tc>
          <w:tcPr>
            <w:tcW w:w="1516" w:type="dxa"/>
            <w:tcBorders>
              <w:top w:val="nil"/>
              <w:left w:val="nil"/>
              <w:bottom w:val="single" w:sz="4" w:space="0" w:color="auto"/>
              <w:right w:val="single" w:sz="4" w:space="0" w:color="auto"/>
            </w:tcBorders>
            <w:shd w:val="clear" w:color="auto" w:fill="auto"/>
            <w:noWrap/>
            <w:vAlign w:val="center"/>
            <w:hideMark/>
          </w:tcPr>
          <w:p w14:paraId="36D3C39C" w14:textId="77777777" w:rsidR="007A4B1F" w:rsidRPr="007434DA" w:rsidRDefault="007A4B1F" w:rsidP="004A57B3">
            <w:pPr>
              <w:rPr>
                <w:rFonts w:eastAsia="Times New Roman" w:cs="Calibri"/>
                <w:color w:val="000000"/>
                <w:sz w:val="18"/>
                <w:szCs w:val="18"/>
                <w:lang w:val="cs-CZ" w:eastAsia="cs-CZ"/>
              </w:rPr>
            </w:pPr>
            <w:r w:rsidRPr="007434DA">
              <w:rPr>
                <w:rFonts w:eastAsia="Times New Roman" w:cs="Calibri"/>
                <w:color w:val="000000"/>
                <w:sz w:val="18"/>
                <w:szCs w:val="18"/>
                <w:lang w:val="cs-CZ" w:eastAsia="cs-CZ"/>
              </w:rPr>
              <w:t>2) odhad VÚŽV 80 %</w:t>
            </w:r>
          </w:p>
        </w:tc>
      </w:tr>
    </w:tbl>
    <w:p w14:paraId="788EB39A" w14:textId="77777777" w:rsidR="007D174B" w:rsidRPr="007434DA" w:rsidRDefault="007D174B" w:rsidP="007D174B">
      <w:pPr>
        <w:spacing w:before="120"/>
        <w:rPr>
          <w:rFonts w:cs="Times New Roman"/>
          <w:i/>
          <w:sz w:val="18"/>
          <w:szCs w:val="18"/>
          <w:lang w:val="cs-CZ"/>
        </w:rPr>
      </w:pPr>
      <w:r w:rsidRPr="007434DA">
        <w:rPr>
          <w:rFonts w:cs="Times New Roman"/>
          <w:i/>
          <w:sz w:val="18"/>
          <w:szCs w:val="18"/>
          <w:lang w:val="cs-CZ"/>
        </w:rPr>
        <w:t>Pramen: Podklady VÚŽV, odhady ÚZEI, Českomoravská drůbežářská unie, z. p.</w:t>
      </w:r>
    </w:p>
    <w:p w14:paraId="158D0AD1" w14:textId="77777777" w:rsidR="007D174B" w:rsidRPr="007434DA" w:rsidRDefault="007D174B" w:rsidP="007D174B">
      <w:pPr>
        <w:rPr>
          <w:rStyle w:val="Zdraznnintenzivn"/>
          <w:rFonts w:cs="Times New Roman"/>
          <w:color w:val="auto"/>
          <w:sz w:val="18"/>
          <w:szCs w:val="18"/>
          <w:lang w:val="cs-CZ"/>
        </w:rPr>
      </w:pPr>
      <w:r w:rsidRPr="007434DA">
        <w:rPr>
          <w:rStyle w:val="Zdraznnintenzivn"/>
          <w:rFonts w:cs="Times New Roman"/>
          <w:color w:val="auto"/>
          <w:sz w:val="18"/>
          <w:szCs w:val="18"/>
          <w:lang w:val="cs-CZ"/>
        </w:rPr>
        <w:t>Pozn.: Čísla znamenají významnost problému, nebo příčiny, když nejnižší číslo označuje nejvyšší míru závažnosti.</w:t>
      </w:r>
    </w:p>
    <w:bookmarkEnd w:id="391"/>
    <w:bookmarkEnd w:id="392"/>
    <w:p w14:paraId="2C736C0D" w14:textId="63050B42" w:rsidR="008C3DEB" w:rsidRPr="007434DA" w:rsidRDefault="008C3DEB" w:rsidP="00AA5BA3">
      <w:pPr>
        <w:spacing w:before="120"/>
        <w:rPr>
          <w:rFonts w:cs="Times New Roman"/>
          <w:b/>
          <w:sz w:val="20"/>
          <w:szCs w:val="20"/>
          <w:lang w:val="cs-CZ"/>
        </w:rPr>
      </w:pPr>
    </w:p>
    <w:sectPr w:rsidR="008C3DEB" w:rsidRPr="007434DA" w:rsidSect="00030616">
      <w:headerReference w:type="even" r:id="rId66"/>
      <w:headerReference w:type="default" r:id="rId67"/>
      <w:footerReference w:type="default" r:id="rId68"/>
      <w:headerReference w:type="first" r:id="rId69"/>
      <w:pgSz w:w="16838" w:h="11906" w:orient="landscape"/>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4A78082" w14:textId="77777777" w:rsidR="0005469C" w:rsidRDefault="0005469C" w:rsidP="00B87E14">
      <w:r>
        <w:separator/>
      </w:r>
    </w:p>
  </w:endnote>
  <w:endnote w:type="continuationSeparator" w:id="0">
    <w:p w14:paraId="05F0C229" w14:textId="77777777" w:rsidR="0005469C" w:rsidRDefault="0005469C" w:rsidP="00B87E14">
      <w:r>
        <w:continuationSeparator/>
      </w:r>
    </w:p>
  </w:endnote>
  <w:endnote w:type="continuationNotice" w:id="1">
    <w:p w14:paraId="668D5DEE" w14:textId="77777777" w:rsidR="0005469C" w:rsidRDefault="0005469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Verdana">
    <w:panose1 w:val="020B0604030504040204"/>
    <w:charset w:val="EE"/>
    <w:family w:val="swiss"/>
    <w:pitch w:val="variable"/>
    <w:sig w:usb0="A00006FF" w:usb1="4000205B" w:usb2="00000010" w:usb3="00000000" w:csb0="0000019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Book Antiqua">
    <w:panose1 w:val="02040602050305030304"/>
    <w:charset w:val="EE"/>
    <w:family w:val="roman"/>
    <w:pitch w:val="variable"/>
    <w:sig w:usb0="00000287" w:usb1="000000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Arial (Základní text CS)">
    <w:panose1 w:val="00000000000000000000"/>
    <w:charset w:val="00"/>
    <w:family w:val="roman"/>
    <w:notTrueType/>
    <w:pitch w:val="default"/>
  </w:font>
  <w:font w:name="GillSansMT">
    <w:altName w:val="Calibri"/>
    <w:panose1 w:val="00000000000000000000"/>
    <w:charset w:val="EE"/>
    <w:family w:val="auto"/>
    <w:notTrueType/>
    <w:pitch w:val="default"/>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92DD0A" w14:textId="77777777" w:rsidR="0005469C" w:rsidRDefault="0005469C">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41953048"/>
      <w:docPartObj>
        <w:docPartGallery w:val="Page Numbers (Bottom of Page)"/>
        <w:docPartUnique/>
      </w:docPartObj>
    </w:sdtPr>
    <w:sdtContent>
      <w:p w14:paraId="179EB6A5" w14:textId="3432F2D5" w:rsidR="0005469C" w:rsidRDefault="0005469C">
        <w:pPr>
          <w:pStyle w:val="Zpat"/>
          <w:jc w:val="center"/>
        </w:pPr>
        <w:r>
          <w:fldChar w:fldCharType="begin"/>
        </w:r>
        <w:r>
          <w:instrText>PAGE   \* MERGEFORMAT</w:instrText>
        </w:r>
        <w:r>
          <w:fldChar w:fldCharType="separate"/>
        </w:r>
        <w:r w:rsidR="00FA3A37">
          <w:rPr>
            <w:noProof/>
          </w:rPr>
          <w:t>22</w:t>
        </w:r>
        <w:r>
          <w:fldChar w:fldCharType="end"/>
        </w:r>
      </w:p>
    </w:sdtContent>
  </w:sdt>
  <w:p w14:paraId="3ED1941C" w14:textId="77777777" w:rsidR="0005469C" w:rsidRDefault="0005469C">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E3AC86" w14:textId="77777777" w:rsidR="0005469C" w:rsidRDefault="0005469C">
    <w:pPr>
      <w:pStyle w:val="Zpat"/>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50241669"/>
      <w:docPartObj>
        <w:docPartGallery w:val="Page Numbers (Bottom of Page)"/>
        <w:docPartUnique/>
      </w:docPartObj>
    </w:sdtPr>
    <w:sdtContent>
      <w:p w14:paraId="6670FB55" w14:textId="2BAD1F56" w:rsidR="0005469C" w:rsidRDefault="0005469C">
        <w:pPr>
          <w:pStyle w:val="Zpat"/>
          <w:jc w:val="center"/>
        </w:pPr>
        <w:r>
          <w:fldChar w:fldCharType="begin"/>
        </w:r>
        <w:r>
          <w:instrText>PAGE   \* MERGEFORMAT</w:instrText>
        </w:r>
        <w:r>
          <w:fldChar w:fldCharType="separate"/>
        </w:r>
        <w:r w:rsidR="00FA3A37" w:rsidRPr="00FA3A37">
          <w:rPr>
            <w:noProof/>
            <w:lang w:val="cs-CZ"/>
          </w:rPr>
          <w:t>145</w:t>
        </w:r>
        <w:r>
          <w:fldChar w:fldCharType="end"/>
        </w:r>
      </w:p>
    </w:sdtContent>
  </w:sdt>
  <w:p w14:paraId="1766D528" w14:textId="77777777" w:rsidR="0005469C" w:rsidRDefault="0005469C">
    <w:pPr>
      <w:pStyle w:val="Zpat"/>
    </w:pPr>
  </w:p>
  <w:p w14:paraId="7A070519" w14:textId="77777777" w:rsidR="0005469C" w:rsidRDefault="0005469C"/>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C3EA336" w14:textId="77777777" w:rsidR="0005469C" w:rsidRDefault="0005469C" w:rsidP="00B87E14">
      <w:r>
        <w:separator/>
      </w:r>
    </w:p>
  </w:footnote>
  <w:footnote w:type="continuationSeparator" w:id="0">
    <w:p w14:paraId="47EAAC52" w14:textId="77777777" w:rsidR="0005469C" w:rsidRDefault="0005469C" w:rsidP="00B87E14">
      <w:r>
        <w:continuationSeparator/>
      </w:r>
    </w:p>
  </w:footnote>
  <w:footnote w:type="continuationNotice" w:id="1">
    <w:p w14:paraId="39C16027" w14:textId="77777777" w:rsidR="0005469C" w:rsidRDefault="0005469C"/>
  </w:footnote>
  <w:footnote w:id="2">
    <w:p w14:paraId="355B8C20" w14:textId="77777777" w:rsidR="0005469C" w:rsidRPr="00F82655" w:rsidRDefault="0005469C" w:rsidP="00CB2594">
      <w:pPr>
        <w:pStyle w:val="Textpoznpodarou"/>
        <w:spacing w:after="120"/>
      </w:pPr>
      <w:r w:rsidRPr="00F82655">
        <w:rPr>
          <w:i/>
          <w:sz w:val="18"/>
          <w:szCs w:val="18"/>
        </w:rPr>
        <w:footnoteRef/>
      </w:r>
      <w:r w:rsidRPr="00F82655">
        <w:rPr>
          <w:i/>
          <w:sz w:val="18"/>
          <w:szCs w:val="18"/>
        </w:rPr>
        <w:t xml:space="preserve"> Podle mezinárodní definice formulované komisí Kodex Alimentarius (Codex Alimentarius Commission - CAC) se jako pesticidy označují všechny sloučeniny nebo jejich směsi, určené pro prevenci, zničení, potlačení, odpuzení či kontrolu škodlivých organismů (t.j. nežádoucích rostlin, mikroorganismů či živočichů) během produkce, skladování, transportu, distribuce a zpracování potravin, zemědělských komodit a krmiv a dále látky aplikované u zvířat proti ektoparazitům. Termín „pesticidy“ zahrnuje též sloučeniny používané jako desikanty, regulátory či stimulátory růstu a inhibitory klíčení aplikované na plodiny před nebo po jejich sklizni.</w:t>
      </w:r>
    </w:p>
  </w:footnote>
  <w:footnote w:id="3">
    <w:p w14:paraId="141B7062" w14:textId="77777777" w:rsidR="0005469C" w:rsidRPr="00F82655" w:rsidRDefault="0005469C" w:rsidP="00CB2594">
      <w:pPr>
        <w:pStyle w:val="Textpoznpodarou"/>
        <w:rPr>
          <w:i/>
          <w:sz w:val="18"/>
          <w:szCs w:val="18"/>
        </w:rPr>
      </w:pPr>
      <w:r w:rsidRPr="00F82655">
        <w:rPr>
          <w:rStyle w:val="Znakapoznpodarou"/>
          <w:i/>
        </w:rPr>
        <w:footnoteRef/>
      </w:r>
      <w:r w:rsidRPr="00F82655">
        <w:rPr>
          <w:i/>
          <w:sz w:val="18"/>
          <w:szCs w:val="18"/>
        </w:rPr>
        <w:t>Pramen: TÚ 66/2019 – Kupní chování spotřebitele: segmentace trhu a vnímaná kvalita vybraných druhů potravin. Kolektiv autorů ÚZEI. Sběr dat proběhl formou dotazníkového šetření metodou CAWI, tj. prostřednictvím online dotazníků v říjnu 2019 připravených pracovníky ÚZEI. Respondenti byli vybráni na základě kvótního výběru, tak aby reprezentovali sociodemografickou strukturu obyvatel ČR ve věku nad 18 let. Celkem se šetření zúčastnilo 1214 respondentů.</w:t>
      </w:r>
    </w:p>
  </w:footnote>
  <w:footnote w:id="4">
    <w:p w14:paraId="7BB32163" w14:textId="77777777" w:rsidR="0005469C" w:rsidRPr="0005469C" w:rsidRDefault="0005469C" w:rsidP="00CB2594">
      <w:pPr>
        <w:rPr>
          <w:rFonts w:cs="Times New Roman"/>
          <w:sz w:val="18"/>
          <w:szCs w:val="18"/>
          <w:lang w:val="es-ES"/>
        </w:rPr>
      </w:pPr>
      <w:r w:rsidRPr="00F82655">
        <w:rPr>
          <w:rStyle w:val="Znakapoznpodarou"/>
          <w:sz w:val="18"/>
          <w:szCs w:val="18"/>
        </w:rPr>
        <w:footnoteRef/>
      </w:r>
      <w:r w:rsidRPr="0005469C">
        <w:rPr>
          <w:rFonts w:cs="Times New Roman"/>
          <w:sz w:val="18"/>
          <w:szCs w:val="18"/>
          <w:lang w:val="es-ES"/>
        </w:rPr>
        <w:t xml:space="preserve"> </w:t>
      </w:r>
      <w:r w:rsidRPr="0005469C">
        <w:rPr>
          <w:rFonts w:cs="Times New Roman"/>
          <w:i/>
          <w:sz w:val="18"/>
          <w:szCs w:val="18"/>
          <w:lang w:val="es-ES"/>
        </w:rPr>
        <w:t>Pramen.</w:t>
      </w:r>
      <w:r w:rsidRPr="0005469C">
        <w:rPr>
          <w:rFonts w:cs="Times New Roman"/>
          <w:sz w:val="18"/>
          <w:szCs w:val="18"/>
          <w:lang w:val="es-ES"/>
        </w:rPr>
        <w:t xml:space="preserve"> </w:t>
      </w:r>
      <w:r w:rsidRPr="0005469C">
        <w:rPr>
          <w:rFonts w:cs="Times New Roman"/>
          <w:i/>
          <w:sz w:val="18"/>
          <w:szCs w:val="18"/>
          <w:lang w:val="es-ES"/>
        </w:rPr>
        <w:t>Zpráva o trhu s biopotravinami v ČR v roce 2019</w:t>
      </w:r>
    </w:p>
  </w:footnote>
  <w:footnote w:id="5">
    <w:p w14:paraId="2214BF3D" w14:textId="77777777" w:rsidR="0005469C" w:rsidRPr="008A461A" w:rsidRDefault="0005469C" w:rsidP="00CB2594">
      <w:pPr>
        <w:pStyle w:val="Textpoznpodarou"/>
        <w:rPr>
          <w:rFonts w:ascii="Arial" w:hAnsi="Arial" w:cs="Arial"/>
          <w:color w:val="000000" w:themeColor="text1"/>
          <w:sz w:val="18"/>
          <w:szCs w:val="18"/>
        </w:rPr>
      </w:pPr>
      <w:r w:rsidRPr="00F82655">
        <w:rPr>
          <w:rStyle w:val="Znakapoznpodarou"/>
          <w:sz w:val="18"/>
          <w:szCs w:val="18"/>
        </w:rPr>
        <w:footnoteRef/>
      </w:r>
      <w:r w:rsidRPr="00F82655">
        <w:rPr>
          <w:sz w:val="18"/>
          <w:szCs w:val="18"/>
        </w:rPr>
        <w:t xml:space="preserve"> </w:t>
      </w:r>
      <w:r w:rsidRPr="00F82655">
        <w:rPr>
          <w:i/>
          <w:color w:val="000000" w:themeColor="text1"/>
          <w:sz w:val="18"/>
          <w:szCs w:val="18"/>
        </w:rPr>
        <w:t>Tento zákaz je uveden na etiketě přípravku na ochranu rostlin a kontrolováno jeho dodržení orgány státního dozoru.</w:t>
      </w:r>
    </w:p>
  </w:footnote>
  <w:footnote w:id="6">
    <w:p w14:paraId="10F94CC6" w14:textId="77777777" w:rsidR="0005469C" w:rsidRPr="0005469C" w:rsidRDefault="0005469C" w:rsidP="00CB2594">
      <w:pPr>
        <w:rPr>
          <w:rFonts w:cs="Times New Roman"/>
          <w:sz w:val="18"/>
          <w:szCs w:val="18"/>
          <w:lang w:val="cs-CZ"/>
        </w:rPr>
      </w:pPr>
      <w:r w:rsidRPr="00F82655">
        <w:rPr>
          <w:rStyle w:val="Znakapoznpodarou"/>
          <w:sz w:val="18"/>
          <w:szCs w:val="18"/>
        </w:rPr>
        <w:footnoteRef/>
      </w:r>
      <w:r w:rsidRPr="0005469C">
        <w:rPr>
          <w:rFonts w:cs="Times New Roman"/>
          <w:sz w:val="18"/>
          <w:szCs w:val="18"/>
          <w:lang w:val="cs-CZ"/>
        </w:rPr>
        <w:t xml:space="preserve"> </w:t>
      </w:r>
      <w:r w:rsidRPr="0005469C">
        <w:rPr>
          <w:rFonts w:cs="Times New Roman"/>
          <w:i/>
          <w:sz w:val="18"/>
          <w:szCs w:val="18"/>
          <w:lang w:val="cs-CZ"/>
        </w:rPr>
        <w:t>Analýza viz Příloha A1 zpracována odborníky VÚRV – Prof. František Kocourek, ČHMÚ – Mgr. Vít Kodeš, SZÚ</w:t>
      </w:r>
      <w:r w:rsidRPr="0005469C">
        <w:rPr>
          <w:rFonts w:cs="Times New Roman"/>
          <w:i/>
          <w:sz w:val="18"/>
          <w:szCs w:val="18"/>
          <w:lang w:val="cs-CZ"/>
        </w:rPr>
        <w:noBreakHyphen/>
        <w:t>MVDr. František Kožíšek a byla oponovány členy Vědeckého výboru fytosanitárního a životního prostředí</w:t>
      </w:r>
    </w:p>
  </w:footnote>
  <w:footnote w:id="7">
    <w:p w14:paraId="4702F197" w14:textId="092E3B65" w:rsidR="0005469C" w:rsidRPr="000331F6" w:rsidRDefault="0005469C" w:rsidP="00CB2594">
      <w:pPr>
        <w:pStyle w:val="Textpoznpodarou"/>
        <w:rPr>
          <w:rFonts w:ascii="Arial" w:hAnsi="Arial" w:cs="Arial"/>
          <w:i/>
          <w:sz w:val="18"/>
          <w:szCs w:val="18"/>
        </w:rPr>
      </w:pPr>
      <w:r w:rsidRPr="00F82655">
        <w:rPr>
          <w:rStyle w:val="Znakapoznpodarou"/>
        </w:rPr>
        <w:footnoteRef/>
      </w:r>
      <w:r w:rsidRPr="00F82655">
        <w:t xml:space="preserve"> </w:t>
      </w:r>
      <w:r w:rsidRPr="00F82655">
        <w:rPr>
          <w:i/>
          <w:sz w:val="18"/>
          <w:szCs w:val="18"/>
        </w:rPr>
        <w:t>Pramen: I.</w:t>
      </w:r>
      <w:r w:rsidRPr="00F82655">
        <w:rPr>
          <w:i/>
          <w:color w:val="000000"/>
          <w:sz w:val="18"/>
          <w:szCs w:val="18"/>
        </w:rPr>
        <w:t xml:space="preserve"> Egyudová a, E</w:t>
      </w:r>
      <w:r w:rsidRPr="00F82655">
        <w:rPr>
          <w:i/>
          <w:sz w:val="18"/>
          <w:szCs w:val="18"/>
        </w:rPr>
        <w:t>.</w:t>
      </w:r>
      <w:r w:rsidRPr="00F82655">
        <w:rPr>
          <w:i/>
          <w:color w:val="000000"/>
          <w:sz w:val="18"/>
          <w:szCs w:val="18"/>
        </w:rPr>
        <w:t xml:space="preserve"> Šturdík b,</w:t>
      </w:r>
      <w:r w:rsidRPr="00F82655">
        <w:rPr>
          <w:i/>
          <w:sz w:val="18"/>
          <w:szCs w:val="18"/>
        </w:rPr>
        <w:t xml:space="preserve"> </w:t>
      </w:r>
      <w:r w:rsidRPr="00F82655">
        <w:rPr>
          <w:i/>
          <w:color w:val="000000"/>
          <w:sz w:val="18"/>
          <w:szCs w:val="18"/>
        </w:rPr>
        <w:t>Ťažké kovy a pesticidy v potravinách, Nova Biotechnologica, 2004.</w:t>
      </w:r>
      <w:r>
        <w:rPr>
          <w:i/>
          <w:color w:val="000000"/>
          <w:sz w:val="18"/>
          <w:szCs w:val="18"/>
        </w:rPr>
        <w:t xml:space="preserve"> </w:t>
      </w:r>
      <w:r w:rsidRPr="00F82655">
        <w:rPr>
          <w:i/>
          <w:sz w:val="18"/>
          <w:szCs w:val="18"/>
        </w:rPr>
        <w:t>Těžké kovy bývají z chemického hlediska definovány objemovou hmotností větší než 5 000 kg.m</w:t>
      </w:r>
      <w:r w:rsidRPr="00FA3A37">
        <w:rPr>
          <w:i/>
          <w:sz w:val="18"/>
          <w:szCs w:val="18"/>
          <w:vertAlign w:val="superscript"/>
        </w:rPr>
        <w:t>3</w:t>
      </w:r>
      <w:r w:rsidRPr="00F82655">
        <w:rPr>
          <w:i/>
          <w:sz w:val="18"/>
          <w:szCs w:val="18"/>
        </w:rPr>
        <w:t>.</w:t>
      </w:r>
    </w:p>
  </w:footnote>
  <w:footnote w:id="8">
    <w:p w14:paraId="56FB0765" w14:textId="77777777" w:rsidR="0005469C" w:rsidRPr="0005469C" w:rsidRDefault="0005469C" w:rsidP="00CB2594">
      <w:pPr>
        <w:rPr>
          <w:rFonts w:cs="Times New Roman"/>
          <w:i/>
          <w:sz w:val="18"/>
          <w:szCs w:val="18"/>
          <w:lang w:val="cs-CZ"/>
        </w:rPr>
      </w:pPr>
      <w:r w:rsidRPr="00D0420B">
        <w:rPr>
          <w:rStyle w:val="Znakapoznpodarou"/>
        </w:rPr>
        <w:footnoteRef/>
      </w:r>
      <w:r w:rsidRPr="0005469C">
        <w:rPr>
          <w:rFonts w:cs="Times New Roman"/>
          <w:lang w:val="cs-CZ"/>
        </w:rPr>
        <w:t xml:space="preserve"> </w:t>
      </w:r>
      <w:r w:rsidRPr="0005469C">
        <w:rPr>
          <w:rFonts w:cs="Times New Roman"/>
          <w:i/>
          <w:sz w:val="18"/>
          <w:szCs w:val="18"/>
          <w:lang w:val="cs-CZ"/>
        </w:rPr>
        <w:t>ČSÚ: Vývoj ploch osevů k 31. květnu, Výpočet ÚZEI: Průměr let 2014-2018 - osevní plocha řepky 16 %, kukuřice 13 %, cukrové řepy 2,5 %</w:t>
      </w:r>
    </w:p>
    <w:p w14:paraId="775789DA" w14:textId="77777777" w:rsidR="0005469C" w:rsidRDefault="0005469C" w:rsidP="00CB2594">
      <w:pPr>
        <w:pStyle w:val="Textpoznpodarou"/>
      </w:pPr>
    </w:p>
  </w:footnote>
  <w:footnote w:id="9">
    <w:p w14:paraId="74505A11" w14:textId="77777777" w:rsidR="0005469C" w:rsidRPr="00044C77" w:rsidRDefault="0005469C" w:rsidP="00CB2594">
      <w:pPr>
        <w:pStyle w:val="Textpoznpodarou"/>
        <w:rPr>
          <w:i/>
          <w:sz w:val="18"/>
          <w:szCs w:val="18"/>
        </w:rPr>
      </w:pPr>
      <w:r w:rsidRPr="00044C77">
        <w:rPr>
          <w:rStyle w:val="Znakapoznpodarou"/>
        </w:rPr>
        <w:footnoteRef/>
      </w:r>
      <w:r w:rsidRPr="00044C77">
        <w:t xml:space="preserve"> </w:t>
      </w:r>
      <w:r w:rsidRPr="00044C77">
        <w:rPr>
          <w:i/>
          <w:sz w:val="18"/>
          <w:szCs w:val="18"/>
        </w:rPr>
        <w:t>Pro dusičnany byly v ČR implementovány požadavky tzv. Nitrátové směrnice (91/676/EHSo ochraně vod před znečišťováním způsobeném dusičnany ze zemědělských zdrojů) tj. byly definovány zranitelné oblasti a opatření (Zákon o vodách 254/2001 Sb. § 32 a 33, NV 262/2012 Sb. o stanovení zranitelných oblastí a akčním programu, v aktuálním znění).</w:t>
      </w:r>
    </w:p>
  </w:footnote>
  <w:footnote w:id="10">
    <w:p w14:paraId="499C3157" w14:textId="77777777" w:rsidR="0005469C" w:rsidRPr="00A45FC9" w:rsidRDefault="0005469C" w:rsidP="00CB2594">
      <w:pPr>
        <w:pStyle w:val="Textpoznpodarou"/>
        <w:rPr>
          <w:i/>
          <w:sz w:val="18"/>
          <w:szCs w:val="18"/>
        </w:rPr>
      </w:pPr>
      <w:r w:rsidRPr="00A45FC9">
        <w:rPr>
          <w:rStyle w:val="Znakapoznpodarou"/>
        </w:rPr>
        <w:footnoteRef/>
      </w:r>
      <w:r w:rsidRPr="00A45FC9">
        <w:t xml:space="preserve"> </w:t>
      </w:r>
      <w:r w:rsidRPr="00A45FC9">
        <w:rPr>
          <w:i/>
          <w:sz w:val="18"/>
          <w:szCs w:val="18"/>
        </w:rPr>
        <w:t>Kocourek F., 1996: Řízení populací škůdců, chorob a plevelů v TUZ: 150-166. In: Barták M., Šarapatka B., Kocourek F.: Speciální agroekologie. Vysoká škola báňská - Technická universita Ostrava - program PHARE, 1996, no.6: 179 pp.</w:t>
      </w:r>
    </w:p>
  </w:footnote>
  <w:footnote w:id="11">
    <w:p w14:paraId="081DB77E" w14:textId="77777777" w:rsidR="0005469C" w:rsidRPr="00A45FC9" w:rsidRDefault="0005469C" w:rsidP="00CB2594">
      <w:pPr>
        <w:pStyle w:val="Textpoznpodarou"/>
        <w:rPr>
          <w:i/>
          <w:sz w:val="18"/>
          <w:szCs w:val="18"/>
        </w:rPr>
      </w:pPr>
      <w:r w:rsidRPr="00A45FC9">
        <w:rPr>
          <w:i/>
          <w:sz w:val="18"/>
          <w:szCs w:val="18"/>
          <w:vertAlign w:val="superscript"/>
        </w:rPr>
        <w:footnoteRef/>
      </w:r>
      <w:r w:rsidRPr="00A45FC9">
        <w:rPr>
          <w:i/>
          <w:sz w:val="18"/>
          <w:szCs w:val="18"/>
          <w:vertAlign w:val="superscript"/>
        </w:rPr>
        <w:t xml:space="preserve"> </w:t>
      </w:r>
      <w:r w:rsidRPr="00A45FC9">
        <w:rPr>
          <w:i/>
          <w:sz w:val="18"/>
          <w:szCs w:val="18"/>
        </w:rPr>
        <w:t>ČSÚ – Soupis hospodářských zvířat k 1.4.</w:t>
      </w:r>
    </w:p>
  </w:footnote>
  <w:footnote w:id="12">
    <w:p w14:paraId="77150AED" w14:textId="77777777" w:rsidR="0005469C" w:rsidRPr="004255DC" w:rsidRDefault="0005469C" w:rsidP="00CB2594">
      <w:pPr>
        <w:pStyle w:val="Textpoznpodarou"/>
        <w:rPr>
          <w:rFonts w:ascii="Arial" w:hAnsi="Arial" w:cs="Arial"/>
          <w:i/>
          <w:sz w:val="18"/>
          <w:szCs w:val="18"/>
        </w:rPr>
      </w:pPr>
      <w:r w:rsidRPr="00A45FC9">
        <w:rPr>
          <w:rStyle w:val="Znakapoznpodarou"/>
          <w:i/>
        </w:rPr>
        <w:footnoteRef/>
      </w:r>
      <w:r w:rsidRPr="00A45FC9">
        <w:rPr>
          <w:i/>
        </w:rPr>
        <w:t xml:space="preserve"> </w:t>
      </w:r>
      <w:r w:rsidRPr="00A45FC9">
        <w:rPr>
          <w:i/>
          <w:sz w:val="18"/>
          <w:szCs w:val="18"/>
        </w:rPr>
        <w:t>Jedná se o omezení spektra účinných látek pesticidů pro řadu plodin, zejména minoritních. Toto omezení v ČR je mnohem vyšší než ve většině zemí EU. Firmy neregistrují přípravky z různých důvodů, pro malý rozměr trhu.</w:t>
      </w:r>
    </w:p>
  </w:footnote>
  <w:footnote w:id="13">
    <w:p w14:paraId="7D51221A" w14:textId="77777777" w:rsidR="0005469C" w:rsidRPr="00F764CF" w:rsidRDefault="0005469C" w:rsidP="00CB2594">
      <w:pPr>
        <w:pStyle w:val="Textpoznpodarou"/>
        <w:rPr>
          <w:i/>
          <w:sz w:val="18"/>
          <w:szCs w:val="18"/>
        </w:rPr>
      </w:pPr>
      <w:r w:rsidRPr="00F764CF">
        <w:rPr>
          <w:i/>
          <w:sz w:val="18"/>
          <w:szCs w:val="18"/>
          <w:vertAlign w:val="superscript"/>
        </w:rPr>
        <w:footnoteRef/>
      </w:r>
      <w:r w:rsidRPr="00F764CF">
        <w:rPr>
          <w:i/>
          <w:sz w:val="18"/>
          <w:szCs w:val="18"/>
          <w:vertAlign w:val="superscript"/>
        </w:rPr>
        <w:t xml:space="preserve"> </w:t>
      </w:r>
      <w:r w:rsidRPr="00F764CF">
        <w:rPr>
          <w:i/>
          <w:sz w:val="18"/>
          <w:szCs w:val="18"/>
        </w:rPr>
        <w:t xml:space="preserve">Vávra R., Boček S., 2009: Virulence strupovitosti ve výsadbách s prolomenou rezistencí. Zahradnictví 2009: 12– 14.  </w:t>
      </w:r>
    </w:p>
  </w:footnote>
  <w:footnote w:id="14">
    <w:p w14:paraId="2C9630F7" w14:textId="77777777" w:rsidR="0005469C" w:rsidRPr="00F764CF" w:rsidRDefault="0005469C" w:rsidP="00CB2594">
      <w:pPr>
        <w:pStyle w:val="Textpoznpodarou"/>
        <w:rPr>
          <w:i/>
          <w:sz w:val="18"/>
          <w:szCs w:val="18"/>
        </w:rPr>
      </w:pPr>
      <w:r w:rsidRPr="00F764CF">
        <w:rPr>
          <w:rStyle w:val="Znakapoznpodarou"/>
          <w:sz w:val="18"/>
          <w:szCs w:val="18"/>
        </w:rPr>
        <w:footnoteRef/>
      </w:r>
      <w:r w:rsidRPr="00F764CF">
        <w:rPr>
          <w:sz w:val="18"/>
          <w:szCs w:val="18"/>
        </w:rPr>
        <w:t xml:space="preserve"> </w:t>
      </w:r>
      <w:r w:rsidRPr="00F764CF">
        <w:rPr>
          <w:i/>
          <w:sz w:val="18"/>
          <w:szCs w:val="18"/>
        </w:rPr>
        <w:t>Smyslem ekologického zemědělství je produkce kvalitních potravin udržitelným způsobem. Jsou v něm mimo jiné uplatňovány postupy, které zamezují poškozování půdy a podporují biodiverzitu v krajině. Pracuje také s vyloučením agrochemikálií a geneticky modifikovaných organismů. Biopotraviny vyprodukované v ČR musí být označeny národním logem (tzv. biozebrou) a evropským logem.</w:t>
      </w:r>
    </w:p>
  </w:footnote>
  <w:footnote w:id="15">
    <w:p w14:paraId="18E12E67" w14:textId="77777777" w:rsidR="0005469C" w:rsidRPr="00CB3D38" w:rsidRDefault="0005469C" w:rsidP="00CB2594">
      <w:pPr>
        <w:pStyle w:val="Textpoznpodarou"/>
        <w:rPr>
          <w:rFonts w:ascii="Arial" w:hAnsi="Arial" w:cs="Arial"/>
          <w:i/>
          <w:sz w:val="18"/>
          <w:szCs w:val="18"/>
        </w:rPr>
      </w:pPr>
      <w:r w:rsidRPr="00F764CF">
        <w:rPr>
          <w:i/>
          <w:vertAlign w:val="superscript"/>
        </w:rPr>
        <w:footnoteRef/>
      </w:r>
      <w:r w:rsidRPr="00F764CF">
        <w:rPr>
          <w:i/>
          <w:sz w:val="18"/>
          <w:szCs w:val="18"/>
        </w:rPr>
        <w:t xml:space="preserve"> V integrovaném systému produkce ovoce, zeleniny a révy vinné se do výrobního procesu zapojují ekologicky a ekonomicky přijatelná opatření, která pozitivně usměrňují kvalitu produktů s důrazem na minimalizaci obsahu cizorodých látek. Zelenina a ovoce je v rámci integrované produkce produkována za výrazně omezeného používání pesticidů a umělých hnojiv. Proti škůdcům a chorobám se přednostně používá biologická ochrana (draví roztoči, ptactvo, slunéčka atd.). Nezávadnost ovoce a zeleniny je také garantována rozbory na obsah těžkých kovů.</w:t>
      </w:r>
    </w:p>
  </w:footnote>
  <w:footnote w:id="16">
    <w:p w14:paraId="11BDE183" w14:textId="77777777" w:rsidR="0005469C" w:rsidRPr="00C60860" w:rsidRDefault="0005469C" w:rsidP="00CB2594">
      <w:pPr>
        <w:pStyle w:val="Textkomente"/>
        <w:rPr>
          <w:i/>
        </w:rPr>
      </w:pPr>
      <w:r w:rsidRPr="00C60860">
        <w:rPr>
          <w:rStyle w:val="Znakapoznpodarou"/>
        </w:rPr>
        <w:footnoteRef/>
      </w:r>
      <w:r w:rsidRPr="00C60860">
        <w:t xml:space="preserve"> </w:t>
      </w:r>
      <w:r w:rsidRPr="00C60860">
        <w:rPr>
          <w:i/>
        </w:rPr>
        <w:t xml:space="preserve">Pozn.: Jedná se o podíl produkce EZ vůči celkové produkci (tj. konvenční + EZ) a podíl plochy EZ vůči celkové ploše </w:t>
      </w:r>
    </w:p>
  </w:footnote>
  <w:footnote w:id="17">
    <w:p w14:paraId="3C812BFE" w14:textId="77777777" w:rsidR="0005469C" w:rsidRPr="0005469C" w:rsidRDefault="0005469C" w:rsidP="00CB2594">
      <w:pPr>
        <w:spacing w:before="120" w:after="120" w:line="240" w:lineRule="atLeast"/>
        <w:rPr>
          <w:rFonts w:cs="Times New Roman"/>
          <w:i/>
          <w:sz w:val="20"/>
          <w:szCs w:val="20"/>
          <w:lang w:val="cs-CZ"/>
        </w:rPr>
      </w:pPr>
      <w:r w:rsidRPr="00C60860">
        <w:rPr>
          <w:rStyle w:val="Znakapoznpodarou"/>
          <w:sz w:val="20"/>
          <w:szCs w:val="20"/>
        </w:rPr>
        <w:footnoteRef/>
      </w:r>
      <w:r w:rsidRPr="0005469C">
        <w:rPr>
          <w:rFonts w:cs="Times New Roman"/>
          <w:sz w:val="20"/>
          <w:szCs w:val="20"/>
          <w:lang w:val="cs-CZ"/>
        </w:rPr>
        <w:t xml:space="preserve"> </w:t>
      </w:r>
      <w:r w:rsidRPr="0005469C">
        <w:rPr>
          <w:rFonts w:cs="Times New Roman"/>
          <w:i/>
          <w:sz w:val="20"/>
          <w:szCs w:val="20"/>
          <w:lang w:val="cs-CZ"/>
        </w:rPr>
        <w:t>ÚZEI: Statistická šetření ekologického zemědělství (2015 - 2019)</w:t>
      </w:r>
    </w:p>
  </w:footnote>
  <w:footnote w:id="18">
    <w:p w14:paraId="42817B1A" w14:textId="77777777" w:rsidR="0005469C" w:rsidRPr="00D663F9" w:rsidRDefault="0005469C" w:rsidP="00CB2594">
      <w:pPr>
        <w:pStyle w:val="Textpoznpodarou"/>
        <w:rPr>
          <w:rFonts w:ascii="Arial" w:hAnsi="Arial" w:cs="Arial"/>
          <w:i/>
          <w:sz w:val="18"/>
          <w:szCs w:val="18"/>
        </w:rPr>
      </w:pPr>
      <w:r w:rsidRPr="00C60860">
        <w:rPr>
          <w:rStyle w:val="Znakapoznpodarou"/>
        </w:rPr>
        <w:footnoteRef/>
      </w:r>
      <w:r w:rsidRPr="00C60860">
        <w:t xml:space="preserve"> </w:t>
      </w:r>
      <w:r w:rsidRPr="00C60860">
        <w:rPr>
          <w:i/>
        </w:rPr>
        <w:t>Podíl ploch ekologických sadů na celkové ploše sadů v ČR se pohybuje okolo 23 %. Přesto je podíl ekologické produkce ovoce velmi nízký. Důvodem jsou především rozsáhlé plochy mladých sadů, které ještě nezačaly plodit a nižší plodnost sadů starých.</w:t>
      </w:r>
      <w:r w:rsidRPr="00D663F9">
        <w:rPr>
          <w:rFonts w:ascii="Arial" w:hAnsi="Arial" w:cs="Arial"/>
          <w:i/>
          <w:sz w:val="18"/>
          <w:szCs w:val="18"/>
        </w:rPr>
        <w:t xml:space="preserve"> </w:t>
      </w:r>
    </w:p>
  </w:footnote>
  <w:footnote w:id="19">
    <w:p w14:paraId="7C5C6763" w14:textId="77777777" w:rsidR="0005469C" w:rsidRPr="00B1703F" w:rsidRDefault="0005469C" w:rsidP="00B43312">
      <w:pPr>
        <w:pStyle w:val="UZEINormaln"/>
        <w:rPr>
          <w:rFonts w:cs="Times New Roman"/>
          <w:i/>
          <w:iCs/>
          <w:sz w:val="20"/>
          <w:szCs w:val="20"/>
        </w:rPr>
      </w:pPr>
      <w:r w:rsidRPr="00B1703F">
        <w:rPr>
          <w:rStyle w:val="Znakapoznpodarou"/>
          <w:i/>
          <w:iCs/>
          <w:color w:val="000000" w:themeColor="text1"/>
          <w:sz w:val="20"/>
          <w:szCs w:val="20"/>
        </w:rPr>
        <w:footnoteRef/>
      </w:r>
      <w:r w:rsidRPr="00B1703F">
        <w:rPr>
          <w:rFonts w:cs="Times New Roman"/>
          <w:i/>
          <w:iCs/>
          <w:sz w:val="20"/>
          <w:szCs w:val="20"/>
        </w:rPr>
        <w:t xml:space="preserve"> Pepperný, Rezidua pesticidů v potravinách – zdravotní rizika a aktuální stav, SZÚ, Přednáška připravená pro XX. českou a slovenskou konferenci o ochraně rostlin pořádanou ČZU (FAPPZ, Praha, 2015. </w:t>
      </w:r>
    </w:p>
    <w:p w14:paraId="7FF74416" w14:textId="77777777" w:rsidR="0005469C" w:rsidRDefault="0005469C" w:rsidP="00CB2594">
      <w:pPr>
        <w:pStyle w:val="Textpoznpodarou"/>
      </w:pPr>
    </w:p>
  </w:footnote>
  <w:footnote w:id="20">
    <w:p w14:paraId="4BFBFB66" w14:textId="77777777" w:rsidR="0005469C" w:rsidRPr="002622E7" w:rsidRDefault="0005469C" w:rsidP="00CB2594">
      <w:pPr>
        <w:pStyle w:val="Textpoznpodarou"/>
        <w:rPr>
          <w:rStyle w:val="Znakapoznpodarou"/>
        </w:rPr>
      </w:pPr>
      <w:r w:rsidRPr="002622E7">
        <w:rPr>
          <w:rStyle w:val="Znakapoznpodarou"/>
        </w:rPr>
        <w:footnoteRef/>
      </w:r>
      <w:r w:rsidRPr="002622E7">
        <w:t xml:space="preserve"> </w:t>
      </w:r>
      <w:r w:rsidRPr="002622E7">
        <w:rPr>
          <w:i/>
          <w:sz w:val="18"/>
          <w:szCs w:val="18"/>
        </w:rPr>
        <w:t>Matazachlor, metolachlor, chloridazon</w:t>
      </w:r>
      <w:r w:rsidRPr="002622E7">
        <w:rPr>
          <w:rStyle w:val="Znakapoznpodarou"/>
        </w:rPr>
        <w:t xml:space="preserve"> </w:t>
      </w:r>
    </w:p>
  </w:footnote>
  <w:footnote w:id="21">
    <w:p w14:paraId="1CE85831" w14:textId="77777777" w:rsidR="0005469C" w:rsidRPr="00B1703F" w:rsidRDefault="0005469C" w:rsidP="00CB2594">
      <w:pPr>
        <w:pStyle w:val="Textpoznpodarou"/>
        <w:rPr>
          <w:i/>
          <w:sz w:val="18"/>
          <w:szCs w:val="18"/>
        </w:rPr>
      </w:pPr>
      <w:r w:rsidRPr="00B1703F">
        <w:rPr>
          <w:rStyle w:val="Znakapoznpodarou"/>
          <w:i/>
        </w:rPr>
        <w:footnoteRef/>
      </w:r>
      <w:r w:rsidRPr="00B1703F">
        <w:rPr>
          <w:i/>
        </w:rPr>
        <w:t xml:space="preserve"> </w:t>
      </w:r>
      <w:r w:rsidRPr="00B1703F">
        <w:rPr>
          <w:i/>
          <w:sz w:val="18"/>
          <w:szCs w:val="18"/>
        </w:rPr>
        <w:t>Pramen: SZÚ: Alena Moulisová, Lenka Bendakovská, František Kožíšek, Adam Vavrouš, Hana Jeligová, Filip Kotal: Pesticidy a jejich metabolity v pitné vodě</w:t>
      </w:r>
      <w:r w:rsidRPr="00B1703F">
        <w:rPr>
          <w:i/>
          <w:vanish/>
          <w:sz w:val="18"/>
          <w:szCs w:val="18"/>
        </w:rPr>
        <w:t>.</w:t>
      </w:r>
      <w:r w:rsidRPr="00B1703F">
        <w:rPr>
          <w:i/>
          <w:sz w:val="18"/>
          <w:szCs w:val="18"/>
        </w:rPr>
        <w:t xml:space="preserve"> jaký je současný stav v České republice?</w:t>
      </w:r>
    </w:p>
  </w:footnote>
  <w:footnote w:id="22">
    <w:p w14:paraId="188C0501" w14:textId="77777777" w:rsidR="0005469C" w:rsidRPr="00391AC2" w:rsidRDefault="0005469C" w:rsidP="00CB2594">
      <w:pPr>
        <w:pStyle w:val="Textpoznpodarou"/>
        <w:rPr>
          <w:sz w:val="18"/>
          <w:szCs w:val="18"/>
        </w:rPr>
      </w:pPr>
      <w:r w:rsidRPr="00391AC2">
        <w:rPr>
          <w:rStyle w:val="Znakapoznpodarou"/>
          <w:sz w:val="18"/>
          <w:szCs w:val="18"/>
        </w:rPr>
        <w:footnoteRef/>
      </w:r>
      <w:r w:rsidRPr="00391AC2">
        <w:rPr>
          <w:sz w:val="18"/>
          <w:szCs w:val="18"/>
        </w:rPr>
        <w:t xml:space="preserve"> </w:t>
      </w:r>
      <w:r w:rsidRPr="00391AC2">
        <w:rPr>
          <w:i/>
          <w:sz w:val="18"/>
          <w:szCs w:val="18"/>
        </w:rPr>
        <w:t xml:space="preserve">na adrese: </w:t>
      </w:r>
      <w:hyperlink r:id="rId1" w:history="1">
        <w:r w:rsidRPr="00391AC2">
          <w:rPr>
            <w:i/>
            <w:sz w:val="18"/>
            <w:szCs w:val="18"/>
          </w:rPr>
          <w:t>http://ec.europa.eu/food/food/rapidalert/index_en.htm</w:t>
        </w:r>
      </w:hyperlink>
    </w:p>
  </w:footnote>
  <w:footnote w:id="23">
    <w:p w14:paraId="4EA8A97D" w14:textId="77777777" w:rsidR="0005469C" w:rsidRPr="00391AC2" w:rsidRDefault="0005469C" w:rsidP="00CB2594">
      <w:pPr>
        <w:pStyle w:val="Textpoznpodarou"/>
      </w:pPr>
      <w:r w:rsidRPr="00391AC2">
        <w:rPr>
          <w:rStyle w:val="Znakapoznpodarou"/>
        </w:rPr>
        <w:footnoteRef/>
      </w:r>
      <w:r w:rsidRPr="00391AC2">
        <w:t xml:space="preserve"> https://www.bezpecnostpotravin.cz/stranka/system-rychleho-varovani-pro-potraviny-a-krmiva-(rasff).aspx</w:t>
      </w:r>
    </w:p>
  </w:footnote>
  <w:footnote w:id="24">
    <w:p w14:paraId="377B0E1B" w14:textId="77777777" w:rsidR="0005469C" w:rsidRPr="00391AC2" w:rsidRDefault="0005469C" w:rsidP="00CB2594">
      <w:pPr>
        <w:pStyle w:val="Textpoznpodarou"/>
        <w:rPr>
          <w:i/>
          <w:sz w:val="18"/>
          <w:szCs w:val="18"/>
        </w:rPr>
      </w:pPr>
      <w:r w:rsidRPr="00391AC2">
        <w:rPr>
          <w:rStyle w:val="Znakapoznpodarou"/>
          <w:sz w:val="18"/>
          <w:szCs w:val="18"/>
        </w:rPr>
        <w:footnoteRef/>
      </w:r>
      <w:r w:rsidRPr="00391AC2">
        <w:rPr>
          <w:sz w:val="18"/>
          <w:szCs w:val="18"/>
        </w:rPr>
        <w:t xml:space="preserve"> </w:t>
      </w:r>
      <w:hyperlink r:id="rId2" w:history="1">
        <w:r w:rsidRPr="00391AC2">
          <w:rPr>
            <w:rStyle w:val="Hypertextovodkaz"/>
            <w:i/>
            <w:sz w:val="18"/>
            <w:szCs w:val="18"/>
          </w:rPr>
          <w:t>www.szpi.gov.cz</w:t>
        </w:r>
      </w:hyperlink>
      <w:r w:rsidRPr="00391AC2">
        <w:rPr>
          <w:i/>
          <w:sz w:val="18"/>
          <w:szCs w:val="18"/>
        </w:rPr>
        <w:t xml:space="preserve">,  </w:t>
      </w:r>
      <w:hyperlink r:id="rId3" w:history="1">
        <w:r w:rsidRPr="00391AC2">
          <w:rPr>
            <w:rStyle w:val="Hypertextovodkaz"/>
            <w:i/>
            <w:sz w:val="18"/>
            <w:szCs w:val="18"/>
          </w:rPr>
          <w:t>www.svscr.cz</w:t>
        </w:r>
      </w:hyperlink>
    </w:p>
  </w:footnote>
  <w:footnote w:id="25">
    <w:p w14:paraId="06D8F8A8" w14:textId="77777777" w:rsidR="0005469C" w:rsidRPr="000B7376" w:rsidRDefault="0005469C" w:rsidP="00CB2594">
      <w:pPr>
        <w:pStyle w:val="Textpoznpodarou"/>
        <w:rPr>
          <w:rFonts w:ascii="Arial" w:hAnsi="Arial" w:cs="Arial"/>
          <w:i/>
          <w:sz w:val="18"/>
          <w:szCs w:val="18"/>
        </w:rPr>
      </w:pPr>
      <w:r w:rsidRPr="00391AC2">
        <w:rPr>
          <w:rStyle w:val="Znakapoznpodarou"/>
        </w:rPr>
        <w:footnoteRef/>
      </w:r>
      <w:r w:rsidRPr="00391AC2">
        <w:t xml:space="preserve">  </w:t>
      </w:r>
      <w:r w:rsidRPr="00391AC2">
        <w:rPr>
          <w:i/>
          <w:sz w:val="18"/>
          <w:szCs w:val="18"/>
        </w:rPr>
        <w:t>SZÚ Rezidua pesticidů v potravinách – zdravotní rizika a aktuální stav, Přednáška připravená pro XX. českou a slovenskou konferenci o ochraně rostlin pořádanou ČZU FAPPZ, Praha, 2015.</w:t>
      </w:r>
    </w:p>
  </w:footnote>
  <w:footnote w:id="26">
    <w:p w14:paraId="4CC7E626" w14:textId="77777777" w:rsidR="0005469C" w:rsidRPr="0005469C" w:rsidRDefault="0005469C" w:rsidP="00CB2594">
      <w:pPr>
        <w:autoSpaceDE w:val="0"/>
        <w:autoSpaceDN w:val="0"/>
        <w:adjustRightInd w:val="0"/>
        <w:rPr>
          <w:rFonts w:cs="Times New Roman"/>
          <w:i/>
          <w:sz w:val="18"/>
          <w:szCs w:val="18"/>
          <w:lang w:val="cs-CZ"/>
        </w:rPr>
      </w:pPr>
      <w:r w:rsidRPr="000A43ED">
        <w:rPr>
          <w:rStyle w:val="Znakapoznpodarou"/>
        </w:rPr>
        <w:footnoteRef/>
      </w:r>
      <w:r w:rsidRPr="0005469C">
        <w:rPr>
          <w:rFonts w:cs="Times New Roman"/>
          <w:lang w:val="cs-CZ"/>
        </w:rPr>
        <w:t xml:space="preserve"> </w:t>
      </w:r>
      <w:r w:rsidRPr="0005469C">
        <w:rPr>
          <w:rFonts w:cs="Times New Roman"/>
          <w:i/>
          <w:sz w:val="18"/>
          <w:szCs w:val="18"/>
          <w:lang w:val="cs-CZ"/>
        </w:rPr>
        <w:t>Minimální požadavky pro použití přípravků na ochranu rostlin musí obsahovat obecné zásady integrované ochrany rostlin,</w:t>
      </w:r>
    </w:p>
  </w:footnote>
  <w:footnote w:id="27">
    <w:p w14:paraId="2BD52496" w14:textId="77777777" w:rsidR="0005469C" w:rsidRPr="000A43ED" w:rsidRDefault="0005469C" w:rsidP="00CB2594">
      <w:pPr>
        <w:pStyle w:val="Textpoznpodarou"/>
      </w:pPr>
      <w:r w:rsidRPr="000A43ED">
        <w:rPr>
          <w:rStyle w:val="Znakapoznpodarou"/>
        </w:rPr>
        <w:footnoteRef/>
      </w:r>
      <w:r w:rsidRPr="000A43ED">
        <w:t xml:space="preserve"> </w:t>
      </w:r>
      <w:r w:rsidRPr="000A43ED">
        <w:rPr>
          <w:i/>
          <w:sz w:val="18"/>
          <w:szCs w:val="18"/>
        </w:rPr>
        <w:t>Tento zákaz je uveden na etiketě přípravku na ochranu rostlin a je kontrolováno jeho dodržení orgány státního dozoru. Povinnost pro žadatele (zemědělce) o podporu dodržovat v rámci cross compliance.</w:t>
      </w:r>
      <w:r w:rsidRPr="000A43ED">
        <w:rPr>
          <w:i/>
          <w:color w:val="000000" w:themeColor="text1"/>
        </w:rPr>
        <w:t xml:space="preserve"> </w:t>
      </w:r>
    </w:p>
    <w:p w14:paraId="2AE94DBC" w14:textId="77777777" w:rsidR="0005469C" w:rsidRDefault="0005469C" w:rsidP="00CB2594">
      <w:pPr>
        <w:pStyle w:val="Textpoznpodarou"/>
      </w:pPr>
    </w:p>
  </w:footnote>
  <w:footnote w:id="28">
    <w:p w14:paraId="5357E476" w14:textId="77777777" w:rsidR="0005469C" w:rsidRPr="00225C25" w:rsidRDefault="0005469C" w:rsidP="00CB2594">
      <w:pPr>
        <w:pStyle w:val="Textpoznpodarou"/>
        <w:rPr>
          <w:i/>
          <w:sz w:val="18"/>
          <w:szCs w:val="18"/>
        </w:rPr>
      </w:pPr>
      <w:r w:rsidRPr="00225C25">
        <w:rPr>
          <w:rStyle w:val="Znakapoznpodarou"/>
          <w:sz w:val="18"/>
          <w:szCs w:val="18"/>
        </w:rPr>
        <w:footnoteRef/>
      </w:r>
      <w:r w:rsidRPr="00225C25">
        <w:rPr>
          <w:sz w:val="18"/>
          <w:szCs w:val="18"/>
        </w:rPr>
        <w:t xml:space="preserve"> </w:t>
      </w:r>
      <w:r w:rsidRPr="00225C25">
        <w:rPr>
          <w:i/>
          <w:sz w:val="18"/>
          <w:szCs w:val="18"/>
        </w:rPr>
        <w:t>Zásady, kterými se stanovují podmínky pro poskytování dotací pro rok 2018 na základě § 1, § 2 a § 2d zákona č. 252/1997 Sb., o zemědělství, ve znění pozdějších předpisů (Podpora ozdravování polních a speciálních plodin)</w:t>
      </w:r>
    </w:p>
  </w:footnote>
  <w:footnote w:id="29">
    <w:p w14:paraId="6DE4616D" w14:textId="77777777" w:rsidR="0005469C" w:rsidRPr="00225C25" w:rsidRDefault="0005469C" w:rsidP="00CB2594">
      <w:pPr>
        <w:pStyle w:val="Textpoznpodarou"/>
      </w:pPr>
      <w:r w:rsidRPr="00225C25">
        <w:rPr>
          <w:rStyle w:val="Znakapoznpodarou"/>
        </w:rPr>
        <w:footnoteRef/>
      </w:r>
      <w:r w:rsidRPr="00225C25">
        <w:rPr>
          <w:rStyle w:val="Znakapoznpodarou"/>
        </w:rPr>
        <w:t xml:space="preserve"> </w:t>
      </w:r>
      <w:r w:rsidRPr="00225C25">
        <w:rPr>
          <w:i/>
          <w:sz w:val="18"/>
          <w:szCs w:val="18"/>
        </w:rPr>
        <w:t>Národní plány povodí byly 21. prosince 2015 schváleny vládou ČR </w:t>
      </w:r>
      <w:hyperlink r:id="rId4" w:history="1">
        <w:r w:rsidRPr="00225C25">
          <w:rPr>
            <w:i/>
            <w:sz w:val="18"/>
            <w:szCs w:val="18"/>
          </w:rPr>
          <w:t>usnesením č. 1083</w:t>
        </w:r>
      </w:hyperlink>
      <w:r w:rsidRPr="00225C25">
        <w:rPr>
          <w:i/>
          <w:sz w:val="18"/>
          <w:szCs w:val="18"/>
        </w:rPr>
        <w:t>. MZe následně v souladu s ustanovením § 25 odst. 4 </w:t>
      </w:r>
      <w:hyperlink r:id="rId5" w:history="1">
        <w:r w:rsidRPr="00225C25">
          <w:rPr>
            <w:i/>
            <w:sz w:val="18"/>
            <w:szCs w:val="18"/>
          </w:rPr>
          <w:t>zákona č. 254/2001 Sb.</w:t>
        </w:r>
      </w:hyperlink>
      <w:r w:rsidRPr="00225C25">
        <w:rPr>
          <w:i/>
          <w:sz w:val="18"/>
          <w:szCs w:val="18"/>
        </w:rPr>
        <w:t>, o vodách a o změně některých zákonů (vodní zákon), ve znění pozdějších předpisů, vydalo 12. ledna 2016 národní plány povodí </w:t>
      </w:r>
      <w:hyperlink r:id="rId6" w:history="1">
        <w:r w:rsidRPr="00225C25">
          <w:rPr>
            <w:i/>
            <w:sz w:val="18"/>
            <w:szCs w:val="18"/>
          </w:rPr>
          <w:t>opatřeními obecné povahy</w:t>
        </w:r>
      </w:hyperlink>
      <w:r w:rsidRPr="00225C25">
        <w:rPr>
          <w:i/>
          <w:sz w:val="18"/>
          <w:szCs w:val="18"/>
        </w:rPr>
        <w:t>, která nabyla účinnosti 28. ledna 2016.</w:t>
      </w:r>
    </w:p>
  </w:footnote>
  <w:footnote w:id="30">
    <w:p w14:paraId="6D7A7547" w14:textId="77777777" w:rsidR="0005469C" w:rsidRPr="003673CC" w:rsidRDefault="0005469C" w:rsidP="00CB2594">
      <w:pPr>
        <w:pStyle w:val="Textpoznpodarou"/>
        <w:rPr>
          <w:i/>
        </w:rPr>
      </w:pPr>
      <w:r w:rsidRPr="003673CC">
        <w:rPr>
          <w:rStyle w:val="Znakapoznpodarou"/>
        </w:rPr>
        <w:footnoteRef/>
      </w:r>
      <w:r w:rsidRPr="003673CC">
        <w:t xml:space="preserve"> </w:t>
      </w:r>
      <w:r w:rsidRPr="003673CC">
        <w:rPr>
          <w:i/>
        </w:rPr>
        <w:t>Situační a výhledová zpráva Ovoce (</w:t>
      </w:r>
      <w:r w:rsidRPr="003673CC">
        <w:rPr>
          <w:i/>
          <w:iCs/>
        </w:rPr>
        <w:t>2018</w:t>
      </w:r>
      <w:r w:rsidRPr="003673CC">
        <w:rPr>
          <w:i/>
        </w:rPr>
        <w:t>)</w:t>
      </w:r>
    </w:p>
  </w:footnote>
  <w:footnote w:id="31">
    <w:p w14:paraId="0DF2072D" w14:textId="77777777" w:rsidR="0005469C" w:rsidRPr="003673CC" w:rsidRDefault="0005469C" w:rsidP="00CB2594">
      <w:pPr>
        <w:pStyle w:val="Textpoznpodarou"/>
        <w:rPr>
          <w:i/>
        </w:rPr>
      </w:pPr>
      <w:r w:rsidRPr="003673CC">
        <w:rPr>
          <w:rStyle w:val="Znakapoznpodarou"/>
        </w:rPr>
        <w:footnoteRef/>
      </w:r>
      <w:r w:rsidRPr="003673CC">
        <w:t xml:space="preserve"> </w:t>
      </w:r>
      <w:r w:rsidRPr="003673CC">
        <w:rPr>
          <w:i/>
        </w:rPr>
        <w:t>Situační a výhledová zpráva Zelenina (</w:t>
      </w:r>
      <w:r w:rsidRPr="003673CC">
        <w:rPr>
          <w:i/>
          <w:iCs/>
        </w:rPr>
        <w:t>2018</w:t>
      </w:r>
      <w:r w:rsidRPr="003673CC">
        <w:rPr>
          <w:i/>
        </w:rPr>
        <w:t>)</w:t>
      </w:r>
    </w:p>
  </w:footnote>
  <w:footnote w:id="32">
    <w:p w14:paraId="320F1B7A" w14:textId="0C895251" w:rsidR="0005469C" w:rsidRPr="0005469C" w:rsidRDefault="0005469C" w:rsidP="00CB2594">
      <w:pPr>
        <w:rPr>
          <w:rFonts w:cs="Times New Roman"/>
          <w:sz w:val="20"/>
          <w:szCs w:val="20"/>
          <w:lang w:val="es-ES"/>
        </w:rPr>
      </w:pPr>
      <w:r w:rsidRPr="003673CC">
        <w:rPr>
          <w:rStyle w:val="Znakapoznpodarou"/>
          <w:rFonts w:eastAsia="Calibri"/>
          <w:lang w:val="cs-CZ"/>
        </w:rPr>
        <w:footnoteRef/>
      </w:r>
      <w:r w:rsidRPr="003673CC">
        <w:rPr>
          <w:rStyle w:val="Znakapoznpodarou"/>
          <w:rFonts w:eastAsia="Calibri"/>
          <w:lang w:val="cs-CZ"/>
        </w:rPr>
        <w:t xml:space="preserve"> </w:t>
      </w:r>
      <w:r w:rsidRPr="003673CC">
        <w:rPr>
          <w:i/>
          <w:sz w:val="20"/>
          <w:szCs w:val="20"/>
          <w:lang w:val="cs-CZ"/>
        </w:rPr>
        <w:t>Situační</w:t>
      </w:r>
      <w:r w:rsidRPr="003673CC">
        <w:rPr>
          <w:rFonts w:eastAsia="Calibri" w:cs="Times New Roman"/>
          <w:i/>
          <w:sz w:val="20"/>
          <w:szCs w:val="20"/>
          <w:lang w:val="cs-CZ"/>
        </w:rPr>
        <w:t xml:space="preserve"> a výhledová</w:t>
      </w:r>
      <w:r w:rsidRPr="0005469C">
        <w:rPr>
          <w:rFonts w:eastAsia="Arial" w:cs="Times New Roman"/>
          <w:i/>
          <w:iCs/>
          <w:sz w:val="20"/>
          <w:szCs w:val="20"/>
          <w:lang w:val="es-ES"/>
        </w:rPr>
        <w:t xml:space="preserve"> zpráva Réva vinná a víno (2019)</w:t>
      </w:r>
    </w:p>
  </w:footnote>
  <w:footnote w:id="33">
    <w:p w14:paraId="089DE5C6" w14:textId="77777777" w:rsidR="0005469C" w:rsidRPr="003673CC" w:rsidRDefault="0005469C" w:rsidP="00CB2594">
      <w:pPr>
        <w:pStyle w:val="Textpoznpodarou"/>
        <w:rPr>
          <w:i/>
        </w:rPr>
      </w:pPr>
      <w:r w:rsidRPr="003673CC">
        <w:rPr>
          <w:rStyle w:val="Znakapoznpodarou"/>
        </w:rPr>
        <w:footnoteRef/>
      </w:r>
      <w:r w:rsidRPr="003673CC">
        <w:t xml:space="preserve"> </w:t>
      </w:r>
      <w:r w:rsidRPr="003673CC">
        <w:rPr>
          <w:i/>
        </w:rPr>
        <w:t xml:space="preserve">Tento údaj je sledován na základě požadavků od Eurostatu. Jedná s o plochu trvalých kultur, na které jsou v daném roce očekávány výnosy. Od celkové plochy trvalých kultur je oddělena zejména kvůli předpokládané delší době mezi výsadbou a nástupem produkce. Dalším důvodem je také zahrnutí krajinotvorných sadů do plochy celkové výměry ovocných sadů v systému EZ. </w:t>
      </w:r>
    </w:p>
  </w:footnote>
  <w:footnote w:id="34">
    <w:p w14:paraId="2C84973A" w14:textId="77777777" w:rsidR="0005469C" w:rsidRPr="00D04A26" w:rsidRDefault="0005469C" w:rsidP="00CB2594">
      <w:pPr>
        <w:pStyle w:val="Textpoznpodarou"/>
        <w:rPr>
          <w:rFonts w:ascii="Arial" w:hAnsi="Arial" w:cs="Arial"/>
          <w:i/>
          <w:sz w:val="18"/>
          <w:szCs w:val="18"/>
        </w:rPr>
      </w:pPr>
      <w:r w:rsidRPr="003673CC">
        <w:rPr>
          <w:rStyle w:val="Znakapoznpodarou"/>
        </w:rPr>
        <w:footnoteRef/>
      </w:r>
      <w:r w:rsidRPr="003673CC">
        <w:t xml:space="preserve"> </w:t>
      </w:r>
      <w:r w:rsidRPr="003673CC">
        <w:rPr>
          <w:i/>
        </w:rPr>
        <w:t>Statistická šetření ekologického zemědělství – Základní statistické údaje (</w:t>
      </w:r>
      <w:r w:rsidRPr="003673CC">
        <w:rPr>
          <w:i/>
          <w:iCs/>
        </w:rPr>
        <w:t>2018</w:t>
      </w:r>
      <w:r w:rsidRPr="003673CC">
        <w:rPr>
          <w:i/>
        </w:rPr>
        <w:t>)</w:t>
      </w:r>
    </w:p>
  </w:footnote>
  <w:footnote w:id="35">
    <w:p w14:paraId="75AA4BAE" w14:textId="77777777" w:rsidR="0005469C" w:rsidRPr="001B735C" w:rsidRDefault="0005469C" w:rsidP="00CB2594">
      <w:pPr>
        <w:pStyle w:val="Textpoznpodarou"/>
        <w:spacing w:after="120"/>
        <w:rPr>
          <w:rStyle w:val="Znakapoznpodarou"/>
          <w:i/>
        </w:rPr>
      </w:pPr>
      <w:r w:rsidRPr="001B735C">
        <w:rPr>
          <w:rStyle w:val="Znakapoznpodarou"/>
          <w:i/>
        </w:rPr>
        <w:footnoteRef/>
      </w:r>
      <w:r w:rsidRPr="001B735C">
        <w:rPr>
          <w:rStyle w:val="Znakapoznpodarou"/>
          <w:i/>
        </w:rPr>
        <w:t xml:space="preserve"> Akční plán Národního antibiotického programu (AP NAP) na období 2018-2022</w:t>
      </w:r>
      <w:r w:rsidRPr="001B735C">
        <w:rPr>
          <w:i/>
        </w:rPr>
        <w:t>,</w:t>
      </w:r>
    </w:p>
  </w:footnote>
  <w:footnote w:id="36">
    <w:p w14:paraId="21265A95" w14:textId="77777777" w:rsidR="0005469C" w:rsidRPr="00955FFA" w:rsidRDefault="0005469C" w:rsidP="00CB2594">
      <w:pPr>
        <w:pStyle w:val="Textpoznpodarou"/>
        <w:spacing w:after="120"/>
        <w:rPr>
          <w:rStyle w:val="Znakapoznpodarou"/>
          <w:rFonts w:ascii="Arial" w:hAnsi="Arial" w:cs="Arial"/>
          <w:i/>
          <w:sz w:val="18"/>
          <w:szCs w:val="18"/>
        </w:rPr>
      </w:pPr>
      <w:r w:rsidRPr="001B735C">
        <w:rPr>
          <w:rStyle w:val="Znakapoznpodarou"/>
          <w:i/>
        </w:rPr>
        <w:footnoteRef/>
      </w:r>
      <w:r w:rsidRPr="001B735C">
        <w:rPr>
          <w:rStyle w:val="Znakapoznpodarou"/>
          <w:i/>
        </w:rPr>
        <w:t xml:space="preserve"> Jedná se již o druhý národní akční plán – první byl připraven a schválen v roce 2009 na období 2009 – 2013.</w:t>
      </w:r>
    </w:p>
  </w:footnote>
  <w:footnote w:id="37">
    <w:p w14:paraId="2AD49A2F" w14:textId="7C3299D2" w:rsidR="0005469C" w:rsidRPr="00225C25" w:rsidRDefault="0005469C" w:rsidP="00BF53EE">
      <w:pPr>
        <w:pStyle w:val="Textpoznpodarou"/>
        <w:spacing w:after="120"/>
        <w:rPr>
          <w:i/>
        </w:rPr>
      </w:pPr>
      <w:r w:rsidRPr="00225C25">
        <w:rPr>
          <w:rStyle w:val="Znakapoznpodarou"/>
          <w:i/>
          <w:vertAlign w:val="baseline"/>
        </w:rPr>
        <w:footnoteRef/>
      </w:r>
      <w:r w:rsidRPr="00225C25">
        <w:t xml:space="preserve"> </w:t>
      </w:r>
      <w:r w:rsidRPr="00225C25">
        <w:rPr>
          <w:rStyle w:val="Znakapoznpodarou"/>
          <w:i/>
          <w:vertAlign w:val="baseline"/>
        </w:rPr>
        <w:t>Multirezistence označuje současnou rezistenci k nejméně třem skupinám antibiotik.</w:t>
      </w:r>
    </w:p>
  </w:footnote>
  <w:footnote w:id="38">
    <w:p w14:paraId="392BCDC6" w14:textId="77777777" w:rsidR="0005469C" w:rsidRDefault="0005469C" w:rsidP="00BF53EE">
      <w:pPr>
        <w:pStyle w:val="Textpoznpodarou"/>
      </w:pPr>
      <w:r w:rsidRPr="00225C25">
        <w:rPr>
          <w:rStyle w:val="Znakapoznpodarou"/>
          <w:vertAlign w:val="baseline"/>
        </w:rPr>
        <w:footnoteRef/>
      </w:r>
      <w:r w:rsidRPr="00225C25">
        <w:t xml:space="preserve"> </w:t>
      </w:r>
      <w:r w:rsidRPr="00225C25">
        <w:rPr>
          <w:rStyle w:val="Znakapoznpodarou"/>
          <w:i/>
          <w:vertAlign w:val="baseline"/>
        </w:rPr>
        <w:t>Z</w:t>
      </w:r>
      <w:r w:rsidRPr="00225C25">
        <w:rPr>
          <w:rStyle w:val="Znakapoznpodarou"/>
          <w:vertAlign w:val="baseline"/>
        </w:rPr>
        <w:t xml:space="preserve"> příspěvku </w:t>
      </w:r>
      <w:r w:rsidRPr="00225C25">
        <w:rPr>
          <w:rStyle w:val="Znakapoznpodarou"/>
          <w:i/>
          <w:vertAlign w:val="baseline"/>
        </w:rPr>
        <w:t xml:space="preserve">prezentace </w:t>
      </w:r>
      <w:r w:rsidRPr="00225C25">
        <w:rPr>
          <w:i/>
        </w:rPr>
        <w:t xml:space="preserve">z </w:t>
      </w:r>
      <w:r w:rsidRPr="00225C25">
        <w:rPr>
          <w:rStyle w:val="Znakapoznpodarou"/>
          <w:i/>
          <w:vertAlign w:val="baseline"/>
        </w:rPr>
        <w:t>konferenc</w:t>
      </w:r>
      <w:r w:rsidRPr="00225C25">
        <w:rPr>
          <w:i/>
        </w:rPr>
        <w:t>e</w:t>
      </w:r>
      <w:r w:rsidRPr="00225C25">
        <w:rPr>
          <w:rStyle w:val="Znakapoznpodarou"/>
          <w:i/>
          <w:vertAlign w:val="baseline"/>
        </w:rPr>
        <w:t xml:space="preserve"> věnované antimikrobní rezistenci</w:t>
      </w:r>
    </w:p>
  </w:footnote>
  <w:footnote w:id="39">
    <w:p w14:paraId="6081F075" w14:textId="77777777" w:rsidR="0005469C" w:rsidRPr="00AA1FE8" w:rsidRDefault="0005469C" w:rsidP="00CB2594">
      <w:pPr>
        <w:pStyle w:val="Textpoznpodarou"/>
        <w:spacing w:after="120"/>
        <w:rPr>
          <w:rStyle w:val="Znakapoznpodarou"/>
          <w:i/>
        </w:rPr>
      </w:pPr>
      <w:r w:rsidRPr="00AA1FE8">
        <w:rPr>
          <w:rStyle w:val="Znakapoznpodarou"/>
        </w:rPr>
        <w:footnoteRef/>
      </w:r>
      <w:r w:rsidRPr="00AA1FE8">
        <w:t xml:space="preserve"> </w:t>
      </w:r>
      <w:r w:rsidRPr="005848FC">
        <w:rPr>
          <w:rStyle w:val="Znakapoznpodarou"/>
          <w:i/>
          <w:vertAlign w:val="baseline"/>
        </w:rPr>
        <w:t xml:space="preserve">SVS Informační bulletin 4/2017, Národní program sledování rezistencí k antimikrobikům u veterinárně významných patogenů - </w:t>
      </w:r>
      <w:hyperlink r:id="rId7" w:history="1">
        <w:r w:rsidRPr="005848FC">
          <w:rPr>
            <w:rStyle w:val="Znakapoznpodarou"/>
            <w:i/>
            <w:vertAlign w:val="baseline"/>
          </w:rPr>
          <w:t>http://www.svscr.cz/wp-content/files/dokumenty-a-publikace/ib1704.pdf</w:t>
        </w:r>
      </w:hyperlink>
    </w:p>
    <w:p w14:paraId="73F295F0" w14:textId="77777777" w:rsidR="0005469C" w:rsidRDefault="0005469C" w:rsidP="00CB2594">
      <w:pPr>
        <w:pStyle w:val="Textpoznpodarou"/>
      </w:pPr>
    </w:p>
  </w:footnote>
  <w:footnote w:id="40">
    <w:p w14:paraId="3C6F056F" w14:textId="77777777" w:rsidR="0005469C" w:rsidRPr="00AA1FE8" w:rsidRDefault="0005469C" w:rsidP="00CB2594">
      <w:pPr>
        <w:pStyle w:val="Textpoznpodarou"/>
        <w:rPr>
          <w:i/>
          <w:sz w:val="18"/>
          <w:szCs w:val="18"/>
        </w:rPr>
      </w:pPr>
      <w:r w:rsidRPr="00AA1FE8">
        <w:rPr>
          <w:rStyle w:val="Znakapoznpodarou"/>
        </w:rPr>
        <w:footnoteRef/>
      </w:r>
      <w:r w:rsidRPr="00AA1FE8">
        <w:t xml:space="preserve"> </w:t>
      </w:r>
      <w:r w:rsidRPr="005848FC">
        <w:rPr>
          <w:i/>
          <w:sz w:val="18"/>
          <w:szCs w:val="18"/>
        </w:rPr>
        <w:t>https://www.oie.int/fileadmin/SST/adhocreports/Diseases%20for%20which%20Vaccines%20could%20reduce%20Antimicrobial%20Use/AN/AHG_AMUR_Vaccines_Apr2015.pd</w:t>
      </w:r>
    </w:p>
  </w:footnote>
  <w:footnote w:id="41">
    <w:p w14:paraId="0A3046DF" w14:textId="77777777" w:rsidR="0005469C" w:rsidRPr="009B5FAA" w:rsidRDefault="0005469C" w:rsidP="00CB2594">
      <w:pPr>
        <w:pStyle w:val="Textpoznpodarou"/>
      </w:pPr>
      <w:r>
        <w:rPr>
          <w:rStyle w:val="Znakapoznpodarou"/>
        </w:rPr>
        <w:footnoteRef/>
      </w:r>
      <w:r>
        <w:t xml:space="preserve"> </w:t>
      </w:r>
      <w:r w:rsidRPr="009B5FAA">
        <w:rPr>
          <w:i/>
          <w:sz w:val="18"/>
          <w:szCs w:val="18"/>
        </w:rPr>
        <w:t>Pramen: TÚ 66/2019 – Kupní chování spotřebitele: segmentace trhu a vnímaná kvalita vybraných druhů potravin. Kolektiv autorů ÚZEI. Sběr dat proběhl formou dotazníkového šetření metodou CAWI, tj. prostřednictvím online dotazníků v říjnu 2019 připravených pracovníky ÚZEI. Respondenti byli vybráni na základě kvótního výběru, tak aby reprezentovali sociodemografickou strukturu obyvatel ČR ve věku nad 18 let. Celkem bylo osloveno 1214 respondentů.</w:t>
      </w:r>
    </w:p>
  </w:footnote>
  <w:footnote w:id="42">
    <w:p w14:paraId="791BA0CA" w14:textId="77777777" w:rsidR="0005469C" w:rsidRPr="009B5FAA" w:rsidRDefault="0005469C" w:rsidP="00CB2594">
      <w:pPr>
        <w:pStyle w:val="Textpoznpodarou"/>
        <w:rPr>
          <w:i/>
          <w:sz w:val="18"/>
          <w:szCs w:val="18"/>
        </w:rPr>
      </w:pPr>
      <w:r w:rsidRPr="009B5FAA">
        <w:rPr>
          <w:rStyle w:val="Znakapoznpodarou"/>
          <w:i/>
          <w:sz w:val="18"/>
          <w:szCs w:val="18"/>
        </w:rPr>
        <w:footnoteRef/>
      </w:r>
      <w:r w:rsidRPr="009B5FAA">
        <w:rPr>
          <w:i/>
          <w:sz w:val="18"/>
          <w:szCs w:val="18"/>
        </w:rPr>
        <w:t xml:space="preserve"> </w:t>
      </w:r>
      <w:hyperlink r:id="rId8" w:history="1">
        <w:r w:rsidRPr="009B5FAA">
          <w:rPr>
            <w:rStyle w:val="Hypertextovodkaz"/>
            <w:i/>
            <w:sz w:val="18"/>
            <w:szCs w:val="18"/>
          </w:rPr>
          <w:t>https://amr-review.org/sites/default/files/160525_Final%20paper_with%20cover.pdf</w:t>
        </w:r>
      </w:hyperlink>
    </w:p>
  </w:footnote>
  <w:footnote w:id="43">
    <w:p w14:paraId="33F46609" w14:textId="77777777" w:rsidR="0005469C" w:rsidRPr="00322579" w:rsidRDefault="0005469C" w:rsidP="00CB2594">
      <w:pPr>
        <w:pStyle w:val="Textpoznpodarou"/>
        <w:rPr>
          <w:color w:val="000000"/>
          <w:sz w:val="18"/>
          <w:szCs w:val="18"/>
        </w:rPr>
      </w:pPr>
      <w:r w:rsidRPr="00322579">
        <w:rPr>
          <w:rStyle w:val="Znakapoznpodarou"/>
          <w:i/>
          <w:sz w:val="18"/>
          <w:szCs w:val="18"/>
        </w:rPr>
        <w:footnoteRef/>
      </w:r>
      <w:r w:rsidRPr="00322579">
        <w:rPr>
          <w:i/>
          <w:sz w:val="18"/>
          <w:szCs w:val="18"/>
        </w:rPr>
        <w:t xml:space="preserve"> PCU = </w:t>
      </w:r>
      <w:r w:rsidRPr="00322579">
        <w:rPr>
          <w:i/>
          <w:color w:val="000000"/>
          <w:sz w:val="18"/>
          <w:szCs w:val="18"/>
        </w:rPr>
        <w:t>Populačně korekční jednotka (The Population Correction Unit) Jednotka používaná v evropském systému pro sběr dat o prodejích antimikrobik koordinovaném Evropskou lékovou agenturou. Jedná se o množství veterinárních antimikrobik (vyjádřených jako hmotnost) ve vztahu k populaci zvířat v každé jednotlivé zemi s cílem</w:t>
      </w:r>
      <w:r w:rsidRPr="00322579">
        <w:rPr>
          <w:i/>
          <w:color w:val="000000"/>
        </w:rPr>
        <w:t xml:space="preserve"> </w:t>
      </w:r>
      <w:r w:rsidRPr="00322579">
        <w:rPr>
          <w:i/>
          <w:color w:val="000000"/>
          <w:sz w:val="18"/>
          <w:szCs w:val="18"/>
        </w:rPr>
        <w:t>standardizovat data o prodejích veterinárních antimikrobik k populaci zvířat, která mohou být těmito antimikrobiky léčena. Způsob, kterým se PCU počítá je podrobně uveden na stránkách Evropské lékové agentury</w:t>
      </w:r>
      <w:r w:rsidRPr="00322579">
        <w:rPr>
          <w:color w:val="000000"/>
          <w:sz w:val="18"/>
          <w:szCs w:val="18"/>
        </w:rPr>
        <w:t xml:space="preserve"> (</w:t>
      </w:r>
      <w:hyperlink r:id="rId9" w:anchor="population" w:history="1">
        <w:r w:rsidRPr="00322579">
          <w:rPr>
            <w:rStyle w:val="Hypertextovodkaz"/>
            <w:sz w:val="18"/>
            <w:szCs w:val="18"/>
          </w:rPr>
          <w:t>https://www.ema.europa.eu/en/veterinary-regulatory/overview/antimicrobial-resistance/european-surveillance-veterinary-antimicrobial-consumption-esvac#population</w:t>
        </w:r>
      </w:hyperlink>
    </w:p>
    <w:p w14:paraId="41FB3C77" w14:textId="77777777" w:rsidR="0005469C" w:rsidRPr="004F60A1" w:rsidRDefault="0005469C" w:rsidP="00CB2594">
      <w:pPr>
        <w:pStyle w:val="Textpoznpodarou"/>
        <w:rPr>
          <w:sz w:val="18"/>
          <w:szCs w:val="18"/>
        </w:rPr>
      </w:pPr>
    </w:p>
  </w:footnote>
  <w:footnote w:id="44">
    <w:p w14:paraId="5E4B68DC" w14:textId="77777777" w:rsidR="0005469C" w:rsidRPr="00322579" w:rsidRDefault="0005469C" w:rsidP="00CB2594">
      <w:pPr>
        <w:pStyle w:val="Textpoznpodarou"/>
        <w:spacing w:after="120"/>
        <w:rPr>
          <w:rStyle w:val="Znakapoznpodarou"/>
          <w:i/>
          <w:sz w:val="18"/>
          <w:szCs w:val="18"/>
          <w:vertAlign w:val="baseline"/>
        </w:rPr>
      </w:pPr>
      <w:r w:rsidRPr="00322579">
        <w:rPr>
          <w:rStyle w:val="Znakapoznpodarou"/>
          <w:i/>
          <w:sz w:val="18"/>
          <w:szCs w:val="18"/>
          <w:vertAlign w:val="baseline"/>
        </w:rPr>
        <w:footnoteRef/>
      </w:r>
      <w:hyperlink r:id="rId10" w:history="1">
        <w:r w:rsidRPr="00322579">
          <w:rPr>
            <w:rStyle w:val="Hypertextovodkaz"/>
            <w:i/>
            <w:sz w:val="18"/>
            <w:szCs w:val="18"/>
          </w:rPr>
          <w:t>http://www.waitrose.com/content/waitrose/en/home/inspiration/about_waitrose/the_waitrose_way/waitrose_animal_welfarecommitments.html</w:t>
        </w:r>
      </w:hyperlink>
    </w:p>
  </w:footnote>
  <w:footnote w:id="45">
    <w:p w14:paraId="0E02B2A4" w14:textId="77777777" w:rsidR="0005469C" w:rsidRPr="00322579" w:rsidRDefault="0005469C" w:rsidP="00CB2594">
      <w:pPr>
        <w:pStyle w:val="Textpoznpodarou"/>
        <w:spacing w:after="120"/>
        <w:rPr>
          <w:rStyle w:val="Hypertextovodkaz"/>
          <w:i/>
          <w:sz w:val="18"/>
          <w:szCs w:val="18"/>
        </w:rPr>
      </w:pPr>
      <w:r w:rsidRPr="00322579">
        <w:rPr>
          <w:rStyle w:val="Znakapoznpodarou"/>
          <w:i/>
          <w:sz w:val="18"/>
          <w:szCs w:val="18"/>
          <w:vertAlign w:val="baseline"/>
        </w:rPr>
        <w:footnoteRef/>
      </w:r>
      <w:r w:rsidRPr="00322579">
        <w:rPr>
          <w:rStyle w:val="Znakapoznpodarou"/>
          <w:i/>
          <w:sz w:val="18"/>
          <w:szCs w:val="18"/>
          <w:vertAlign w:val="baseline"/>
        </w:rPr>
        <w:t xml:space="preserve"> </w:t>
      </w:r>
      <w:hyperlink r:id="rId11" w:history="1">
        <w:r w:rsidRPr="00322579">
          <w:rPr>
            <w:rStyle w:val="Hypertextovodkaz"/>
            <w:i/>
            <w:sz w:val="18"/>
            <w:szCs w:val="18"/>
          </w:rPr>
          <w:t>http://www.fwi.co.uk/livestock/tesco-milk-suppliers-to-cut-use-of-critical-antibiotics.htm</w:t>
        </w:r>
      </w:hyperlink>
    </w:p>
  </w:footnote>
  <w:footnote w:id="46">
    <w:p w14:paraId="188BF494" w14:textId="77777777" w:rsidR="0005469C" w:rsidRPr="00322579" w:rsidRDefault="0005469C" w:rsidP="00CB2594">
      <w:pPr>
        <w:pStyle w:val="Textpoznpodarou"/>
        <w:spacing w:after="120"/>
        <w:rPr>
          <w:rStyle w:val="Znakapoznpodarou"/>
          <w:i/>
          <w:sz w:val="18"/>
          <w:szCs w:val="18"/>
          <w:vertAlign w:val="baseline"/>
        </w:rPr>
      </w:pPr>
      <w:r w:rsidRPr="00322579">
        <w:rPr>
          <w:rStyle w:val="Hypertextovodkaz"/>
          <w:i/>
          <w:sz w:val="18"/>
          <w:szCs w:val="18"/>
        </w:rPr>
        <w:footnoteRef/>
      </w:r>
      <w:r w:rsidRPr="00322579">
        <w:rPr>
          <w:rStyle w:val="Hypertextovodkaz"/>
          <w:i/>
          <w:sz w:val="18"/>
          <w:szCs w:val="18"/>
        </w:rPr>
        <w:t xml:space="preserve"> </w:t>
      </w:r>
      <w:hyperlink r:id="rId12" w:history="1">
        <w:r w:rsidRPr="00322579">
          <w:rPr>
            <w:rStyle w:val="Hypertextovodkaz"/>
            <w:i/>
            <w:sz w:val="18"/>
            <w:szCs w:val="18"/>
          </w:rPr>
          <w:t>http://www.bbc.com/news/business-42437665</w:t>
        </w:r>
      </w:hyperlink>
    </w:p>
  </w:footnote>
  <w:footnote w:id="47">
    <w:p w14:paraId="4C3291AE" w14:textId="77777777" w:rsidR="0005469C" w:rsidRPr="007B6DBD" w:rsidRDefault="0005469C" w:rsidP="00CB2594">
      <w:pPr>
        <w:pStyle w:val="Textpoznpodarou"/>
        <w:spacing w:after="120"/>
        <w:rPr>
          <w:i/>
        </w:rPr>
      </w:pPr>
      <w:r w:rsidRPr="00322579">
        <w:rPr>
          <w:rStyle w:val="Znakapoznpodarou"/>
          <w:i/>
          <w:sz w:val="18"/>
          <w:szCs w:val="18"/>
          <w:vertAlign w:val="baseline"/>
        </w:rPr>
        <w:footnoteRef/>
      </w:r>
      <w:r w:rsidRPr="00322579">
        <w:rPr>
          <w:rStyle w:val="Znakapoznpodarou"/>
          <w:i/>
          <w:sz w:val="18"/>
          <w:szCs w:val="18"/>
          <w:vertAlign w:val="baseline"/>
        </w:rPr>
        <w:t xml:space="preserve"> ÚZEI – Využití podkladů zaslaných v rámci dotačního programu 19-vyhonocení (2018). Zpracováno z podkladů dotazníkového šetření ČMSCH za rok 2016, kterého se zúčastnilo z celkového počtu producentů mléka-držitelů kvóty.</w:t>
      </w:r>
      <w:r w:rsidRPr="007B6DBD">
        <w:rPr>
          <w:i/>
        </w:rPr>
        <w:t xml:space="preserve"> </w:t>
      </w:r>
    </w:p>
  </w:footnote>
  <w:footnote w:id="48">
    <w:p w14:paraId="4B0B97BA" w14:textId="77777777" w:rsidR="0005469C" w:rsidRPr="00E45260" w:rsidRDefault="0005469C" w:rsidP="00CB2594">
      <w:pPr>
        <w:pStyle w:val="Textpoznpodarou"/>
        <w:rPr>
          <w:i/>
          <w:sz w:val="18"/>
          <w:szCs w:val="18"/>
        </w:rPr>
      </w:pPr>
      <w:r w:rsidRPr="00E45260">
        <w:rPr>
          <w:rStyle w:val="Znakapoznpodarou"/>
          <w:i/>
          <w:sz w:val="18"/>
          <w:szCs w:val="18"/>
        </w:rPr>
        <w:footnoteRef/>
      </w:r>
      <w:r w:rsidRPr="00E45260">
        <w:rPr>
          <w:i/>
          <w:sz w:val="18"/>
          <w:szCs w:val="18"/>
        </w:rPr>
        <w:t xml:space="preserve"> Doležal, VÚŽV</w:t>
      </w:r>
    </w:p>
  </w:footnote>
  <w:footnote w:id="49">
    <w:p w14:paraId="16C89A68" w14:textId="77777777" w:rsidR="0005469C" w:rsidRPr="006E3D2C" w:rsidRDefault="0005469C" w:rsidP="00CB2594">
      <w:pPr>
        <w:pStyle w:val="Textpoznpodarou"/>
        <w:rPr>
          <w:i/>
          <w:sz w:val="18"/>
          <w:szCs w:val="18"/>
        </w:rPr>
      </w:pPr>
      <w:r w:rsidRPr="006E3D2C">
        <w:rPr>
          <w:rStyle w:val="Znakapoznpodarou"/>
          <w:i/>
        </w:rPr>
        <w:footnoteRef/>
      </w:r>
      <w:r w:rsidRPr="006E3D2C">
        <w:rPr>
          <w:i/>
        </w:rPr>
        <w:t xml:space="preserve"> </w:t>
      </w:r>
      <w:hyperlink r:id="rId13" w:history="1">
        <w:r w:rsidRPr="006E3D2C">
          <w:rPr>
            <w:rStyle w:val="Hypertextovodkaz"/>
            <w:rFonts w:cs="Arial"/>
            <w:i/>
            <w:sz w:val="18"/>
            <w:szCs w:val="18"/>
          </w:rPr>
          <w:t>http://www.thepigsite.com/swinenews/43076/antibiotic-free-pork-catching-on-in-denmark/</w:t>
        </w:r>
      </w:hyperlink>
    </w:p>
  </w:footnote>
  <w:footnote w:id="50">
    <w:p w14:paraId="28D84779" w14:textId="77777777" w:rsidR="0005469C" w:rsidRPr="007144E7" w:rsidRDefault="0005469C" w:rsidP="00CB2594">
      <w:pPr>
        <w:pStyle w:val="Textpoznpodarou"/>
        <w:rPr>
          <w:rFonts w:ascii="Arial" w:hAnsi="Arial" w:cs="Arial"/>
          <w:i/>
          <w:sz w:val="18"/>
          <w:szCs w:val="18"/>
        </w:rPr>
      </w:pPr>
      <w:r>
        <w:rPr>
          <w:rStyle w:val="Znakapoznpodarou"/>
        </w:rPr>
        <w:footnoteRef/>
      </w:r>
      <w:r>
        <w:t xml:space="preserve"> </w:t>
      </w:r>
      <w:hyperlink r:id="rId14" w:history="1">
        <w:r w:rsidRPr="007144E7">
          <w:rPr>
            <w:rStyle w:val="Hypertextovodkaz"/>
            <w:rFonts w:cs="Arial"/>
            <w:i/>
            <w:sz w:val="18"/>
            <w:szCs w:val="18"/>
          </w:rPr>
          <w:t>https://amr-review.org/sites/default/files/160525_Final%20paper_with%20cover.pdf</w:t>
        </w:r>
      </w:hyperlink>
    </w:p>
  </w:footnote>
  <w:footnote w:id="51">
    <w:p w14:paraId="0C3AAF92" w14:textId="77777777" w:rsidR="0005469C" w:rsidRPr="007434DA" w:rsidRDefault="0005469C" w:rsidP="00CB2594">
      <w:pPr>
        <w:pStyle w:val="Textpoznpodarou"/>
        <w:rPr>
          <w:i/>
          <w:sz w:val="18"/>
          <w:szCs w:val="18"/>
        </w:rPr>
      </w:pPr>
      <w:r w:rsidRPr="007434DA">
        <w:rPr>
          <w:rStyle w:val="Znakapoznpodarou"/>
        </w:rPr>
        <w:footnoteRef/>
      </w:r>
      <w:r w:rsidRPr="007434DA">
        <w:t xml:space="preserve"> </w:t>
      </w:r>
      <w:hyperlink r:id="rId15" w:history="1">
        <w:r w:rsidRPr="007434DA">
          <w:rPr>
            <w:rStyle w:val="Hypertextovodkaz"/>
            <w:i/>
            <w:sz w:val="18"/>
            <w:szCs w:val="18"/>
          </w:rPr>
          <w:t>http://www.szu.cz/uploads/AP_NAP_2011_2013.pdf</w:t>
        </w:r>
      </w:hyperlink>
    </w:p>
  </w:footnote>
  <w:footnote w:id="52">
    <w:p w14:paraId="426E39DF" w14:textId="77777777" w:rsidR="0005469C" w:rsidRPr="007434DA" w:rsidRDefault="0005469C" w:rsidP="00CB2594">
      <w:pPr>
        <w:pStyle w:val="Textpoznpodarou"/>
        <w:spacing w:before="120"/>
        <w:rPr>
          <w:i/>
          <w:sz w:val="18"/>
          <w:szCs w:val="18"/>
        </w:rPr>
      </w:pPr>
      <w:r w:rsidRPr="007434DA">
        <w:rPr>
          <w:rStyle w:val="Znakapoznpodarou"/>
          <w:i/>
          <w:sz w:val="18"/>
          <w:szCs w:val="18"/>
        </w:rPr>
        <w:footnoteRef/>
      </w:r>
      <w:r w:rsidRPr="007434DA">
        <w:rPr>
          <w:i/>
          <w:sz w:val="18"/>
          <w:szCs w:val="18"/>
        </w:rPr>
        <w:t xml:space="preserve"> Podpůrné programy poskytnuté na základě § 1, § 2 zákona 252/1997 Sb. o zemědělství ve znění pozdějších předpisů a na základě usnesení vlády ČR č. 689 (Program 8 F Podpora vybraných činností zaměřených na ozdravení chovů prasata a drůbeže).</w:t>
      </w:r>
    </w:p>
  </w:footnote>
  <w:footnote w:id="53">
    <w:p w14:paraId="19AF04F1" w14:textId="77777777" w:rsidR="0005469C" w:rsidRPr="00DC77BB" w:rsidRDefault="0005469C" w:rsidP="00CB2594">
      <w:pPr>
        <w:pStyle w:val="Textpoznpodarou"/>
        <w:spacing w:before="120"/>
        <w:rPr>
          <w:rFonts w:ascii="Arial" w:hAnsi="Arial" w:cs="Arial"/>
          <w:i/>
          <w:sz w:val="18"/>
          <w:szCs w:val="18"/>
        </w:rPr>
      </w:pPr>
      <w:r w:rsidRPr="007434DA">
        <w:rPr>
          <w:rStyle w:val="Znakapoznpodarou"/>
          <w:i/>
          <w:sz w:val="18"/>
          <w:szCs w:val="18"/>
        </w:rPr>
        <w:footnoteRef/>
      </w:r>
      <w:r w:rsidRPr="007434DA">
        <w:rPr>
          <w:i/>
          <w:sz w:val="18"/>
          <w:szCs w:val="18"/>
        </w:rPr>
        <w:t xml:space="preserve"> Národní ozdravovací program od IBR v České republice byl zahájen 1. 1. 2006. Po jedenácti letech ozdravování </w:t>
      </w:r>
      <w:r w:rsidRPr="007434DA">
        <w:rPr>
          <w:rStyle w:val="Zdraznn"/>
          <w:sz w:val="18"/>
          <w:szCs w:val="18"/>
        </w:rPr>
        <w:t>byl tento program k 31. 12. 2016 ukončen.</w:t>
      </w:r>
      <w:r w:rsidRPr="007434DA">
        <w:rPr>
          <w:i/>
          <w:sz w:val="18"/>
          <w:szCs w:val="18"/>
        </w:rPr>
        <w:t xml:space="preserve"> Na začátku ozdravování v roce 2006 pouze 19 % hospodářství z celkového počtu hospodářství skotu bylo uznáno jako IBR prostá. V průběhu jedenácti let ozdravování se postupně podařilo počet hospodářství s přiznaným statusem IBR prostého hospodářství zvýšit na 99,21 %</w:t>
      </w:r>
    </w:p>
  </w:footnote>
  <w:footnote w:id="54">
    <w:p w14:paraId="6A5D5EBA" w14:textId="77777777" w:rsidR="0005469C" w:rsidRPr="00491F2D" w:rsidRDefault="0005469C" w:rsidP="00491F2D">
      <w:pPr>
        <w:pStyle w:val="UZEIZdroj"/>
        <w:rPr>
          <w:sz w:val="18"/>
          <w:szCs w:val="18"/>
        </w:rPr>
      </w:pPr>
      <w:r w:rsidRPr="00491F2D">
        <w:rPr>
          <w:rStyle w:val="Znakapoznpodarou"/>
          <w:sz w:val="18"/>
          <w:szCs w:val="18"/>
        </w:rPr>
        <w:footnoteRef/>
      </w:r>
      <w:r w:rsidRPr="00491F2D">
        <w:rPr>
          <w:rStyle w:val="Znakapoznpodarou"/>
          <w:sz w:val="18"/>
          <w:szCs w:val="18"/>
        </w:rPr>
        <w:t xml:space="preserve"> </w:t>
      </w:r>
      <w:r w:rsidRPr="00491F2D">
        <w:rPr>
          <w:sz w:val="18"/>
          <w:szCs w:val="18"/>
        </w:rPr>
        <w:t xml:space="preserve">See Feasibility study: 'Animal welfare labelling and establishing a Community Reference Centre for Animal Protection and Welfare', 26.01.2009 by FCEC </w:t>
      </w:r>
      <w:hyperlink r:id="rId16" w:history="1">
        <w:r w:rsidRPr="00491F2D">
          <w:rPr>
            <w:rStyle w:val="Hypertextovodkaz"/>
            <w:rFonts w:eastAsiaTheme="minorHAnsi"/>
            <w:sz w:val="18"/>
            <w:szCs w:val="18"/>
          </w:rPr>
          <w:t>http://ec.europa.eu/food/animal/welfare/farm/labelling_en.htm</w:t>
        </w:r>
      </w:hyperlink>
    </w:p>
  </w:footnote>
  <w:footnote w:id="55">
    <w:p w14:paraId="1B07E2DC" w14:textId="77777777" w:rsidR="0005469C" w:rsidRPr="00491F2D" w:rsidRDefault="0005469C" w:rsidP="00491F2D">
      <w:pPr>
        <w:pStyle w:val="UZEIZdroj"/>
        <w:rPr>
          <w:sz w:val="18"/>
          <w:szCs w:val="18"/>
        </w:rPr>
      </w:pPr>
      <w:r w:rsidRPr="00491F2D">
        <w:rPr>
          <w:rStyle w:val="Znakapoznpodarou"/>
          <w:sz w:val="18"/>
          <w:szCs w:val="18"/>
        </w:rPr>
        <w:footnoteRef/>
      </w:r>
      <w:r w:rsidRPr="00491F2D">
        <w:rPr>
          <w:sz w:val="18"/>
          <w:szCs w:val="18"/>
        </w:rPr>
        <w:t xml:space="preserve"> </w:t>
      </w:r>
      <w:hyperlink r:id="rId17" w:history="1">
        <w:r w:rsidRPr="00491F2D">
          <w:rPr>
            <w:rStyle w:val="Hypertextovodkaz"/>
            <w:sz w:val="18"/>
            <w:szCs w:val="18"/>
          </w:rPr>
          <w:t>https://www.ncbi.nlm.nih.gov/pubmed/27854336</w:t>
        </w:r>
      </w:hyperlink>
      <w:r w:rsidRPr="00491F2D">
        <w:rPr>
          <w:sz w:val="18"/>
          <w:szCs w:val="18"/>
        </w:rPr>
        <w:t>, 15.8.2018, Cornish A., What We Know about the Public’s Level of Concern for Farm Animal Welfare in Food Production in Developed</w:t>
      </w:r>
      <w:r w:rsidRPr="00491F2D">
        <w:rPr>
          <w:sz w:val="18"/>
          <w:szCs w:val="18"/>
          <w:lang w:val="en-GB"/>
        </w:rPr>
        <w:t xml:space="preserve"> Countries</w:t>
      </w:r>
    </w:p>
  </w:footnote>
  <w:footnote w:id="56">
    <w:p w14:paraId="1896CADF" w14:textId="77777777" w:rsidR="0005469C" w:rsidRPr="00491F2D" w:rsidRDefault="0005469C" w:rsidP="00491F2D">
      <w:pPr>
        <w:pStyle w:val="UZEIZdroj"/>
        <w:rPr>
          <w:sz w:val="18"/>
          <w:szCs w:val="18"/>
        </w:rPr>
      </w:pPr>
      <w:r w:rsidRPr="00491F2D">
        <w:rPr>
          <w:rStyle w:val="Znakapoznpodarou"/>
          <w:sz w:val="18"/>
          <w:szCs w:val="18"/>
        </w:rPr>
        <w:footnoteRef/>
      </w:r>
      <w:r w:rsidRPr="00491F2D">
        <w:rPr>
          <w:rStyle w:val="Znakapoznpodarou"/>
          <w:sz w:val="18"/>
          <w:szCs w:val="18"/>
        </w:rPr>
        <w:t xml:space="preserve"> </w:t>
      </w:r>
      <w:r w:rsidRPr="00491F2D">
        <w:rPr>
          <w:sz w:val="18"/>
          <w:szCs w:val="18"/>
        </w:rPr>
        <w:t xml:space="preserve">Rozhodnutím EK ze dne 24. ledna 2017 byla stanovena odborná skupina Komise „Platforma pro dobré životní podmínky zvířat. </w:t>
      </w:r>
    </w:p>
  </w:footnote>
  <w:footnote w:id="57">
    <w:p w14:paraId="6BF18249" w14:textId="77777777" w:rsidR="0005469C" w:rsidRPr="00491F2D" w:rsidRDefault="0005469C" w:rsidP="00491F2D">
      <w:pPr>
        <w:pStyle w:val="UZEIZdroj"/>
        <w:rPr>
          <w:sz w:val="18"/>
          <w:szCs w:val="18"/>
        </w:rPr>
      </w:pPr>
      <w:r w:rsidRPr="00491F2D">
        <w:rPr>
          <w:rStyle w:val="Znakapoznpodarou"/>
          <w:sz w:val="18"/>
          <w:szCs w:val="18"/>
        </w:rPr>
        <w:footnoteRef/>
      </w:r>
      <w:r w:rsidRPr="00491F2D">
        <w:rPr>
          <w:sz w:val="18"/>
          <w:szCs w:val="18"/>
        </w:rPr>
        <w:t xml:space="preserve"> Pramen: TÚ 66/2019 – Kupní chování spotřebitele: segmentace trhu a vnímaná kvalita vybraných druhů potravin. Kolektiv autorů ÚZEI. Sběr dat proběhl formou dotazníkového šetření metodou CAWI, tj. prostřednictvím online dotazníků v říjnu 2019 připravených pracovníky ÚZEI. Respondenti byli vybráni na základě kvótního výběru, tak aby reprezentovali sociodemografickou strukturu obyvatel ČR ve věku nad 18 let. Počet respondentů byl 1 214. </w:t>
      </w:r>
    </w:p>
    <w:p w14:paraId="2B2009FB" w14:textId="77777777" w:rsidR="0005469C" w:rsidRDefault="0005469C" w:rsidP="00491F2D">
      <w:pPr>
        <w:pStyle w:val="UZEIZdroj"/>
      </w:pPr>
      <w:r w:rsidRPr="00491F2D">
        <w:rPr>
          <w:rStyle w:val="Znakapoznpodarou"/>
          <w:sz w:val="18"/>
          <w:szCs w:val="18"/>
        </w:rPr>
        <w:footnoteRef/>
      </w:r>
      <w:r w:rsidRPr="00491F2D">
        <w:rPr>
          <w:sz w:val="18"/>
          <w:szCs w:val="18"/>
        </w:rPr>
        <w:t xml:space="preserve"> Pramen. Statistické šetření ÚZEI pro roky 2009–2017</w:t>
      </w:r>
    </w:p>
  </w:footnote>
  <w:footnote w:id="58">
    <w:p w14:paraId="072BA58C" w14:textId="77777777" w:rsidR="0005469C" w:rsidRPr="00AE5EA1" w:rsidRDefault="0005469C" w:rsidP="00CB2594">
      <w:pPr>
        <w:pStyle w:val="Textpoznpodarou"/>
        <w:rPr>
          <w:i/>
          <w:sz w:val="18"/>
          <w:szCs w:val="18"/>
        </w:rPr>
      </w:pPr>
      <w:r>
        <w:rPr>
          <w:rStyle w:val="Znakapoznpodarou"/>
        </w:rPr>
        <w:footnoteRef/>
      </w:r>
      <w:r>
        <w:t xml:space="preserve"> </w:t>
      </w:r>
      <w:hyperlink r:id="rId18" w:history="1">
        <w:r w:rsidRPr="00AE5EA1">
          <w:rPr>
            <w:rStyle w:val="Hypertextovodkaz"/>
            <w:rFonts w:cs="Arial"/>
            <w:i/>
            <w:sz w:val="18"/>
            <w:szCs w:val="18"/>
          </w:rPr>
          <w:t>http://eagri.cz/public/web/mze/ochrana-zvirat/legislativa/</w:t>
        </w:r>
      </w:hyperlink>
      <w:r w:rsidRPr="00AE5EA1">
        <w:rPr>
          <w:rFonts w:ascii="Arial" w:hAnsi="Arial" w:cs="Arial"/>
          <w:i/>
          <w:sz w:val="18"/>
          <w:szCs w:val="18"/>
        </w:rPr>
        <w:t>).</w:t>
      </w:r>
    </w:p>
  </w:footnote>
  <w:footnote w:id="59">
    <w:p w14:paraId="307AAAA7" w14:textId="77777777" w:rsidR="0005469C" w:rsidRPr="004C05BD" w:rsidRDefault="0005469C" w:rsidP="00CB2594">
      <w:pPr>
        <w:pStyle w:val="Textpoznpodarou"/>
        <w:rPr>
          <w:i/>
          <w:sz w:val="18"/>
          <w:szCs w:val="18"/>
        </w:rPr>
      </w:pPr>
      <w:r w:rsidRPr="004C05BD">
        <w:rPr>
          <w:rStyle w:val="Znakapoznpodarou"/>
          <w:i/>
          <w:sz w:val="18"/>
          <w:szCs w:val="18"/>
        </w:rPr>
        <w:footnoteRef/>
      </w:r>
      <w:r w:rsidRPr="004C05BD">
        <w:rPr>
          <w:i/>
          <w:sz w:val="18"/>
          <w:szCs w:val="18"/>
        </w:rPr>
        <w:t xml:space="preserve"> EU Animal welfare strategy 2012-2015 </w:t>
      </w:r>
    </w:p>
  </w:footnote>
  <w:footnote w:id="60">
    <w:p w14:paraId="6CF18462" w14:textId="77777777" w:rsidR="0005469C" w:rsidRPr="004C05BD" w:rsidRDefault="0005469C" w:rsidP="00CB2594">
      <w:pPr>
        <w:autoSpaceDE w:val="0"/>
        <w:autoSpaceDN w:val="0"/>
        <w:adjustRightInd w:val="0"/>
        <w:spacing w:line="240" w:lineRule="atLeast"/>
        <w:rPr>
          <w:rFonts w:cs="Times New Roman"/>
          <w:i/>
          <w:sz w:val="18"/>
          <w:szCs w:val="18"/>
        </w:rPr>
      </w:pPr>
      <w:r w:rsidRPr="004C05BD">
        <w:rPr>
          <w:rStyle w:val="Znakapoznpodarou"/>
          <w:i/>
          <w:sz w:val="18"/>
          <w:szCs w:val="18"/>
        </w:rPr>
        <w:footnoteRef/>
      </w:r>
      <w:r w:rsidRPr="0005469C">
        <w:rPr>
          <w:rFonts w:cs="Times New Roman"/>
          <w:i/>
          <w:sz w:val="18"/>
          <w:szCs w:val="18"/>
          <w:lang w:val="cs-CZ"/>
        </w:rPr>
        <w:t>Úkoly a činnosti "Platformy o dobrých životních podmínkách zvířat" byly stanoveny v rozhodnutí Komise ze dne 24. ledna 2017.</w:t>
      </w:r>
      <w:r w:rsidRPr="0005469C">
        <w:rPr>
          <w:rFonts w:cs="Times New Roman"/>
          <w:i/>
          <w:color w:val="000000"/>
          <w:sz w:val="18"/>
          <w:szCs w:val="18"/>
          <w:lang w:val="cs-CZ"/>
        </w:rPr>
        <w:t xml:space="preserve"> </w:t>
      </w:r>
      <w:hyperlink r:id="rId19" w:history="1">
        <w:r w:rsidRPr="004C05BD">
          <w:rPr>
            <w:rStyle w:val="Hypertextovodkaz"/>
            <w:rFonts w:cs="Times New Roman"/>
            <w:i/>
            <w:sz w:val="18"/>
            <w:szCs w:val="18"/>
          </w:rPr>
          <w:t>https://ec.europa.eu/food/animals/welfare/eu-platform-animal-welfare_en</w:t>
        </w:r>
      </w:hyperlink>
      <w:r w:rsidRPr="004C05BD">
        <w:rPr>
          <w:rFonts w:cs="Times New Roman"/>
          <w:i/>
          <w:color w:val="000000"/>
          <w:sz w:val="18"/>
          <w:szCs w:val="18"/>
        </w:rPr>
        <w:t>.</w:t>
      </w:r>
    </w:p>
  </w:footnote>
  <w:footnote w:id="61">
    <w:p w14:paraId="08709AE4" w14:textId="77777777" w:rsidR="0005469C" w:rsidRPr="00A1727A" w:rsidRDefault="0005469C" w:rsidP="00CB2594">
      <w:pPr>
        <w:pStyle w:val="Textpoznpodarou"/>
        <w:rPr>
          <w:rFonts w:ascii="Arial" w:hAnsi="Arial" w:cs="Arial"/>
          <w:i/>
          <w:sz w:val="18"/>
          <w:szCs w:val="18"/>
        </w:rPr>
      </w:pPr>
      <w:r w:rsidRPr="004C05BD">
        <w:rPr>
          <w:rStyle w:val="Znakapoznpodarou"/>
          <w:i/>
          <w:sz w:val="18"/>
          <w:szCs w:val="18"/>
        </w:rPr>
        <w:footnoteRef/>
      </w:r>
      <w:r w:rsidRPr="004C05BD">
        <w:rPr>
          <w:i/>
          <w:sz w:val="18"/>
          <w:szCs w:val="18"/>
        </w:rPr>
        <w:t xml:space="preserve"> prováděcí nařízení Komise (EU) 2018/329,  </w:t>
      </w:r>
      <w:hyperlink r:id="rId20" w:history="1">
        <w:r w:rsidRPr="004C05BD">
          <w:rPr>
            <w:rStyle w:val="Hypertextovodkaz"/>
            <w:i/>
            <w:sz w:val="18"/>
            <w:szCs w:val="18"/>
          </w:rPr>
          <w:t>https://ec.europa.eu/food/animals/welfare/eu-ref-cen</w:t>
        </w:r>
      </w:hyperlink>
    </w:p>
  </w:footnote>
  <w:footnote w:id="62">
    <w:p w14:paraId="62F2D6E5" w14:textId="77777777" w:rsidR="0005469C" w:rsidRPr="007F39E6" w:rsidRDefault="0005469C" w:rsidP="00CB2594">
      <w:pPr>
        <w:pStyle w:val="Textpoznpodarou"/>
        <w:ind w:left="993" w:hanging="993"/>
        <w:rPr>
          <w:i/>
          <w:sz w:val="18"/>
          <w:szCs w:val="18"/>
        </w:rPr>
      </w:pPr>
      <w:r w:rsidRPr="007F39E6">
        <w:rPr>
          <w:rStyle w:val="Znakapoznpodarou"/>
        </w:rPr>
        <w:footnoteRef/>
      </w:r>
      <w:r w:rsidRPr="007F39E6">
        <w:t xml:space="preserve"> </w:t>
      </w:r>
      <w:r w:rsidRPr="007F39E6">
        <w:rPr>
          <w:i/>
          <w:sz w:val="18"/>
          <w:szCs w:val="18"/>
        </w:rPr>
        <w:t>5 svobod: 1) svoboda od žízně, hladu, 2) svoboda od nepohodlí, 3) svoboda od bolesti, zranění a nemoci, 4) svoboda uskutečnit normální chování 5) svoboda od strachu a úzkosti</w:t>
      </w:r>
    </w:p>
  </w:footnote>
  <w:footnote w:id="63">
    <w:p w14:paraId="192B06A1" w14:textId="77777777" w:rsidR="0005469C" w:rsidRPr="007F39E6" w:rsidRDefault="0005469C" w:rsidP="00CB2594">
      <w:pPr>
        <w:pStyle w:val="Textpoznpodarou"/>
        <w:rPr>
          <w:i/>
          <w:sz w:val="18"/>
          <w:szCs w:val="18"/>
        </w:rPr>
      </w:pPr>
      <w:r w:rsidRPr="007F39E6">
        <w:rPr>
          <w:rStyle w:val="Znakapoznpodarou"/>
          <w:i/>
          <w:sz w:val="18"/>
          <w:szCs w:val="18"/>
        </w:rPr>
        <w:footnoteRef/>
      </w:r>
      <w:r w:rsidRPr="007F39E6">
        <w:rPr>
          <w:i/>
          <w:sz w:val="18"/>
          <w:szCs w:val="18"/>
        </w:rPr>
        <w:t xml:space="preserve"> EU Animal welfare strategy 2012-2015 </w:t>
      </w:r>
    </w:p>
  </w:footnote>
  <w:footnote w:id="64">
    <w:p w14:paraId="22AA167F" w14:textId="77777777" w:rsidR="0005469C" w:rsidRPr="00A1727A" w:rsidRDefault="0005469C" w:rsidP="00CB2594">
      <w:pPr>
        <w:pStyle w:val="Textpoznpodarou"/>
        <w:rPr>
          <w:rFonts w:ascii="Arial" w:hAnsi="Arial" w:cs="Arial"/>
          <w:i/>
          <w:sz w:val="18"/>
          <w:szCs w:val="18"/>
        </w:rPr>
      </w:pPr>
      <w:r w:rsidRPr="007F39E6">
        <w:rPr>
          <w:rStyle w:val="Znakapoznpodarou"/>
          <w:i/>
          <w:sz w:val="18"/>
          <w:szCs w:val="18"/>
        </w:rPr>
        <w:footnoteRef/>
      </w:r>
      <w:r w:rsidRPr="007F39E6">
        <w:rPr>
          <w:i/>
          <w:sz w:val="18"/>
          <w:szCs w:val="18"/>
        </w:rPr>
        <w:t xml:space="preserve"> </w:t>
      </w:r>
      <w:r w:rsidRPr="007F39E6">
        <w:rPr>
          <w:bCs/>
          <w:i/>
          <w:sz w:val="18"/>
          <w:szCs w:val="18"/>
          <w14:shadow w14:blurRad="50800" w14:dist="38100" w14:dir="2700000" w14:sx="100000" w14:sy="100000" w14:kx="0" w14:ky="0" w14:algn="tl">
            <w14:srgbClr w14:val="000000">
              <w14:alpha w14:val="60000"/>
            </w14:srgbClr>
          </w14:shadow>
        </w:rPr>
        <w:t>(</w:t>
      </w:r>
      <w:hyperlink r:id="rId21" w:history="1">
        <w:r w:rsidRPr="007F39E6">
          <w:rPr>
            <w:rStyle w:val="Hypertextovodkaz"/>
            <w:bCs/>
            <w:i/>
            <w:sz w:val="18"/>
            <w:szCs w:val="18"/>
            <w14:shadow w14:blurRad="50800" w14:dist="38100" w14:dir="2700000" w14:sx="100000" w14:sy="100000" w14:kx="0" w14:ky="0" w14:algn="tl">
              <w14:srgbClr w14:val="000000">
                <w14:alpha w14:val="60000"/>
              </w14:srgbClr>
            </w14:shadow>
          </w:rPr>
          <w:t>http://ec.europa.eu/food/animal/welfare/index_en.htm</w:t>
        </w:r>
      </w:hyperlink>
      <w:r w:rsidRPr="007F39E6">
        <w:rPr>
          <w:bCs/>
          <w:i/>
          <w:sz w:val="18"/>
          <w:szCs w:val="18"/>
          <w14:shadow w14:blurRad="50800" w14:dist="38100" w14:dir="2700000" w14:sx="100000" w14:sy="100000" w14:kx="0" w14:ky="0" w14:algn="tl">
            <w14:srgbClr w14:val="000000">
              <w14:alpha w14:val="60000"/>
            </w14:srgbClr>
          </w14:shadow>
        </w:rPr>
        <w:t>).</w:t>
      </w:r>
    </w:p>
  </w:footnote>
  <w:footnote w:id="65">
    <w:p w14:paraId="722DCEF7" w14:textId="77777777" w:rsidR="0005469C" w:rsidRPr="00FD1EC0" w:rsidRDefault="0005469C" w:rsidP="00CB2594">
      <w:pPr>
        <w:pStyle w:val="Textpoznpodarou"/>
        <w:rPr>
          <w:i/>
          <w:sz w:val="18"/>
          <w:szCs w:val="18"/>
        </w:rPr>
      </w:pPr>
      <w:r w:rsidRPr="00FD1EC0">
        <w:rPr>
          <w:rStyle w:val="Znakapoznpodarou"/>
        </w:rPr>
        <w:footnoteRef/>
      </w:r>
      <w:r w:rsidRPr="00FD1EC0">
        <w:t xml:space="preserve"> </w:t>
      </w:r>
      <w:r w:rsidRPr="00FD1EC0">
        <w:rPr>
          <w:i/>
          <w:sz w:val="18"/>
          <w:szCs w:val="18"/>
        </w:rPr>
        <w:t>Směrnice Komise 4/2002/ES o registraci zařízení pro chov nosnic, kterou stanoví směrnice Rady 74/1999/ES</w:t>
      </w:r>
    </w:p>
  </w:footnote>
  <w:footnote w:id="66">
    <w:p w14:paraId="6269C8D9" w14:textId="77777777" w:rsidR="0005469C" w:rsidRPr="00FD1EC0" w:rsidRDefault="0005469C" w:rsidP="00CB2594">
      <w:pPr>
        <w:rPr>
          <w:rFonts w:cs="Times New Roman"/>
        </w:rPr>
      </w:pPr>
      <w:r w:rsidRPr="00FD1EC0">
        <w:rPr>
          <w:rStyle w:val="Znakapoznpodarou"/>
          <w:sz w:val="18"/>
          <w:szCs w:val="18"/>
        </w:rPr>
        <w:footnoteRef/>
      </w:r>
      <w:r w:rsidRPr="00FD1EC0">
        <w:rPr>
          <w:rFonts w:cs="Times New Roman"/>
          <w:sz w:val="18"/>
          <w:szCs w:val="18"/>
        </w:rPr>
        <w:t xml:space="preserve"> </w:t>
      </w:r>
      <w:hyperlink r:id="rId22" w:anchor="age" w:history="1">
        <w:r w:rsidRPr="00FD1EC0">
          <w:rPr>
            <w:rStyle w:val="Hypertextovodkaz"/>
            <w:rFonts w:cs="Times New Roman"/>
            <w:sz w:val="18"/>
            <w:szCs w:val="18"/>
          </w:rPr>
          <w:t>http://www.omafra.gov.on.ca/english/livestock/dairy/facts/09-003.htm#age</w:t>
        </w:r>
      </w:hyperlink>
      <w:r w:rsidRPr="00FD1EC0">
        <w:rPr>
          <w:rFonts w:cs="Times New Roman"/>
          <w:sz w:val="18"/>
          <w:szCs w:val="18"/>
        </w:rPr>
        <w:t xml:space="preserve">; </w:t>
      </w:r>
      <w:r w:rsidRPr="00FD1EC0">
        <w:rPr>
          <w:rFonts w:cs="Times New Roman"/>
          <w:i/>
          <w:color w:val="000000" w:themeColor="text1"/>
          <w:sz w:val="18"/>
          <w:szCs w:val="18"/>
        </w:rPr>
        <w:t>Richard Laven PhD BVetMed MRCVS,</w:t>
      </w:r>
      <w:r w:rsidRPr="00FD1EC0">
        <w:rPr>
          <w:rFonts w:eastAsia="Times New Roman" w:cs="Times New Roman"/>
          <w:i/>
          <w:color w:val="555555"/>
          <w:sz w:val="18"/>
          <w:szCs w:val="18"/>
          <w:bdr w:val="none" w:sz="0" w:space="0" w:color="auto" w:frame="1"/>
          <w:lang w:eastAsia="cs-CZ"/>
        </w:rPr>
        <w:t xml:space="preserve"> </w:t>
      </w:r>
      <w:hyperlink r:id="rId23" w:history="1">
        <w:r w:rsidRPr="00FD1EC0">
          <w:rPr>
            <w:rFonts w:cs="Times New Roman"/>
            <w:i/>
            <w:color w:val="000000" w:themeColor="text1"/>
            <w:sz w:val="18"/>
            <w:szCs w:val="18"/>
          </w:rPr>
          <w:t>NADIS</w:t>
        </w:r>
      </w:hyperlink>
      <w:r w:rsidRPr="00FD1EC0">
        <w:rPr>
          <w:rFonts w:cs="Times New Roman"/>
          <w:i/>
          <w:color w:val="000000" w:themeColor="text1"/>
          <w:sz w:val="18"/>
          <w:szCs w:val="18"/>
        </w:rPr>
        <w:t xml:space="preserve"> animal health SKILL, </w:t>
      </w:r>
      <w:hyperlink r:id="rId24" w:history="1">
        <w:r w:rsidRPr="00FD1EC0">
          <w:rPr>
            <w:rStyle w:val="Hypertextovodkaz"/>
            <w:rFonts w:cs="Times New Roman"/>
            <w:i/>
            <w:sz w:val="18"/>
            <w:szCs w:val="18"/>
          </w:rPr>
          <w:t>https://www.nadis.org.uk/disease-a-z/cattle/disbudding-calves/</w:t>
        </w:r>
      </w:hyperlink>
      <w:r w:rsidRPr="00FD1EC0">
        <w:rPr>
          <w:rFonts w:cs="Times New Roman"/>
          <w:i/>
          <w:sz w:val="18"/>
          <w:szCs w:val="18"/>
        </w:rPr>
        <w:t>.</w:t>
      </w:r>
    </w:p>
  </w:footnote>
  <w:footnote w:id="67">
    <w:p w14:paraId="0F4B1510" w14:textId="77777777" w:rsidR="0005469C" w:rsidRDefault="0005469C" w:rsidP="00CB2594">
      <w:pPr>
        <w:pStyle w:val="Textpoznpodarou"/>
      </w:pPr>
      <w:r w:rsidRPr="00FD1EC0">
        <w:rPr>
          <w:rStyle w:val="Znakapoznpodarou"/>
        </w:rPr>
        <w:footnoteRef/>
      </w:r>
      <w:r>
        <w:t xml:space="preserve"> </w:t>
      </w:r>
    </w:p>
  </w:footnote>
  <w:footnote w:id="68">
    <w:p w14:paraId="4E73AD53" w14:textId="77777777" w:rsidR="0005469C" w:rsidRPr="00F02AF5" w:rsidRDefault="0005469C" w:rsidP="00CB2594">
      <w:pPr>
        <w:pStyle w:val="Textpoznpodarou"/>
        <w:rPr>
          <w:i/>
          <w:sz w:val="18"/>
          <w:szCs w:val="18"/>
        </w:rPr>
      </w:pPr>
      <w:r w:rsidRPr="00F02AF5">
        <w:rPr>
          <w:rStyle w:val="Znakapoznpodarou"/>
          <w:i/>
          <w:sz w:val="18"/>
          <w:szCs w:val="18"/>
        </w:rPr>
        <w:footnoteRef/>
      </w:r>
      <w:r w:rsidRPr="00F02AF5">
        <w:rPr>
          <w:i/>
          <w:sz w:val="18"/>
          <w:szCs w:val="18"/>
        </w:rPr>
        <w:t xml:space="preserve"> Údaje o počtu podniků a počtu chovaných zvířat podle IRZ vedeném ČMSCH </w:t>
      </w:r>
    </w:p>
  </w:footnote>
  <w:footnote w:id="69">
    <w:p w14:paraId="46CD30EE" w14:textId="77777777" w:rsidR="0005469C" w:rsidRPr="003F4EEE" w:rsidRDefault="0005469C" w:rsidP="00CB2594">
      <w:pPr>
        <w:pStyle w:val="Textpoznpodarou"/>
        <w:rPr>
          <w:i/>
          <w:sz w:val="18"/>
          <w:szCs w:val="18"/>
        </w:rPr>
      </w:pPr>
      <w:r w:rsidRPr="003F4EEE">
        <w:rPr>
          <w:rStyle w:val="Znakapoznpodarou"/>
          <w:i/>
          <w:sz w:val="18"/>
          <w:szCs w:val="18"/>
        </w:rPr>
        <w:footnoteRef/>
      </w:r>
      <w:r w:rsidRPr="003F4EEE">
        <w:rPr>
          <w:i/>
          <w:sz w:val="18"/>
          <w:szCs w:val="18"/>
        </w:rPr>
        <w:t xml:space="preserve"> ÚZEI – Využití podkladů zaslaných v rámci dotačního programu 19-vyhonocení (2018). Zpracováno z podkladů dotazníkového šetření ČMSCH za rok 2016, kterého se zúčastnilo z celkového počtu producentů mléka-držitelů kvóty. </w:t>
      </w:r>
    </w:p>
  </w:footnote>
  <w:footnote w:id="70">
    <w:p w14:paraId="48DAE3E4" w14:textId="77777777" w:rsidR="0005469C" w:rsidRPr="00894EA7" w:rsidRDefault="0005469C" w:rsidP="00CB2594">
      <w:pPr>
        <w:pStyle w:val="Textpoznpodarou"/>
        <w:rPr>
          <w:i/>
          <w:sz w:val="18"/>
          <w:szCs w:val="18"/>
        </w:rPr>
      </w:pPr>
      <w:r w:rsidRPr="00894EA7">
        <w:rPr>
          <w:rStyle w:val="Znakapoznpodarou"/>
        </w:rPr>
        <w:footnoteRef/>
      </w:r>
      <w:r w:rsidRPr="00894EA7">
        <w:t xml:space="preserve"> </w:t>
      </w:r>
      <w:r w:rsidRPr="00894EA7">
        <w:rPr>
          <w:i/>
          <w:color w:val="222222"/>
          <w:sz w:val="18"/>
          <w:szCs w:val="18"/>
        </w:rPr>
        <w:t>Podskupina pro prasata nejprve zváží, jak lze snížit riziko kupírování ocasu prasat splněním příslušných právních požadavků obsažených ve směrnicích 98/58 / ES, 2008/120 / ES a při zohlednění doporučení Komise (EU) 2016/336.</w:t>
      </w:r>
    </w:p>
  </w:footnote>
  <w:footnote w:id="71">
    <w:p w14:paraId="10657BF8" w14:textId="77777777" w:rsidR="0005469C" w:rsidRPr="00EC60AC" w:rsidRDefault="0005469C" w:rsidP="00CB2594">
      <w:pPr>
        <w:pStyle w:val="Textpoznpodarou"/>
        <w:rPr>
          <w:i/>
          <w:iCs/>
        </w:rPr>
      </w:pPr>
      <w:r w:rsidRPr="00EC60AC">
        <w:rPr>
          <w:rStyle w:val="Znakapoznpodarou"/>
          <w:i/>
          <w:iCs/>
        </w:rPr>
        <w:footnoteRef/>
      </w:r>
      <w:r w:rsidRPr="00EC60AC">
        <w:rPr>
          <w:i/>
          <w:iCs/>
        </w:rPr>
        <w:t xml:space="preserve"> Údaj z Ústřední evidence drůbeže za rok 2018 a z DG AGRI a Evropské komise </w:t>
      </w:r>
    </w:p>
  </w:footnote>
  <w:footnote w:id="72">
    <w:p w14:paraId="2051A047" w14:textId="77777777" w:rsidR="0005469C" w:rsidRPr="00EC60AC" w:rsidRDefault="0005469C" w:rsidP="00CB2594">
      <w:pPr>
        <w:pStyle w:val="Default"/>
      </w:pPr>
      <w:r w:rsidRPr="00EC60AC">
        <w:rPr>
          <w:rStyle w:val="Znakapoznpodarou"/>
          <w:i/>
          <w:sz w:val="18"/>
          <w:szCs w:val="18"/>
        </w:rPr>
        <w:footnoteRef/>
      </w:r>
      <w:r w:rsidRPr="00EC60AC">
        <w:rPr>
          <w:i/>
          <w:sz w:val="18"/>
          <w:szCs w:val="18"/>
        </w:rPr>
        <w:t xml:space="preserve"> Např. obchodní řetězce Tesco, Globus, Albert, Lidl, Kaufland, Penny Market, Billa, Makro, COOP, Rohlik.cz a Košík.cz oznámily, že aby naplnily očekávání zákazníků, přestanou od roku 2025 prodávat ve středoevropských obchodech vejce z klecových chovů. (Obchodní řetězce končí s prodejem klecových vajec. V Česku však není dostatek alternativních chovů slepic. Ihned.cz [online]. 2018 [cit. 2019-04-10]).</w:t>
      </w:r>
    </w:p>
  </w:footnote>
  <w:footnote w:id="73">
    <w:p w14:paraId="767E8CB2" w14:textId="77777777" w:rsidR="0005469C" w:rsidRPr="00EC60AC" w:rsidRDefault="0005469C" w:rsidP="00CB2594">
      <w:pPr>
        <w:pStyle w:val="Textpoznpodarou"/>
        <w:rPr>
          <w:i/>
          <w:color w:val="000000"/>
          <w:sz w:val="18"/>
          <w:szCs w:val="18"/>
          <w:lang w:eastAsia="cs-CZ"/>
        </w:rPr>
      </w:pPr>
      <w:r w:rsidRPr="00EC60AC">
        <w:rPr>
          <w:rStyle w:val="Znakapoznpodarou"/>
        </w:rPr>
        <w:footnoteRef/>
      </w:r>
      <w:r w:rsidRPr="00EC60AC">
        <w:t xml:space="preserve"> </w:t>
      </w:r>
      <w:r w:rsidRPr="00EC60AC">
        <w:rPr>
          <w:i/>
          <w:color w:val="000000"/>
          <w:sz w:val="18"/>
          <w:szCs w:val="18"/>
          <w:lang w:eastAsia="cs-CZ"/>
        </w:rPr>
        <w:t xml:space="preserve">Pramen: ČSÚ Strukturální šetření v zemědělství 2016 </w:t>
      </w:r>
    </w:p>
    <w:p w14:paraId="6FE87EC0" w14:textId="77777777" w:rsidR="0005469C" w:rsidRDefault="0005469C" w:rsidP="00CB2594">
      <w:pPr>
        <w:pStyle w:val="Textpoznpodarou"/>
      </w:pPr>
    </w:p>
  </w:footnote>
  <w:footnote w:id="74">
    <w:p w14:paraId="45536FC7" w14:textId="77777777" w:rsidR="0005469C" w:rsidRPr="0005469C" w:rsidRDefault="0005469C" w:rsidP="00CB2594">
      <w:pPr>
        <w:spacing w:line="240" w:lineRule="atLeast"/>
        <w:rPr>
          <w:rFonts w:cs="Times New Roman"/>
          <w:i/>
          <w:sz w:val="18"/>
          <w:szCs w:val="18"/>
          <w:lang w:val="cs-CZ"/>
        </w:rPr>
      </w:pPr>
      <w:r w:rsidRPr="00532DB7">
        <w:rPr>
          <w:rStyle w:val="Znakapoznpodarou"/>
        </w:rPr>
        <w:footnoteRef/>
      </w:r>
      <w:r w:rsidRPr="00FA3A37">
        <w:rPr>
          <w:rFonts w:cs="Times New Roman"/>
          <w:lang w:val="cs-CZ"/>
        </w:rPr>
        <w:t xml:space="preserve"> </w:t>
      </w:r>
      <w:r w:rsidRPr="00FA3A37">
        <w:rPr>
          <w:rFonts w:cs="Times New Roman"/>
          <w:i/>
          <w:sz w:val="18"/>
          <w:szCs w:val="18"/>
          <w:lang w:val="cs-CZ"/>
        </w:rPr>
        <w:t xml:space="preserve">Nařízení rady (ES) č. 834/2007 o ekologické produkci a označování ekologických produktů. </w:t>
      </w:r>
      <w:r w:rsidRPr="0005469C">
        <w:rPr>
          <w:rFonts w:cs="Times New Roman"/>
          <w:i/>
          <w:sz w:val="18"/>
          <w:szCs w:val="18"/>
          <w:lang w:val="cs-CZ"/>
        </w:rPr>
        <w:t>Zde jsou v hlavě III, kapitole 2, článku 14 stanovena pravidla živočišné produkce, týkající se chovatelských postupů a podmínek ustájení, plemenitby, krmiv, prevence nákaz a veterinární léčby, ale také původu zvířat, nebo čištění a desinfekce budov pro živočišnou výrobu.</w:t>
      </w:r>
    </w:p>
    <w:p w14:paraId="2CF41204" w14:textId="77777777" w:rsidR="0005469C" w:rsidRPr="00202CFF" w:rsidRDefault="0005469C" w:rsidP="00CB2594">
      <w:pPr>
        <w:pStyle w:val="Textpoznpodarou"/>
        <w:spacing w:line="240" w:lineRule="atLeast"/>
        <w:rPr>
          <w:rFonts w:ascii="Arial" w:hAnsi="Arial" w:cs="Arial"/>
          <w:i/>
          <w:sz w:val="18"/>
          <w:szCs w:val="18"/>
        </w:rPr>
      </w:pPr>
    </w:p>
  </w:footnote>
  <w:footnote w:id="75">
    <w:p w14:paraId="2A63EC6F" w14:textId="77777777" w:rsidR="0005469C" w:rsidRPr="00532DB7" w:rsidRDefault="0005469C" w:rsidP="00CB2594">
      <w:pPr>
        <w:pStyle w:val="Textpoznpodarou"/>
        <w:rPr>
          <w:i/>
          <w:sz w:val="18"/>
          <w:szCs w:val="18"/>
        </w:rPr>
      </w:pPr>
      <w:r w:rsidRPr="00532DB7">
        <w:rPr>
          <w:rStyle w:val="Znakapoznpodarou"/>
          <w:i/>
          <w:sz w:val="18"/>
          <w:szCs w:val="18"/>
        </w:rPr>
        <w:footnoteRef/>
      </w:r>
      <w:r w:rsidRPr="00532DB7">
        <w:rPr>
          <w:i/>
          <w:sz w:val="18"/>
          <w:szCs w:val="18"/>
        </w:rPr>
        <w:t xml:space="preserve"> Zásady, kterými se stanovují podmínky pro poskytování dotací na základě §1, §2 a §2d zákona 252/1997 Sb. o zemědělství ve znění pozdějších předpisů.</w:t>
      </w:r>
    </w:p>
  </w:footnote>
  <w:footnote w:id="76">
    <w:p w14:paraId="56723504" w14:textId="77777777" w:rsidR="0005469C" w:rsidRPr="006A7E5D" w:rsidRDefault="0005469C" w:rsidP="00CB2594">
      <w:pPr>
        <w:pStyle w:val="Textpoznpodarou"/>
        <w:rPr>
          <w:rFonts w:ascii="Arial" w:hAnsi="Arial" w:cs="Arial"/>
          <w:sz w:val="18"/>
          <w:szCs w:val="18"/>
        </w:rPr>
      </w:pPr>
      <w:r w:rsidRPr="00532DB7">
        <w:rPr>
          <w:rStyle w:val="Znakapoznpodarou"/>
          <w:sz w:val="18"/>
          <w:szCs w:val="18"/>
        </w:rPr>
        <w:footnoteRef/>
      </w:r>
      <w:r w:rsidRPr="00532DB7">
        <w:rPr>
          <w:sz w:val="18"/>
          <w:szCs w:val="18"/>
        </w:rPr>
        <w:t xml:space="preserve"> </w:t>
      </w:r>
      <w:r w:rsidRPr="00532DB7">
        <w:rPr>
          <w:i/>
          <w:sz w:val="18"/>
          <w:szCs w:val="18"/>
        </w:rPr>
        <w:t>C.1.8 Cíl podpora vybraných činností zaměřených proti rozšiřování nebezpečných nákaz hospodářských zvířat.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0C995D" w14:textId="77777777" w:rsidR="0005469C" w:rsidRDefault="0005469C">
    <w:pPr>
      <w:pStyle w:val="Zhlav"/>
    </w:pPr>
    <w:r>
      <w:rPr>
        <w:noProof/>
      </w:rPr>
      <w:pict w14:anchorId="45F45CC0">
        <v:shapetype id="_x0000_t202" coordsize="21600,21600" o:spt="202" path="m,l,21600r21600,l21600,xe">
          <v:stroke joinstyle="miter"/>
          <v:path gradientshapeok="t" o:connecttype="rect"/>
        </v:shapetype>
        <v:shape id="PowerPlusWaterMarkObject36789782" o:spid="_x0000_s2051" type="#_x0000_t202" style="position:absolute;left:0;text-align:left;margin-left:0;margin-top:0;width:399.65pt;height:239.8pt;rotation:-45;z-index:-25165619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2JLsJAIAACUEAAAOAAAAZHJzL2Uyb0RvYy54bWysU01z2yAUvHem/4HhXktx4o9oLGfcpO0l&#10;aTwTd3zGCFlKBI8+sCX/+z6Q4qTtrVMdGPHgLbvLsrjpdMOOCl0NJucXo5QzZSQUtdnn/Mfm66c5&#10;Z84LU4gGjMr5STl+s/z4YdHaTI2hgqZQyAjEuKy1Oa+8t1mSOFkpLdwIrDK0WAJq4WmK+6RA0RK6&#10;bpJxmk6TFrCwCFI5R9W7fpEvI35ZKukfy9Ipz5qcEzcfR4zjLozJciGyPQpb1XKgIf6BhRa1oUPP&#10;UHfCC3bA+i8oXUsEB6UfSdAJlGUtVdRAai7SP9Q8VcKqqIXMcfZsk/t/sPL7cY2sLujuZpwZoemO&#10;1tAqXDcHtxVe4YPAl8fdMzl5OZ3Nr2fzcTCttS6j3idL3b77DB0BRAOcvQf54piB20qYvVo5S61h&#10;lUpfitqvoTaeFMTCsAcR2kqJ4vdylL85WaIUN29U5wNCmBKF5B2HnpALbHbtAxTUIg4eIqOuRM0Q&#10;Qtv8Og1fLJP3jFhTKE7nINABTFJxks4m9HEmae0yvZpcTWNUEpEFtHDRFp3/pkCz8JNzJJERVhzv&#10;nQ/s3rYMVAO7nqfvdt3g4Q6KE5FuKYE5dz8PAhUZddC3QIEl1SWC3lLEVxhlv5686bYC7XC2J9rr&#10;5jWBkUCMYjHcpyieCUg3FOyjaNgkWtBTHDYPZHvU0GtgRfaVdVQSfO55Dkooi1Hg8G5C2N/P4663&#10;1738BQAA//8DAFBLAwQUAAYACAAAACEAgrtS9eEAAAAKAQAADwAAAGRycy9kb3ducmV2LnhtbEyP&#10;QU/CQBCF7yb8h82YcDGwVRRs6ZYIhpNcQA4el+7QNnRnS3cL1V/v6EUvL5m8vDfvSxe9rcUFW185&#10;UnA/jkAg5c5UVCjYv69HzyB80GR07QgVfKKHRTa4SXVi3JW2eNmFQnAJ+UQrKENoEil9XqLVfuwa&#10;JPaOrrU68NkW0rT6yuW2lg9RNJVWV8QfSt3gqsT8tOusguL4ce7Od5vV23rf5+g2y6+naqnU8LZ/&#10;nbO8zEEE7MNfAn4YeD9kPOzgOjJe1AqYJvwqe7M4noA4KHicxVOQWSr/I2TfAAAA//8DAFBLAQIt&#10;ABQABgAIAAAAIQC2gziS/gAAAOEBAAATAAAAAAAAAAAAAAAAAAAAAABbQ29udGVudF9UeXBlc10u&#10;eG1sUEsBAi0AFAAGAAgAAAAhADj9If/WAAAAlAEAAAsAAAAAAAAAAAAAAAAALwEAAF9yZWxzLy5y&#10;ZWxzUEsBAi0AFAAGAAgAAAAhAETYkuwkAgAAJQQAAA4AAAAAAAAAAAAAAAAALgIAAGRycy9lMm9E&#10;b2MueG1sUEsBAi0AFAAGAAgAAAAhAIK7UvXhAAAACgEAAA8AAAAAAAAAAAAAAAAAfgQAAGRycy9k&#10;b3ducmV2LnhtbFBLBQYAAAAABAAEAPMAAACMBQAAAAA=&#10;" o:allowincell="f" filled="f" stroked="f">
          <o:lock v:ext="edit" aspectratio="t" verticies="t" shapetype="t"/>
          <v:textbox>
            <w:txbxContent>
              <w:p w14:paraId="7668BA5C" w14:textId="77777777" w:rsidR="0005469C" w:rsidRDefault="0005469C" w:rsidP="004A57B3">
                <w:pPr>
                  <w:jc w:val="center"/>
                  <w:rPr>
                    <w:rFonts w:ascii="Calibri" w:hAnsi="Calibri" w:cs="Calibri"/>
                    <w:color w:val="FFFF00"/>
                    <w:sz w:val="72"/>
                    <w:szCs w:val="72"/>
                    <w14:textFill>
                      <w14:solidFill>
                        <w14:srgbClr w14:val="FFFF00">
                          <w14:alpha w14:val="50000"/>
                        </w14:srgbClr>
                      </w14:solidFill>
                    </w14:textFill>
                  </w:rPr>
                </w:pPr>
                <w:r>
                  <w:rPr>
                    <w:rFonts w:ascii="Calibri" w:hAnsi="Calibri" w:cs="Calibri"/>
                    <w:color w:val="FFFF00"/>
                    <w:sz w:val="72"/>
                    <w:szCs w:val="72"/>
                    <w14:textFill>
                      <w14:solidFill>
                        <w14:srgbClr w14:val="FFFF00">
                          <w14:alpha w14:val="50000"/>
                        </w14:srgbClr>
                      </w14:solidFill>
                    </w14:textFill>
                  </w:rPr>
                  <w:t>draft</w:t>
                </w:r>
              </w:p>
            </w:txbxContent>
          </v:textbox>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592DCD" w14:textId="77777777" w:rsidR="0005469C" w:rsidRDefault="0005469C">
    <w:pPr>
      <w:pStyle w:val="Zhlav"/>
    </w:pPr>
    <w:r>
      <w:rPr>
        <w:noProof/>
      </w:rPr>
      <w:pict w14:anchorId="1DF544EE">
        <v:shapetype id="_x0000_t202" coordsize="21600,21600" o:spt="202" path="m,l,21600r21600,l21600,xe">
          <v:stroke joinstyle="miter"/>
          <v:path gradientshapeok="t" o:connecttype="rect"/>
        </v:shapetype>
        <v:shape id="PowerPlusWaterMarkObject36789783" o:spid="_x0000_s2050" type="#_x0000_t202" style="position:absolute;left:0;text-align:left;margin-left:0;margin-top:0;width:399.65pt;height:239.8pt;rotation:-45;z-index:-25165516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VEJJgIAACsEAAAOAAAAZHJzL2Uyb0RvYy54bWysk01v2zAMhu8D9h8E3Re7zWeNOEXWbru0&#10;a4BmyFmR5ditJWqUEjv/fpTiJt12G+aDYFHk6+el6Pltpxt2UOhqMDm/GqScKSOhqM0u5z/WXz/N&#10;OHNemEI0YFTOj8rx28XHD/PWZuoaKmgKhYxEjMtam/PKe5sliZOV0sINwCpDhyWgFp62uEsKFC2p&#10;6ya5TtNJ0gIWFkEq5yh6fzrki6hflkr6p7J0yrMm58Tm44px3YY1WcxFtkNhq1r2GOIfKLSoDX30&#10;LHUvvGB7rP+S0rVEcFD6gQSdQFnWUkUP5OYq/cPNcyWsil6oOc6e2+T+n6z8flghq4ucjzgzQtMV&#10;raBVuGr2biO8wkeBr0/bF2rkcDKd3Uxnw9Cz1rqMSp8tFfvuM3R099G/sw8gXx0zcFcJs1NLZ6k0&#10;nFLoS1H7FdTGk4EY6HMQoa2UKH4PR/froyWkmLxWnQ8KYUsIyTuGE5ALNNv2EQoqEXsPkagrUTOE&#10;UDa7ScMTw9R6RtQ0E8fzHNAHmKTgOJ2O6eFM0tkwHY1HkzgpiciCWrhni85/U6BZeMk5kskoKw4P&#10;zge6S0qPGuhOnL7bdrHl0UewsYXiSOwtzWHO3c+9QEX92us7oLEl8yWC3tCgLzG6fwNYdxuBtkfw&#10;RL9q3uYwcsSBLPprFcULCemGxvsgGjaOnTiR9sk980k11BpYUhfLOhq6cPaGaCKjz/7vCSP/fh+z&#10;Lv/44hcAAAD//wMAUEsDBBQABgAIAAAAIQCCu1L14QAAAAoBAAAPAAAAZHJzL2Rvd25yZXYueG1s&#10;TI9BT8JAEIXvJvyHzZhwMbBVFGzplgiGk1xADh6X7tA2dGdLdwvVX+/oRS8vmby8N+9LF72txQVb&#10;XzlScD+OQCDlzlRUKNi/r0fPIHzQZHTtCBV8oodFNrhJdWLclbZ42YVCcAn5RCsoQ2gSKX1eotV+&#10;7Bok9o6utTrw2RbStPrK5baWD1E0lVZXxB9K3eCqxPy066yC4vhx7s53m9Xbet/n6DbLr6dqqdTw&#10;tn+ds7zMQQTsw18Cfhh4P2Q87OA6Ml7UCpgm/Cp7sziegDgoeJzFU5BZKv8jZN8AAAD//wMAUEsB&#10;Ai0AFAAGAAgAAAAhALaDOJL+AAAA4QEAABMAAAAAAAAAAAAAAAAAAAAAAFtDb250ZW50X1R5cGVz&#10;XS54bWxQSwECLQAUAAYACAAAACEAOP0h/9YAAACUAQAACwAAAAAAAAAAAAAAAAAvAQAAX3JlbHMv&#10;LnJlbHNQSwECLQAUAAYACAAAACEAUgFRCSYCAAArBAAADgAAAAAAAAAAAAAAAAAuAgAAZHJzL2Uy&#10;b0RvYy54bWxQSwECLQAUAAYACAAAACEAgrtS9eEAAAAKAQAADwAAAAAAAAAAAAAAAACABAAAZHJz&#10;L2Rvd25yZXYueG1sUEsFBgAAAAAEAAQA8wAAAI4FAAAAAA==&#10;" o:allowincell="f" filled="f" stroked="f">
          <o:lock v:ext="edit" aspectratio="t" verticies="t" shapetype="t"/>
          <v:textbox>
            <w:txbxContent>
              <w:p w14:paraId="2AC24872" w14:textId="77777777" w:rsidR="0005469C" w:rsidRDefault="0005469C" w:rsidP="004A57B3">
                <w:pPr>
                  <w:jc w:val="center"/>
                  <w:rPr>
                    <w:rFonts w:ascii="Calibri" w:hAnsi="Calibri" w:cs="Calibri"/>
                    <w:color w:val="FFFF00"/>
                    <w:sz w:val="72"/>
                    <w:szCs w:val="72"/>
                    <w14:textFill>
                      <w14:solidFill>
                        <w14:srgbClr w14:val="FFFF00">
                          <w14:alpha w14:val="50000"/>
                        </w14:srgbClr>
                      </w14:solidFill>
                    </w14:textFill>
                  </w:rPr>
                </w:pPr>
                <w:r>
                  <w:rPr>
                    <w:rFonts w:ascii="Calibri" w:hAnsi="Calibri" w:cs="Calibri"/>
                    <w:color w:val="FFFF00"/>
                    <w:sz w:val="72"/>
                    <w:szCs w:val="72"/>
                    <w14:textFill>
                      <w14:solidFill>
                        <w14:srgbClr w14:val="FFFF00">
                          <w14:alpha w14:val="50000"/>
                        </w14:srgbClr>
                      </w14:solidFill>
                    </w14:textFill>
                  </w:rPr>
                  <w:t>draft</w:t>
                </w:r>
              </w:p>
            </w:txbxContent>
          </v:textbox>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05FE33" w14:textId="77777777" w:rsidR="0005469C" w:rsidRDefault="0005469C">
    <w:pPr>
      <w:pStyle w:val="Zhlav"/>
    </w:pPr>
    <w:r>
      <w:rPr>
        <w:noProof/>
      </w:rPr>
      <w:pict w14:anchorId="7EEC6F22">
        <v:shapetype id="_x0000_t202" coordsize="21600,21600" o:spt="202" path="m,l,21600r21600,l21600,xe">
          <v:stroke joinstyle="miter"/>
          <v:path gradientshapeok="t" o:connecttype="rect"/>
        </v:shapetype>
        <v:shape id="PowerPlusWaterMarkObject36789781" o:spid="_x0000_s2049" type="#_x0000_t202" style="position:absolute;left:0;text-align:left;margin-left:0;margin-top:0;width:399.65pt;height:239.8pt;rotation:-45;z-index:-25165721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2MhqJgIAACsEAAAOAAAAZHJzL2Uyb0RvYy54bWysk8tu2zAQRfcF+g8E97VkJ37EsBy4SdtN&#10;0hiIC69pirKUiBx2SFvy33dIyU7a7opqQYiPuTz3arS4bXXNjgpdBSbjw0HKmTIS8srsM/5j8/XT&#10;jDPnhclFDUZl/KQcv11+/LBo7FyNoIQ6V8hIxLh5YzNeem/nSeJkqbRwA7DK0GYBqIWnKe6THEVD&#10;6rpORmk6SRrA3CJI5Ryt3nebfBn1i0JJ/1QUTnlWZ5zYfBwxjrswJsuFmO9R2LKSPYb4BwotKkOX&#10;XqTuhRfsgNVfUrqSCA4KP5CgEyiKSqrogdwM0z/cPJfCquiFwnH2EpP7f7Ly+3GNrMrp23FmhKZP&#10;tIZG4bo+uK3wCh8Fvj7tXijIq8l0djOdDUNmjXVzKn22VOzbz9CG+uDf2QeQr44ZuCuF2auVs1Ta&#10;qcOXvPJrqIwnA+G68xlEaEol8t+Xo/vNyRJSPLxRrQ8KYUoIyTuGDsgFml3zCDmViIOHSNQWqBlC&#10;KJvdpOGJyxQ9I2rqidOlD+gCJmlxnE7H9HAmae8qvR5fT2KnJGIe1IJPi85/U6BZeMk4kskoK44P&#10;zge6tyM9aqDrOH27a2Pko3OUO8hPxN5QH2bc/TwIVBTPQd8BtS2ZLxD0lhp9hdH9GWDTbgXaHsET&#10;/bo+92HkiA2Z959V5C8kpGtq76Oo2Tgm0ZH2h3vmTjXUGlhRikUVDYW4O87eEHVk9Nn/PaHl38/j&#10;qbd/fPkLAAD//wMAUEsDBBQABgAIAAAAIQCCu1L14QAAAAoBAAAPAAAAZHJzL2Rvd25yZXYueG1s&#10;TI9BT8JAEIXvJvyHzZhwMbBVFGzplgiGk1xADh6X7tA2dGdLdwvVX+/oRS8vmby8N+9LF72txQVb&#10;XzlScD+OQCDlzlRUKNi/r0fPIHzQZHTtCBV8oodFNrhJdWLclbZ42YVCcAn5RCsoQ2gSKX1eotV+&#10;7Bok9o6utTrw2RbStPrK5baWD1E0lVZXxB9K3eCqxPy066yC4vhx7s53m9Xbet/n6DbLr6dqqdTw&#10;tn+ds7zMQQTsw18Cfhh4P2Q87OA6Ml7UCpgm/Cp7sziegDgoeJzFU5BZKv8jZN8AAAD//wMAUEsB&#10;Ai0AFAAGAAgAAAAhALaDOJL+AAAA4QEAABMAAAAAAAAAAAAAAAAAAAAAAFtDb250ZW50X1R5cGVz&#10;XS54bWxQSwECLQAUAAYACAAAACEAOP0h/9YAAACUAQAACwAAAAAAAAAAAAAAAAAvAQAAX3JlbHMv&#10;LnJlbHNQSwECLQAUAAYACAAAACEAX9jIaiYCAAArBAAADgAAAAAAAAAAAAAAAAAuAgAAZHJzL2Uy&#10;b0RvYy54bWxQSwECLQAUAAYACAAAACEAgrtS9eEAAAAKAQAADwAAAAAAAAAAAAAAAACABAAAZHJz&#10;L2Rvd25yZXYueG1sUEsFBgAAAAAEAAQA8wAAAI4FAAAAAA==&#10;" o:allowincell="f" filled="f" stroked="f">
          <o:lock v:ext="edit" aspectratio="t" verticies="t" shapetype="t"/>
          <v:textbox>
            <w:txbxContent>
              <w:p w14:paraId="7A61FBFA" w14:textId="77777777" w:rsidR="0005469C" w:rsidRDefault="0005469C" w:rsidP="004A57B3">
                <w:pPr>
                  <w:jc w:val="center"/>
                  <w:rPr>
                    <w:rFonts w:ascii="Calibri" w:hAnsi="Calibri" w:cs="Calibri"/>
                    <w:color w:val="FFFF00"/>
                    <w:sz w:val="72"/>
                    <w:szCs w:val="72"/>
                    <w14:textFill>
                      <w14:solidFill>
                        <w14:srgbClr w14:val="FFFF00">
                          <w14:alpha w14:val="50000"/>
                        </w14:srgbClr>
                      </w14:solidFill>
                    </w14:textFill>
                  </w:rPr>
                </w:pPr>
                <w:r>
                  <w:rPr>
                    <w:rFonts w:ascii="Calibri" w:hAnsi="Calibri" w:cs="Calibri"/>
                    <w:color w:val="FFFF00"/>
                    <w:sz w:val="72"/>
                    <w:szCs w:val="72"/>
                    <w14:textFill>
                      <w14:solidFill>
                        <w14:srgbClr w14:val="FFFF00">
                          <w14:alpha w14:val="50000"/>
                        </w14:srgbClr>
                      </w14:solidFill>
                    </w14:textFill>
                  </w:rPr>
                  <w:t>draft</w:t>
                </w:r>
              </w:p>
            </w:txbxContent>
          </v:textbox>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BBC4A6" w14:textId="77777777" w:rsidR="0005469C" w:rsidRDefault="0005469C">
    <w:pPr>
      <w:pStyle w:val="Zhlav"/>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088D09" w14:textId="0B4B433D" w:rsidR="0005469C" w:rsidRPr="00B87E14" w:rsidRDefault="0005469C" w:rsidP="00B87E14">
    <w:pPr>
      <w:pStyle w:val="Zhlav"/>
      <w:tabs>
        <w:tab w:val="clear" w:pos="4513"/>
      </w:tabs>
      <w:rPr>
        <w:lang w:val="cs-CZ"/>
      </w:rPr>
    </w:pPr>
    <w:r>
      <w:rPr>
        <w:lang w:val="cs-CZ"/>
      </w:rPr>
      <w:tab/>
    </w:r>
  </w:p>
  <w:p w14:paraId="38610A83" w14:textId="77777777" w:rsidR="0005469C" w:rsidRDefault="0005469C"/>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C22313" w14:textId="77777777" w:rsidR="0005469C" w:rsidRDefault="0005469C">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1E37CE"/>
    <w:multiLevelType w:val="hybridMultilevel"/>
    <w:tmpl w:val="57C82AE8"/>
    <w:lvl w:ilvl="0" w:tplc="04050015">
      <w:start w:val="1"/>
      <w:numFmt w:val="upp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6673D5B"/>
    <w:multiLevelType w:val="hybridMultilevel"/>
    <w:tmpl w:val="356AABCA"/>
    <w:lvl w:ilvl="0" w:tplc="04050015">
      <w:start w:val="1"/>
      <w:numFmt w:val="upperLetter"/>
      <w:lvlText w:val="%1."/>
      <w:lvlJc w:val="left"/>
      <w:pPr>
        <w:ind w:left="1287" w:hanging="360"/>
      </w:pPr>
    </w:lvl>
    <w:lvl w:ilvl="1" w:tplc="04050019" w:tentative="1">
      <w:start w:val="1"/>
      <w:numFmt w:val="lowerLetter"/>
      <w:lvlText w:val="%2."/>
      <w:lvlJc w:val="left"/>
      <w:pPr>
        <w:ind w:left="2007" w:hanging="360"/>
      </w:pPr>
    </w:lvl>
    <w:lvl w:ilvl="2" w:tplc="0405001B" w:tentative="1">
      <w:start w:val="1"/>
      <w:numFmt w:val="lowerRoman"/>
      <w:lvlText w:val="%3."/>
      <w:lvlJc w:val="right"/>
      <w:pPr>
        <w:ind w:left="2727" w:hanging="180"/>
      </w:pPr>
    </w:lvl>
    <w:lvl w:ilvl="3" w:tplc="0405000F" w:tentative="1">
      <w:start w:val="1"/>
      <w:numFmt w:val="decimal"/>
      <w:lvlText w:val="%4."/>
      <w:lvlJc w:val="left"/>
      <w:pPr>
        <w:ind w:left="3447" w:hanging="360"/>
      </w:pPr>
    </w:lvl>
    <w:lvl w:ilvl="4" w:tplc="04050019" w:tentative="1">
      <w:start w:val="1"/>
      <w:numFmt w:val="lowerLetter"/>
      <w:lvlText w:val="%5."/>
      <w:lvlJc w:val="left"/>
      <w:pPr>
        <w:ind w:left="4167" w:hanging="360"/>
      </w:pPr>
    </w:lvl>
    <w:lvl w:ilvl="5" w:tplc="0405001B" w:tentative="1">
      <w:start w:val="1"/>
      <w:numFmt w:val="lowerRoman"/>
      <w:lvlText w:val="%6."/>
      <w:lvlJc w:val="right"/>
      <w:pPr>
        <w:ind w:left="4887" w:hanging="180"/>
      </w:pPr>
    </w:lvl>
    <w:lvl w:ilvl="6" w:tplc="0405000F" w:tentative="1">
      <w:start w:val="1"/>
      <w:numFmt w:val="decimal"/>
      <w:lvlText w:val="%7."/>
      <w:lvlJc w:val="left"/>
      <w:pPr>
        <w:ind w:left="5607" w:hanging="360"/>
      </w:pPr>
    </w:lvl>
    <w:lvl w:ilvl="7" w:tplc="04050019" w:tentative="1">
      <w:start w:val="1"/>
      <w:numFmt w:val="lowerLetter"/>
      <w:lvlText w:val="%8."/>
      <w:lvlJc w:val="left"/>
      <w:pPr>
        <w:ind w:left="6327" w:hanging="360"/>
      </w:pPr>
    </w:lvl>
    <w:lvl w:ilvl="8" w:tplc="0405001B" w:tentative="1">
      <w:start w:val="1"/>
      <w:numFmt w:val="lowerRoman"/>
      <w:lvlText w:val="%9."/>
      <w:lvlJc w:val="right"/>
      <w:pPr>
        <w:ind w:left="7047" w:hanging="180"/>
      </w:pPr>
    </w:lvl>
  </w:abstractNum>
  <w:abstractNum w:abstractNumId="2" w15:restartNumberingAfterBreak="0">
    <w:nsid w:val="068C58FC"/>
    <w:multiLevelType w:val="hybridMultilevel"/>
    <w:tmpl w:val="FA24CE00"/>
    <w:lvl w:ilvl="0" w:tplc="04050015">
      <w:start w:val="1"/>
      <w:numFmt w:val="upp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0A127BC8"/>
    <w:multiLevelType w:val="multilevel"/>
    <w:tmpl w:val="1FDE13DA"/>
    <w:lvl w:ilvl="0">
      <w:start w:val="1"/>
      <w:numFmt w:val="decimal"/>
      <w:pStyle w:val="TableheadingAgency"/>
      <w:suff w:val="space"/>
      <w:lvlText w:val="Table %1. "/>
      <w:lvlJc w:val="left"/>
      <w:pPr>
        <w:ind w:left="0" w:firstLine="0"/>
      </w:pPr>
      <w:rPr>
        <w:rFonts w:ascii="Verdana" w:hAnsi="Verdana" w:hint="default"/>
        <w:b/>
        <w:i w:val="0"/>
        <w:sz w:val="18"/>
        <w:szCs w:val="18"/>
      </w:rPr>
    </w:lvl>
    <w:lvl w:ilvl="1">
      <w:start w:val="1"/>
      <w:numFmt w:val="decimalZero"/>
      <w:isLgl/>
      <w:lvlText w:val="%1Section .%2"/>
      <w:lvlJc w:val="left"/>
      <w:pPr>
        <w:tabs>
          <w:tab w:val="num" w:pos="108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4" w15:restartNumberingAfterBreak="0">
    <w:nsid w:val="0EB30F32"/>
    <w:multiLevelType w:val="hybridMultilevel"/>
    <w:tmpl w:val="4B1CED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0F5676B5"/>
    <w:multiLevelType w:val="hybridMultilevel"/>
    <w:tmpl w:val="ED0EC324"/>
    <w:lvl w:ilvl="0" w:tplc="CC427364">
      <w:start w:val="1"/>
      <w:numFmt w:val="decimal"/>
      <w:pStyle w:val="UZEINadpis3st"/>
      <w:lvlText w:val="1.1.%1"/>
      <w:lvlJc w:val="left"/>
      <w:pPr>
        <w:ind w:left="1287" w:hanging="360"/>
      </w:pPr>
      <w:rPr>
        <w:rFonts w:hint="default"/>
        <w:color w:val="auto"/>
        <w:sz w:val="24"/>
        <w:u w:val="none" w:color="FFFFFF" w:themeColor="background1"/>
      </w:rPr>
    </w:lvl>
    <w:lvl w:ilvl="1" w:tplc="04050019" w:tentative="1">
      <w:start w:val="1"/>
      <w:numFmt w:val="lowerLetter"/>
      <w:lvlText w:val="%2."/>
      <w:lvlJc w:val="left"/>
      <w:pPr>
        <w:ind w:left="2007" w:hanging="360"/>
      </w:pPr>
    </w:lvl>
    <w:lvl w:ilvl="2" w:tplc="0405001B" w:tentative="1">
      <w:start w:val="1"/>
      <w:numFmt w:val="lowerRoman"/>
      <w:lvlText w:val="%3."/>
      <w:lvlJc w:val="right"/>
      <w:pPr>
        <w:ind w:left="2727" w:hanging="180"/>
      </w:pPr>
    </w:lvl>
    <w:lvl w:ilvl="3" w:tplc="0405000F" w:tentative="1">
      <w:start w:val="1"/>
      <w:numFmt w:val="decimal"/>
      <w:lvlText w:val="%4."/>
      <w:lvlJc w:val="left"/>
      <w:pPr>
        <w:ind w:left="3447" w:hanging="360"/>
      </w:pPr>
    </w:lvl>
    <w:lvl w:ilvl="4" w:tplc="04050019" w:tentative="1">
      <w:start w:val="1"/>
      <w:numFmt w:val="lowerLetter"/>
      <w:lvlText w:val="%5."/>
      <w:lvlJc w:val="left"/>
      <w:pPr>
        <w:ind w:left="4167" w:hanging="360"/>
      </w:pPr>
    </w:lvl>
    <w:lvl w:ilvl="5" w:tplc="0405001B" w:tentative="1">
      <w:start w:val="1"/>
      <w:numFmt w:val="lowerRoman"/>
      <w:lvlText w:val="%6."/>
      <w:lvlJc w:val="right"/>
      <w:pPr>
        <w:ind w:left="4887" w:hanging="180"/>
      </w:pPr>
    </w:lvl>
    <w:lvl w:ilvl="6" w:tplc="0405000F" w:tentative="1">
      <w:start w:val="1"/>
      <w:numFmt w:val="decimal"/>
      <w:lvlText w:val="%7."/>
      <w:lvlJc w:val="left"/>
      <w:pPr>
        <w:ind w:left="5607" w:hanging="360"/>
      </w:pPr>
    </w:lvl>
    <w:lvl w:ilvl="7" w:tplc="04050019" w:tentative="1">
      <w:start w:val="1"/>
      <w:numFmt w:val="lowerLetter"/>
      <w:lvlText w:val="%8."/>
      <w:lvlJc w:val="left"/>
      <w:pPr>
        <w:ind w:left="6327" w:hanging="360"/>
      </w:pPr>
    </w:lvl>
    <w:lvl w:ilvl="8" w:tplc="0405001B" w:tentative="1">
      <w:start w:val="1"/>
      <w:numFmt w:val="lowerRoman"/>
      <w:lvlText w:val="%9."/>
      <w:lvlJc w:val="right"/>
      <w:pPr>
        <w:ind w:left="7047" w:hanging="180"/>
      </w:pPr>
    </w:lvl>
  </w:abstractNum>
  <w:abstractNum w:abstractNumId="6" w15:restartNumberingAfterBreak="0">
    <w:nsid w:val="14970B3B"/>
    <w:multiLevelType w:val="hybridMultilevel"/>
    <w:tmpl w:val="0EDA1AFC"/>
    <w:lvl w:ilvl="0" w:tplc="04050003">
      <w:start w:val="1"/>
      <w:numFmt w:val="bullet"/>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58841C6"/>
    <w:multiLevelType w:val="hybridMultilevel"/>
    <w:tmpl w:val="139E0A5C"/>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193F3323"/>
    <w:multiLevelType w:val="hybridMultilevel"/>
    <w:tmpl w:val="1AACA3EE"/>
    <w:lvl w:ilvl="0" w:tplc="0405000D">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9" w15:restartNumberingAfterBreak="0">
    <w:nsid w:val="1F4003AA"/>
    <w:multiLevelType w:val="multilevel"/>
    <w:tmpl w:val="D4A0BA02"/>
    <w:lvl w:ilvl="0">
      <w:start w:val="1"/>
      <w:numFmt w:val="decimal"/>
      <w:pStyle w:val="Nadpis1"/>
      <w:lvlText w:val="%1"/>
      <w:lvlJc w:val="left"/>
      <w:pPr>
        <w:ind w:left="432" w:hanging="432"/>
      </w:pPr>
      <w:rPr>
        <w:rFonts w:hint="default"/>
      </w:rPr>
    </w:lvl>
    <w:lvl w:ilvl="1">
      <w:start w:val="1"/>
      <w:numFmt w:val="decimal"/>
      <w:pStyle w:val="Nadpis2"/>
      <w:lvlText w:val="%1.%2"/>
      <w:lvlJc w:val="left"/>
      <w:pPr>
        <w:ind w:left="576" w:hanging="576"/>
      </w:pPr>
      <w:rPr>
        <w:rFonts w:hint="default"/>
      </w:rPr>
    </w:lvl>
    <w:lvl w:ilvl="2">
      <w:start w:val="1"/>
      <w:numFmt w:val="decimal"/>
      <w:pStyle w:val="Nadpis3"/>
      <w:lvlText w:val="%1.%2.%3"/>
      <w:lvlJc w:val="left"/>
      <w:pPr>
        <w:ind w:left="720" w:hanging="720"/>
      </w:pPr>
      <w:rPr>
        <w:rFonts w:hint="default"/>
      </w:rPr>
    </w:lvl>
    <w:lvl w:ilvl="3">
      <w:start w:val="1"/>
      <w:numFmt w:val="decimal"/>
      <w:pStyle w:val="Nadpis4"/>
      <w:lvlText w:val="%1.%2.%3.%4"/>
      <w:lvlJc w:val="left"/>
      <w:pPr>
        <w:ind w:left="864" w:hanging="864"/>
      </w:pPr>
      <w:rPr>
        <w:rFonts w:hint="default"/>
      </w:rPr>
    </w:lvl>
    <w:lvl w:ilvl="4">
      <w:start w:val="1"/>
      <w:numFmt w:val="decimal"/>
      <w:pStyle w:val="Nadpis5"/>
      <w:lvlText w:val="%1.%2.%3.%4.%5"/>
      <w:lvlJc w:val="left"/>
      <w:pPr>
        <w:ind w:left="1008" w:hanging="1008"/>
      </w:pPr>
      <w:rPr>
        <w:rFonts w:hint="default"/>
      </w:rPr>
    </w:lvl>
    <w:lvl w:ilvl="5">
      <w:start w:val="1"/>
      <w:numFmt w:val="decimal"/>
      <w:pStyle w:val="Nadpis6"/>
      <w:lvlText w:val="%1.%2.%3.%4.%5.%6"/>
      <w:lvlJc w:val="left"/>
      <w:pPr>
        <w:ind w:left="1152" w:hanging="1152"/>
      </w:pPr>
      <w:rPr>
        <w:rFonts w:hint="default"/>
      </w:rPr>
    </w:lvl>
    <w:lvl w:ilvl="6">
      <w:start w:val="1"/>
      <w:numFmt w:val="decimal"/>
      <w:pStyle w:val="Nadpis7"/>
      <w:lvlText w:val="%1.%2.%3.%4.%5.%6.%7"/>
      <w:lvlJc w:val="left"/>
      <w:pPr>
        <w:ind w:left="1296" w:hanging="1296"/>
      </w:pPr>
      <w:rPr>
        <w:rFonts w:hint="default"/>
      </w:rPr>
    </w:lvl>
    <w:lvl w:ilvl="7">
      <w:start w:val="1"/>
      <w:numFmt w:val="decimal"/>
      <w:pStyle w:val="Nadpis8"/>
      <w:lvlText w:val="%1.%2.%3.%4.%5.%6.%7.%8"/>
      <w:lvlJc w:val="left"/>
      <w:pPr>
        <w:ind w:left="1440" w:hanging="1440"/>
      </w:pPr>
      <w:rPr>
        <w:rFonts w:hint="default"/>
      </w:rPr>
    </w:lvl>
    <w:lvl w:ilvl="8">
      <w:start w:val="1"/>
      <w:numFmt w:val="decimal"/>
      <w:pStyle w:val="Nadpis9"/>
      <w:lvlText w:val="%1.%2.%3.%4.%5.%6.%7.%8.%9"/>
      <w:lvlJc w:val="left"/>
      <w:pPr>
        <w:ind w:left="1584" w:hanging="1584"/>
      </w:pPr>
      <w:rPr>
        <w:rFonts w:hint="default"/>
      </w:rPr>
    </w:lvl>
  </w:abstractNum>
  <w:abstractNum w:abstractNumId="10" w15:restartNumberingAfterBreak="0">
    <w:nsid w:val="238F62DA"/>
    <w:multiLevelType w:val="multilevel"/>
    <w:tmpl w:val="AA842950"/>
    <w:lvl w:ilvl="0">
      <w:start w:val="1"/>
      <w:numFmt w:val="decimal"/>
      <w:lvlText w:val="%1."/>
      <w:lvlJc w:val="left"/>
      <w:pPr>
        <w:ind w:left="720" w:hanging="360"/>
      </w:pPr>
      <w:rPr>
        <w:rFonts w:ascii="Arial" w:hAnsi="Arial" w:cs="Arial" w:hint="default"/>
        <w:b/>
        <w:sz w:val="28"/>
        <w:szCs w:val="28"/>
      </w:rPr>
    </w:lvl>
    <w:lvl w:ilvl="1">
      <w:start w:val="1"/>
      <w:numFmt w:val="decimal"/>
      <w:lvlText w:val="%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11" w15:restartNumberingAfterBreak="0">
    <w:nsid w:val="267C21AD"/>
    <w:multiLevelType w:val="hybridMultilevel"/>
    <w:tmpl w:val="4C8C195C"/>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29997DE9"/>
    <w:multiLevelType w:val="hybridMultilevel"/>
    <w:tmpl w:val="6882A084"/>
    <w:lvl w:ilvl="0" w:tplc="04050003">
      <w:start w:val="1"/>
      <w:numFmt w:val="bullet"/>
      <w:lvlText w:val="o"/>
      <w:lvlJc w:val="left"/>
      <w:pPr>
        <w:ind w:left="720" w:hanging="360"/>
      </w:pPr>
      <w:rPr>
        <w:rFonts w:ascii="Courier New" w:hAnsi="Courier New" w:cs="Courier New"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2FEE7A2C"/>
    <w:multiLevelType w:val="hybridMultilevel"/>
    <w:tmpl w:val="5AC8423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31C46020"/>
    <w:multiLevelType w:val="hybridMultilevel"/>
    <w:tmpl w:val="E8580694"/>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31FD6A76"/>
    <w:multiLevelType w:val="hybridMultilevel"/>
    <w:tmpl w:val="44EC8EDC"/>
    <w:lvl w:ilvl="0" w:tplc="2F9010D6">
      <w:start w:val="1"/>
      <w:numFmt w:val="bullet"/>
      <w:pStyle w:val="UZEIOdrky"/>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6" w15:restartNumberingAfterBreak="0">
    <w:nsid w:val="33DD6E8A"/>
    <w:multiLevelType w:val="hybridMultilevel"/>
    <w:tmpl w:val="D2CA3034"/>
    <w:lvl w:ilvl="0" w:tplc="04050015">
      <w:start w:val="1"/>
      <w:numFmt w:val="upp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341554CB"/>
    <w:multiLevelType w:val="hybridMultilevel"/>
    <w:tmpl w:val="1A9292D2"/>
    <w:lvl w:ilvl="0" w:tplc="04050017">
      <w:start w:val="1"/>
      <w:numFmt w:val="lowerLetter"/>
      <w:lvlText w:val="%1)"/>
      <w:lvlJc w:val="left"/>
      <w:pPr>
        <w:ind w:left="720" w:hanging="360"/>
      </w:pPr>
      <w:rPr>
        <w:rFonts w:hint="default"/>
      </w:rPr>
    </w:lvl>
    <w:lvl w:ilvl="1" w:tplc="2EC6D6AA">
      <w:start w:val="1"/>
      <w:numFmt w:val="decimal"/>
      <w:lvlText w:val="%2."/>
      <w:lvlJc w:val="left"/>
      <w:pPr>
        <w:ind w:left="1440" w:hanging="360"/>
      </w:pPr>
      <w:rPr>
        <w:rFonts w:hint="default"/>
      </w:r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39924FA2"/>
    <w:multiLevelType w:val="hybridMultilevel"/>
    <w:tmpl w:val="7E285376"/>
    <w:lvl w:ilvl="0" w:tplc="28CC78D6">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3E6F6E5E"/>
    <w:multiLevelType w:val="hybridMultilevel"/>
    <w:tmpl w:val="B0FC208C"/>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40425330"/>
    <w:multiLevelType w:val="hybridMultilevel"/>
    <w:tmpl w:val="73C600E4"/>
    <w:lvl w:ilvl="0" w:tplc="0C1E44F8">
      <w:start w:val="1"/>
      <w:numFmt w:val="decimal"/>
      <w:pStyle w:val="UZEITaB"/>
      <w:lvlText w:val="Tabulka %1"/>
      <w:lvlJc w:val="left"/>
      <w:pPr>
        <w:ind w:left="1004" w:hanging="284"/>
      </w:pPr>
      <w:rPr>
        <w:rFonts w:hint="default"/>
      </w:rPr>
    </w:lvl>
    <w:lvl w:ilvl="1" w:tplc="04050019" w:tentative="1">
      <w:start w:val="1"/>
      <w:numFmt w:val="lowerLetter"/>
      <w:lvlText w:val="%2."/>
      <w:lvlJc w:val="left"/>
      <w:pPr>
        <w:ind w:left="2160" w:hanging="360"/>
      </w:pPr>
    </w:lvl>
    <w:lvl w:ilvl="2" w:tplc="0405001B" w:tentative="1">
      <w:start w:val="1"/>
      <w:numFmt w:val="lowerRoman"/>
      <w:lvlText w:val="%3."/>
      <w:lvlJc w:val="right"/>
      <w:pPr>
        <w:ind w:left="2880" w:hanging="180"/>
      </w:pPr>
    </w:lvl>
    <w:lvl w:ilvl="3" w:tplc="0405000F" w:tentative="1">
      <w:start w:val="1"/>
      <w:numFmt w:val="decimal"/>
      <w:lvlText w:val="%4."/>
      <w:lvlJc w:val="left"/>
      <w:pPr>
        <w:ind w:left="3600" w:hanging="360"/>
      </w:pPr>
    </w:lvl>
    <w:lvl w:ilvl="4" w:tplc="04050019" w:tentative="1">
      <w:start w:val="1"/>
      <w:numFmt w:val="lowerLetter"/>
      <w:lvlText w:val="%5."/>
      <w:lvlJc w:val="left"/>
      <w:pPr>
        <w:ind w:left="4320" w:hanging="360"/>
      </w:pPr>
    </w:lvl>
    <w:lvl w:ilvl="5" w:tplc="0405001B" w:tentative="1">
      <w:start w:val="1"/>
      <w:numFmt w:val="lowerRoman"/>
      <w:lvlText w:val="%6."/>
      <w:lvlJc w:val="right"/>
      <w:pPr>
        <w:ind w:left="5040" w:hanging="180"/>
      </w:pPr>
    </w:lvl>
    <w:lvl w:ilvl="6" w:tplc="0405000F" w:tentative="1">
      <w:start w:val="1"/>
      <w:numFmt w:val="decimal"/>
      <w:lvlText w:val="%7."/>
      <w:lvlJc w:val="left"/>
      <w:pPr>
        <w:ind w:left="5760" w:hanging="360"/>
      </w:pPr>
    </w:lvl>
    <w:lvl w:ilvl="7" w:tplc="04050019" w:tentative="1">
      <w:start w:val="1"/>
      <w:numFmt w:val="lowerLetter"/>
      <w:lvlText w:val="%8."/>
      <w:lvlJc w:val="left"/>
      <w:pPr>
        <w:ind w:left="6480" w:hanging="360"/>
      </w:pPr>
    </w:lvl>
    <w:lvl w:ilvl="8" w:tplc="0405001B" w:tentative="1">
      <w:start w:val="1"/>
      <w:numFmt w:val="lowerRoman"/>
      <w:lvlText w:val="%9."/>
      <w:lvlJc w:val="right"/>
      <w:pPr>
        <w:ind w:left="7200" w:hanging="180"/>
      </w:pPr>
    </w:lvl>
  </w:abstractNum>
  <w:abstractNum w:abstractNumId="21" w15:restartNumberingAfterBreak="0">
    <w:nsid w:val="43920591"/>
    <w:multiLevelType w:val="hybridMultilevel"/>
    <w:tmpl w:val="856E5302"/>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4552127F"/>
    <w:multiLevelType w:val="hybridMultilevel"/>
    <w:tmpl w:val="057A5296"/>
    <w:name w:val="Bullet 0"/>
    <w:lvl w:ilvl="0" w:tplc="EEE2E77C">
      <w:start w:val="1"/>
      <w:numFmt w:val="bullet"/>
      <w:lvlRestart w:val="0"/>
      <w:pStyle w:val="Bullet0"/>
      <w:lvlText w:val=""/>
      <w:lvlJc w:val="left"/>
      <w:pPr>
        <w:tabs>
          <w:tab w:val="num" w:pos="850"/>
        </w:tabs>
        <w:ind w:left="850" w:hanging="850"/>
      </w:pPr>
      <w:rPr>
        <w:rFonts w:ascii="Symbol" w:hAnsi="Symbol" w:hint="default"/>
      </w:rPr>
    </w:lvl>
    <w:lvl w:ilvl="1" w:tplc="390290D0">
      <w:numFmt w:val="decimal"/>
      <w:lvlText w:val=""/>
      <w:lvlJc w:val="left"/>
    </w:lvl>
    <w:lvl w:ilvl="2" w:tplc="0CF0D3EC">
      <w:numFmt w:val="decimal"/>
      <w:lvlText w:val=""/>
      <w:lvlJc w:val="left"/>
    </w:lvl>
    <w:lvl w:ilvl="3" w:tplc="9B28E480">
      <w:numFmt w:val="decimal"/>
      <w:lvlText w:val=""/>
      <w:lvlJc w:val="left"/>
    </w:lvl>
    <w:lvl w:ilvl="4" w:tplc="ACA016A0">
      <w:numFmt w:val="decimal"/>
      <w:lvlText w:val=""/>
      <w:lvlJc w:val="left"/>
    </w:lvl>
    <w:lvl w:ilvl="5" w:tplc="350440E0">
      <w:numFmt w:val="decimal"/>
      <w:lvlText w:val=""/>
      <w:lvlJc w:val="left"/>
    </w:lvl>
    <w:lvl w:ilvl="6" w:tplc="41DA92E6">
      <w:numFmt w:val="decimal"/>
      <w:lvlText w:val=""/>
      <w:lvlJc w:val="left"/>
    </w:lvl>
    <w:lvl w:ilvl="7" w:tplc="22161716">
      <w:numFmt w:val="decimal"/>
      <w:lvlText w:val=""/>
      <w:lvlJc w:val="left"/>
    </w:lvl>
    <w:lvl w:ilvl="8" w:tplc="110072CA">
      <w:numFmt w:val="decimal"/>
      <w:lvlText w:val=""/>
      <w:lvlJc w:val="left"/>
    </w:lvl>
  </w:abstractNum>
  <w:abstractNum w:abstractNumId="23" w15:restartNumberingAfterBreak="0">
    <w:nsid w:val="49F802A4"/>
    <w:multiLevelType w:val="hybridMultilevel"/>
    <w:tmpl w:val="1C16EDEA"/>
    <w:lvl w:ilvl="0" w:tplc="28CC78D6">
      <w:numFmt w:val="bullet"/>
      <w:lvlText w:val="-"/>
      <w:lvlJc w:val="left"/>
      <w:pPr>
        <w:ind w:left="720" w:hanging="360"/>
      </w:pPr>
      <w:rPr>
        <w:rFonts w:ascii="Calibri" w:eastAsiaTheme="minorHAnsi" w:hAnsi="Calibri" w:cstheme="minorBid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54F32A0F"/>
    <w:multiLevelType w:val="hybridMultilevel"/>
    <w:tmpl w:val="897CEB3E"/>
    <w:lvl w:ilvl="0" w:tplc="04050003">
      <w:start w:val="1"/>
      <w:numFmt w:val="bullet"/>
      <w:lvlText w:val="o"/>
      <w:lvlJc w:val="left"/>
      <w:pPr>
        <w:ind w:left="1080" w:hanging="360"/>
      </w:pPr>
      <w:rPr>
        <w:rFonts w:ascii="Courier New" w:hAnsi="Courier New" w:cs="Courier New" w:hint="default"/>
      </w:rPr>
    </w:lvl>
    <w:lvl w:ilvl="1" w:tplc="04050003">
      <w:start w:val="1"/>
      <w:numFmt w:val="bullet"/>
      <w:lvlText w:val="o"/>
      <w:lvlJc w:val="left"/>
      <w:pPr>
        <w:ind w:left="1800" w:hanging="360"/>
      </w:pPr>
      <w:rPr>
        <w:rFonts w:ascii="Courier New" w:hAnsi="Courier New" w:cs="Courier New" w:hint="default"/>
      </w:rPr>
    </w:lvl>
    <w:lvl w:ilvl="2" w:tplc="04050005">
      <w:start w:val="1"/>
      <w:numFmt w:val="bullet"/>
      <w:lvlText w:val=""/>
      <w:lvlJc w:val="left"/>
      <w:pPr>
        <w:ind w:left="2520" w:hanging="360"/>
      </w:pPr>
      <w:rPr>
        <w:rFonts w:ascii="Wingdings" w:hAnsi="Wingdings" w:hint="default"/>
      </w:rPr>
    </w:lvl>
    <w:lvl w:ilvl="3" w:tplc="04050001">
      <w:start w:val="1"/>
      <w:numFmt w:val="bullet"/>
      <w:lvlText w:val=""/>
      <w:lvlJc w:val="left"/>
      <w:pPr>
        <w:ind w:left="3240" w:hanging="360"/>
      </w:pPr>
      <w:rPr>
        <w:rFonts w:ascii="Symbol" w:hAnsi="Symbol" w:hint="default"/>
      </w:rPr>
    </w:lvl>
    <w:lvl w:ilvl="4" w:tplc="04050003">
      <w:start w:val="1"/>
      <w:numFmt w:val="bullet"/>
      <w:lvlText w:val="o"/>
      <w:lvlJc w:val="left"/>
      <w:pPr>
        <w:ind w:left="3960" w:hanging="360"/>
      </w:pPr>
      <w:rPr>
        <w:rFonts w:ascii="Courier New" w:hAnsi="Courier New" w:cs="Courier New" w:hint="default"/>
      </w:rPr>
    </w:lvl>
    <w:lvl w:ilvl="5" w:tplc="04050005">
      <w:start w:val="1"/>
      <w:numFmt w:val="bullet"/>
      <w:lvlText w:val=""/>
      <w:lvlJc w:val="left"/>
      <w:pPr>
        <w:ind w:left="4680" w:hanging="360"/>
      </w:pPr>
      <w:rPr>
        <w:rFonts w:ascii="Wingdings" w:hAnsi="Wingdings" w:hint="default"/>
      </w:rPr>
    </w:lvl>
    <w:lvl w:ilvl="6" w:tplc="04050001">
      <w:start w:val="1"/>
      <w:numFmt w:val="bullet"/>
      <w:lvlText w:val=""/>
      <w:lvlJc w:val="left"/>
      <w:pPr>
        <w:ind w:left="5400" w:hanging="360"/>
      </w:pPr>
      <w:rPr>
        <w:rFonts w:ascii="Symbol" w:hAnsi="Symbol" w:hint="default"/>
      </w:rPr>
    </w:lvl>
    <w:lvl w:ilvl="7" w:tplc="04050003">
      <w:start w:val="1"/>
      <w:numFmt w:val="bullet"/>
      <w:lvlText w:val="o"/>
      <w:lvlJc w:val="left"/>
      <w:pPr>
        <w:ind w:left="6120" w:hanging="360"/>
      </w:pPr>
      <w:rPr>
        <w:rFonts w:ascii="Courier New" w:hAnsi="Courier New" w:cs="Courier New" w:hint="default"/>
      </w:rPr>
    </w:lvl>
    <w:lvl w:ilvl="8" w:tplc="04050005">
      <w:start w:val="1"/>
      <w:numFmt w:val="bullet"/>
      <w:lvlText w:val=""/>
      <w:lvlJc w:val="left"/>
      <w:pPr>
        <w:ind w:left="6840" w:hanging="360"/>
      </w:pPr>
      <w:rPr>
        <w:rFonts w:ascii="Wingdings" w:hAnsi="Wingdings" w:hint="default"/>
      </w:rPr>
    </w:lvl>
  </w:abstractNum>
  <w:abstractNum w:abstractNumId="25" w15:restartNumberingAfterBreak="0">
    <w:nsid w:val="59682B61"/>
    <w:multiLevelType w:val="hybridMultilevel"/>
    <w:tmpl w:val="3EB29F0A"/>
    <w:lvl w:ilvl="0" w:tplc="8D129794">
      <w:start w:val="2"/>
      <w:numFmt w:val="bullet"/>
      <w:lvlText w:val="-"/>
      <w:lvlJc w:val="left"/>
      <w:pPr>
        <w:ind w:left="720" w:hanging="360"/>
      </w:pPr>
      <w:rPr>
        <w:rFonts w:ascii="Book Antiqua" w:eastAsia="Calibri" w:hAnsi="Book Antiqua"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9D75CB7"/>
    <w:multiLevelType w:val="hybridMultilevel"/>
    <w:tmpl w:val="6582C252"/>
    <w:lvl w:ilvl="0" w:tplc="04050003">
      <w:start w:val="1"/>
      <w:numFmt w:val="bullet"/>
      <w:lvlText w:val="o"/>
      <w:lvlJc w:val="left"/>
      <w:pPr>
        <w:ind w:left="1440" w:hanging="360"/>
      </w:pPr>
      <w:rPr>
        <w:rFonts w:ascii="Courier New" w:hAnsi="Courier New" w:cs="Courier New"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7" w15:restartNumberingAfterBreak="0">
    <w:nsid w:val="5A8B3F10"/>
    <w:multiLevelType w:val="hybridMultilevel"/>
    <w:tmpl w:val="12F6C388"/>
    <w:lvl w:ilvl="0" w:tplc="04050001">
      <w:start w:val="1"/>
      <w:numFmt w:val="bullet"/>
      <w:lvlText w:val=""/>
      <w:lvlJc w:val="left"/>
      <w:pPr>
        <w:ind w:left="787" w:hanging="360"/>
      </w:pPr>
      <w:rPr>
        <w:rFonts w:ascii="Symbol" w:hAnsi="Symbol" w:hint="default"/>
      </w:rPr>
    </w:lvl>
    <w:lvl w:ilvl="1" w:tplc="04050003" w:tentative="1">
      <w:start w:val="1"/>
      <w:numFmt w:val="bullet"/>
      <w:lvlText w:val="o"/>
      <w:lvlJc w:val="left"/>
      <w:pPr>
        <w:ind w:left="1507" w:hanging="360"/>
      </w:pPr>
      <w:rPr>
        <w:rFonts w:ascii="Courier New" w:hAnsi="Courier New" w:cs="Courier New" w:hint="default"/>
      </w:rPr>
    </w:lvl>
    <w:lvl w:ilvl="2" w:tplc="04050005" w:tentative="1">
      <w:start w:val="1"/>
      <w:numFmt w:val="bullet"/>
      <w:lvlText w:val=""/>
      <w:lvlJc w:val="left"/>
      <w:pPr>
        <w:ind w:left="2227" w:hanging="360"/>
      </w:pPr>
      <w:rPr>
        <w:rFonts w:ascii="Wingdings" w:hAnsi="Wingdings" w:hint="default"/>
      </w:rPr>
    </w:lvl>
    <w:lvl w:ilvl="3" w:tplc="04050001" w:tentative="1">
      <w:start w:val="1"/>
      <w:numFmt w:val="bullet"/>
      <w:lvlText w:val=""/>
      <w:lvlJc w:val="left"/>
      <w:pPr>
        <w:ind w:left="2947" w:hanging="360"/>
      </w:pPr>
      <w:rPr>
        <w:rFonts w:ascii="Symbol" w:hAnsi="Symbol" w:hint="default"/>
      </w:rPr>
    </w:lvl>
    <w:lvl w:ilvl="4" w:tplc="04050003" w:tentative="1">
      <w:start w:val="1"/>
      <w:numFmt w:val="bullet"/>
      <w:lvlText w:val="o"/>
      <w:lvlJc w:val="left"/>
      <w:pPr>
        <w:ind w:left="3667" w:hanging="360"/>
      </w:pPr>
      <w:rPr>
        <w:rFonts w:ascii="Courier New" w:hAnsi="Courier New" w:cs="Courier New" w:hint="default"/>
      </w:rPr>
    </w:lvl>
    <w:lvl w:ilvl="5" w:tplc="04050005" w:tentative="1">
      <w:start w:val="1"/>
      <w:numFmt w:val="bullet"/>
      <w:lvlText w:val=""/>
      <w:lvlJc w:val="left"/>
      <w:pPr>
        <w:ind w:left="4387" w:hanging="360"/>
      </w:pPr>
      <w:rPr>
        <w:rFonts w:ascii="Wingdings" w:hAnsi="Wingdings" w:hint="default"/>
      </w:rPr>
    </w:lvl>
    <w:lvl w:ilvl="6" w:tplc="04050001" w:tentative="1">
      <w:start w:val="1"/>
      <w:numFmt w:val="bullet"/>
      <w:lvlText w:val=""/>
      <w:lvlJc w:val="left"/>
      <w:pPr>
        <w:ind w:left="5107" w:hanging="360"/>
      </w:pPr>
      <w:rPr>
        <w:rFonts w:ascii="Symbol" w:hAnsi="Symbol" w:hint="default"/>
      </w:rPr>
    </w:lvl>
    <w:lvl w:ilvl="7" w:tplc="04050003" w:tentative="1">
      <w:start w:val="1"/>
      <w:numFmt w:val="bullet"/>
      <w:lvlText w:val="o"/>
      <w:lvlJc w:val="left"/>
      <w:pPr>
        <w:ind w:left="5827" w:hanging="360"/>
      </w:pPr>
      <w:rPr>
        <w:rFonts w:ascii="Courier New" w:hAnsi="Courier New" w:cs="Courier New" w:hint="default"/>
      </w:rPr>
    </w:lvl>
    <w:lvl w:ilvl="8" w:tplc="04050005" w:tentative="1">
      <w:start w:val="1"/>
      <w:numFmt w:val="bullet"/>
      <w:lvlText w:val=""/>
      <w:lvlJc w:val="left"/>
      <w:pPr>
        <w:ind w:left="6547" w:hanging="360"/>
      </w:pPr>
      <w:rPr>
        <w:rFonts w:ascii="Wingdings" w:hAnsi="Wingdings" w:hint="default"/>
      </w:rPr>
    </w:lvl>
  </w:abstractNum>
  <w:abstractNum w:abstractNumId="28" w15:restartNumberingAfterBreak="0">
    <w:nsid w:val="5AE41D93"/>
    <w:multiLevelType w:val="hybridMultilevel"/>
    <w:tmpl w:val="77FED12A"/>
    <w:lvl w:ilvl="0" w:tplc="B3984E5C">
      <w:start w:val="1"/>
      <w:numFmt w:val="decimal"/>
      <w:lvlText w:val="%1."/>
      <w:lvlJc w:val="left"/>
      <w:pPr>
        <w:ind w:left="720" w:hanging="360"/>
      </w:pPr>
      <w:rPr>
        <w:b/>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9" w15:restartNumberingAfterBreak="0">
    <w:nsid w:val="5C056EE5"/>
    <w:multiLevelType w:val="hybridMultilevel"/>
    <w:tmpl w:val="3378D27C"/>
    <w:name w:val="Bullet 2"/>
    <w:lvl w:ilvl="0" w:tplc="852A3CFA">
      <w:start w:val="1"/>
      <w:numFmt w:val="bullet"/>
      <w:lvlRestart w:val="0"/>
      <w:pStyle w:val="Bullet2"/>
      <w:lvlText w:val=""/>
      <w:lvlJc w:val="left"/>
      <w:pPr>
        <w:tabs>
          <w:tab w:val="num" w:pos="1984"/>
        </w:tabs>
        <w:ind w:left="1984" w:hanging="567"/>
      </w:pPr>
      <w:rPr>
        <w:rFonts w:ascii="Symbol" w:hAnsi="Symbol" w:hint="default"/>
      </w:rPr>
    </w:lvl>
    <w:lvl w:ilvl="1" w:tplc="C66230B2">
      <w:numFmt w:val="decimal"/>
      <w:lvlText w:val=""/>
      <w:lvlJc w:val="left"/>
    </w:lvl>
    <w:lvl w:ilvl="2" w:tplc="97FC371C">
      <w:numFmt w:val="decimal"/>
      <w:lvlText w:val=""/>
      <w:lvlJc w:val="left"/>
    </w:lvl>
    <w:lvl w:ilvl="3" w:tplc="86222B3A">
      <w:numFmt w:val="decimal"/>
      <w:lvlText w:val=""/>
      <w:lvlJc w:val="left"/>
    </w:lvl>
    <w:lvl w:ilvl="4" w:tplc="9CC48040">
      <w:numFmt w:val="decimal"/>
      <w:lvlText w:val=""/>
      <w:lvlJc w:val="left"/>
    </w:lvl>
    <w:lvl w:ilvl="5" w:tplc="BFE8DF26">
      <w:numFmt w:val="decimal"/>
      <w:lvlText w:val=""/>
      <w:lvlJc w:val="left"/>
    </w:lvl>
    <w:lvl w:ilvl="6" w:tplc="3B6875EE">
      <w:numFmt w:val="decimal"/>
      <w:lvlText w:val=""/>
      <w:lvlJc w:val="left"/>
    </w:lvl>
    <w:lvl w:ilvl="7" w:tplc="AE9064C2">
      <w:numFmt w:val="decimal"/>
      <w:lvlText w:val=""/>
      <w:lvlJc w:val="left"/>
    </w:lvl>
    <w:lvl w:ilvl="8" w:tplc="EEB6585A">
      <w:numFmt w:val="decimal"/>
      <w:lvlText w:val=""/>
      <w:lvlJc w:val="left"/>
    </w:lvl>
  </w:abstractNum>
  <w:abstractNum w:abstractNumId="30" w15:restartNumberingAfterBreak="0">
    <w:nsid w:val="5D902E24"/>
    <w:multiLevelType w:val="hybridMultilevel"/>
    <w:tmpl w:val="8CAC1A44"/>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1" w15:restartNumberingAfterBreak="0">
    <w:nsid w:val="634D3F02"/>
    <w:multiLevelType w:val="hybridMultilevel"/>
    <w:tmpl w:val="B05E79BA"/>
    <w:lvl w:ilvl="0" w:tplc="519AF26A">
      <w:start w:val="1"/>
      <w:numFmt w:val="decimal"/>
      <w:pStyle w:val="UZEIGraf"/>
      <w:lvlText w:val="Graf %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2" w15:restartNumberingAfterBreak="0">
    <w:nsid w:val="63A03A84"/>
    <w:multiLevelType w:val="multilevel"/>
    <w:tmpl w:val="8CD07CB2"/>
    <w:lvl w:ilvl="0">
      <w:start w:val="1"/>
      <w:numFmt w:val="decimal"/>
      <w:lvlText w:val="%1"/>
      <w:lvlJc w:val="left"/>
      <w:pPr>
        <w:ind w:left="922" w:hanging="432"/>
      </w:pPr>
      <w:rPr>
        <w:rFonts w:hint="default"/>
        <w:color w:val="auto"/>
      </w:rPr>
    </w:lvl>
    <w:lvl w:ilvl="1">
      <w:start w:val="1"/>
      <w:numFmt w:val="decimal"/>
      <w:pStyle w:val="UZEINadpis2st"/>
      <w:lvlText w:val="1.%2"/>
      <w:lvlJc w:val="left"/>
      <w:pPr>
        <w:ind w:left="1066" w:hanging="576"/>
      </w:pPr>
      <w:rPr>
        <w:rFonts w:hint="default"/>
        <w:color w:val="auto"/>
        <w:sz w:val="24"/>
      </w:rPr>
    </w:lvl>
    <w:lvl w:ilvl="2">
      <w:start w:val="1"/>
      <w:numFmt w:val="decimal"/>
      <w:lvlText w:val="%1.%2.%3"/>
      <w:lvlJc w:val="left"/>
      <w:pPr>
        <w:ind w:left="1210" w:hanging="720"/>
      </w:pPr>
    </w:lvl>
    <w:lvl w:ilvl="3">
      <w:start w:val="1"/>
      <w:numFmt w:val="decimal"/>
      <w:lvlText w:val="%1.%2.%3.%4"/>
      <w:lvlJc w:val="left"/>
      <w:pPr>
        <w:ind w:left="1354" w:hanging="864"/>
      </w:pPr>
    </w:lvl>
    <w:lvl w:ilvl="4">
      <w:start w:val="1"/>
      <w:numFmt w:val="decimal"/>
      <w:lvlText w:val="%1.%2.%3.%4.%5"/>
      <w:lvlJc w:val="left"/>
      <w:pPr>
        <w:ind w:left="1498" w:hanging="1008"/>
      </w:pPr>
    </w:lvl>
    <w:lvl w:ilvl="5">
      <w:start w:val="1"/>
      <w:numFmt w:val="decimal"/>
      <w:lvlText w:val="%1.%2.%3.%4.%5.%6"/>
      <w:lvlJc w:val="left"/>
      <w:pPr>
        <w:ind w:left="1642" w:hanging="1152"/>
      </w:pPr>
    </w:lvl>
    <w:lvl w:ilvl="6">
      <w:start w:val="1"/>
      <w:numFmt w:val="decimal"/>
      <w:lvlText w:val="%1.%2.%3.%4.%5.%6.%7"/>
      <w:lvlJc w:val="left"/>
      <w:pPr>
        <w:ind w:left="1786" w:hanging="1296"/>
      </w:pPr>
    </w:lvl>
    <w:lvl w:ilvl="7">
      <w:start w:val="1"/>
      <w:numFmt w:val="decimal"/>
      <w:lvlText w:val="%1.%2.%3.%4.%5.%6.%7.%8"/>
      <w:lvlJc w:val="left"/>
      <w:pPr>
        <w:ind w:left="1930" w:hanging="1440"/>
      </w:pPr>
    </w:lvl>
    <w:lvl w:ilvl="8">
      <w:start w:val="1"/>
      <w:numFmt w:val="decimal"/>
      <w:lvlText w:val="%1.%2.%3.%4.%5.%6.%7.%8.%9"/>
      <w:lvlJc w:val="left"/>
      <w:pPr>
        <w:ind w:left="2074" w:hanging="1584"/>
      </w:pPr>
    </w:lvl>
  </w:abstractNum>
  <w:abstractNum w:abstractNumId="33" w15:restartNumberingAfterBreak="0">
    <w:nsid w:val="64B0108B"/>
    <w:multiLevelType w:val="multilevel"/>
    <w:tmpl w:val="D8B08B82"/>
    <w:lvl w:ilvl="0">
      <w:start w:val="1"/>
      <w:numFmt w:val="decimal"/>
      <w:lvlText w:val="%1."/>
      <w:lvlJc w:val="left"/>
      <w:pPr>
        <w:ind w:left="720" w:hanging="360"/>
      </w:pPr>
      <w:rPr>
        <w:rFonts w:ascii="Arial" w:hAnsi="Arial" w:cs="Arial" w:hint="default"/>
        <w:b/>
        <w:sz w:val="28"/>
        <w:szCs w:val="28"/>
      </w:rPr>
    </w:lvl>
    <w:lvl w:ilvl="1">
      <w:start w:val="1"/>
      <w:numFmt w:val="decimal"/>
      <w:lvlText w:val="%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34" w15:restartNumberingAfterBreak="0">
    <w:nsid w:val="675501B9"/>
    <w:multiLevelType w:val="hybridMultilevel"/>
    <w:tmpl w:val="8FFC404A"/>
    <w:lvl w:ilvl="0" w:tplc="0405000F">
      <w:start w:val="1"/>
      <w:numFmt w:val="decimal"/>
      <w:lvlText w:val="%1."/>
      <w:lvlJc w:val="left"/>
      <w:pPr>
        <w:ind w:left="720" w:hanging="360"/>
      </w:pPr>
    </w:lvl>
    <w:lvl w:ilvl="1" w:tplc="0405000F">
      <w:start w:val="1"/>
      <w:numFmt w:val="decimal"/>
      <w:lvlText w:val="%2."/>
      <w:lvlJc w:val="left"/>
      <w:pPr>
        <w:ind w:left="72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5" w15:restartNumberingAfterBreak="0">
    <w:nsid w:val="691B6DA4"/>
    <w:multiLevelType w:val="hybridMultilevel"/>
    <w:tmpl w:val="10668C8C"/>
    <w:lvl w:ilvl="0" w:tplc="D26AEE26">
      <w:start w:val="1"/>
      <w:numFmt w:val="bullet"/>
      <w:lvlText w:val="-"/>
      <w:lvlJc w:val="left"/>
      <w:pPr>
        <w:ind w:left="1350" w:hanging="360"/>
      </w:pPr>
      <w:rPr>
        <w:rFonts w:ascii="Times New Roman" w:hAnsi="Times New Roman" w:cs="Times New Roman" w:hint="default"/>
      </w:rPr>
    </w:lvl>
    <w:lvl w:ilvl="1" w:tplc="04050003" w:tentative="1">
      <w:start w:val="1"/>
      <w:numFmt w:val="bullet"/>
      <w:lvlText w:val="o"/>
      <w:lvlJc w:val="left"/>
      <w:pPr>
        <w:ind w:left="2070" w:hanging="360"/>
      </w:pPr>
      <w:rPr>
        <w:rFonts w:ascii="Courier New" w:hAnsi="Courier New" w:cs="Courier New" w:hint="default"/>
      </w:rPr>
    </w:lvl>
    <w:lvl w:ilvl="2" w:tplc="04050005" w:tentative="1">
      <w:start w:val="1"/>
      <w:numFmt w:val="bullet"/>
      <w:lvlText w:val=""/>
      <w:lvlJc w:val="left"/>
      <w:pPr>
        <w:ind w:left="2790" w:hanging="360"/>
      </w:pPr>
      <w:rPr>
        <w:rFonts w:ascii="Wingdings" w:hAnsi="Wingdings" w:hint="default"/>
      </w:rPr>
    </w:lvl>
    <w:lvl w:ilvl="3" w:tplc="04050001" w:tentative="1">
      <w:start w:val="1"/>
      <w:numFmt w:val="bullet"/>
      <w:lvlText w:val=""/>
      <w:lvlJc w:val="left"/>
      <w:pPr>
        <w:ind w:left="3510" w:hanging="360"/>
      </w:pPr>
      <w:rPr>
        <w:rFonts w:ascii="Symbol" w:hAnsi="Symbol" w:hint="default"/>
      </w:rPr>
    </w:lvl>
    <w:lvl w:ilvl="4" w:tplc="04050003" w:tentative="1">
      <w:start w:val="1"/>
      <w:numFmt w:val="bullet"/>
      <w:lvlText w:val="o"/>
      <w:lvlJc w:val="left"/>
      <w:pPr>
        <w:ind w:left="4230" w:hanging="360"/>
      </w:pPr>
      <w:rPr>
        <w:rFonts w:ascii="Courier New" w:hAnsi="Courier New" w:cs="Courier New" w:hint="default"/>
      </w:rPr>
    </w:lvl>
    <w:lvl w:ilvl="5" w:tplc="04050005" w:tentative="1">
      <w:start w:val="1"/>
      <w:numFmt w:val="bullet"/>
      <w:lvlText w:val=""/>
      <w:lvlJc w:val="left"/>
      <w:pPr>
        <w:ind w:left="4950" w:hanging="360"/>
      </w:pPr>
      <w:rPr>
        <w:rFonts w:ascii="Wingdings" w:hAnsi="Wingdings" w:hint="default"/>
      </w:rPr>
    </w:lvl>
    <w:lvl w:ilvl="6" w:tplc="04050001" w:tentative="1">
      <w:start w:val="1"/>
      <w:numFmt w:val="bullet"/>
      <w:lvlText w:val=""/>
      <w:lvlJc w:val="left"/>
      <w:pPr>
        <w:ind w:left="5670" w:hanging="360"/>
      </w:pPr>
      <w:rPr>
        <w:rFonts w:ascii="Symbol" w:hAnsi="Symbol" w:hint="default"/>
      </w:rPr>
    </w:lvl>
    <w:lvl w:ilvl="7" w:tplc="04050003" w:tentative="1">
      <w:start w:val="1"/>
      <w:numFmt w:val="bullet"/>
      <w:lvlText w:val="o"/>
      <w:lvlJc w:val="left"/>
      <w:pPr>
        <w:ind w:left="6390" w:hanging="360"/>
      </w:pPr>
      <w:rPr>
        <w:rFonts w:ascii="Courier New" w:hAnsi="Courier New" w:cs="Courier New" w:hint="default"/>
      </w:rPr>
    </w:lvl>
    <w:lvl w:ilvl="8" w:tplc="04050005" w:tentative="1">
      <w:start w:val="1"/>
      <w:numFmt w:val="bullet"/>
      <w:lvlText w:val=""/>
      <w:lvlJc w:val="left"/>
      <w:pPr>
        <w:ind w:left="7110" w:hanging="360"/>
      </w:pPr>
      <w:rPr>
        <w:rFonts w:ascii="Wingdings" w:hAnsi="Wingdings" w:hint="default"/>
      </w:rPr>
    </w:lvl>
  </w:abstractNum>
  <w:abstractNum w:abstractNumId="36" w15:restartNumberingAfterBreak="0">
    <w:nsid w:val="6A6C0A3D"/>
    <w:multiLevelType w:val="hybridMultilevel"/>
    <w:tmpl w:val="0DB8B286"/>
    <w:lvl w:ilvl="0" w:tplc="0405000F">
      <w:start w:val="1"/>
      <w:numFmt w:val="decimal"/>
      <w:lvlText w:val="%1."/>
      <w:lvlJc w:val="left"/>
      <w:pPr>
        <w:ind w:left="720" w:hanging="360"/>
      </w:pPr>
      <w:rPr>
        <w:rFont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6AE8271D"/>
    <w:multiLevelType w:val="hybridMultilevel"/>
    <w:tmpl w:val="56B48BB0"/>
    <w:lvl w:ilvl="0" w:tplc="7E5E66C0">
      <w:numFmt w:val="bullet"/>
      <w:lvlText w:val=""/>
      <w:lvlJc w:val="left"/>
      <w:pPr>
        <w:ind w:left="720" w:hanging="360"/>
      </w:pPr>
      <w:rPr>
        <w:rFonts w:ascii="Symbol" w:eastAsia="Times New Roman" w:hAnsi="Symbo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8" w15:restartNumberingAfterBreak="0">
    <w:nsid w:val="7DE03CB9"/>
    <w:multiLevelType w:val="hybridMultilevel"/>
    <w:tmpl w:val="24227820"/>
    <w:lvl w:ilvl="0" w:tplc="CA46876E">
      <w:start w:val="1"/>
      <w:numFmt w:val="decimal"/>
      <w:pStyle w:val="UZEIObr"/>
      <w:lvlText w:val="Obrázek %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9" w15:restartNumberingAfterBreak="0">
    <w:nsid w:val="7EEA1BF2"/>
    <w:multiLevelType w:val="hybridMultilevel"/>
    <w:tmpl w:val="70AC19D4"/>
    <w:lvl w:ilvl="0" w:tplc="04050003">
      <w:start w:val="1"/>
      <w:numFmt w:val="bullet"/>
      <w:lvlText w:val="o"/>
      <w:lvlJc w:val="left"/>
      <w:pPr>
        <w:ind w:left="1800" w:hanging="360"/>
      </w:pPr>
      <w:rPr>
        <w:rFonts w:ascii="Courier New" w:hAnsi="Courier New" w:cs="Courier New" w:hint="default"/>
      </w:rPr>
    </w:lvl>
    <w:lvl w:ilvl="1" w:tplc="04050003" w:tentative="1">
      <w:start w:val="1"/>
      <w:numFmt w:val="bullet"/>
      <w:lvlText w:val="o"/>
      <w:lvlJc w:val="left"/>
      <w:pPr>
        <w:ind w:left="2520" w:hanging="360"/>
      </w:pPr>
      <w:rPr>
        <w:rFonts w:ascii="Courier New" w:hAnsi="Courier New" w:cs="Courier New" w:hint="default"/>
      </w:rPr>
    </w:lvl>
    <w:lvl w:ilvl="2" w:tplc="04050005" w:tentative="1">
      <w:start w:val="1"/>
      <w:numFmt w:val="bullet"/>
      <w:lvlText w:val=""/>
      <w:lvlJc w:val="left"/>
      <w:pPr>
        <w:ind w:left="3240" w:hanging="360"/>
      </w:pPr>
      <w:rPr>
        <w:rFonts w:ascii="Wingdings" w:hAnsi="Wingdings" w:hint="default"/>
      </w:rPr>
    </w:lvl>
    <w:lvl w:ilvl="3" w:tplc="04050001" w:tentative="1">
      <w:start w:val="1"/>
      <w:numFmt w:val="bullet"/>
      <w:lvlText w:val=""/>
      <w:lvlJc w:val="left"/>
      <w:pPr>
        <w:ind w:left="3960" w:hanging="360"/>
      </w:pPr>
      <w:rPr>
        <w:rFonts w:ascii="Symbol" w:hAnsi="Symbol" w:hint="default"/>
      </w:rPr>
    </w:lvl>
    <w:lvl w:ilvl="4" w:tplc="04050003" w:tentative="1">
      <w:start w:val="1"/>
      <w:numFmt w:val="bullet"/>
      <w:lvlText w:val="o"/>
      <w:lvlJc w:val="left"/>
      <w:pPr>
        <w:ind w:left="4680" w:hanging="360"/>
      </w:pPr>
      <w:rPr>
        <w:rFonts w:ascii="Courier New" w:hAnsi="Courier New" w:cs="Courier New" w:hint="default"/>
      </w:rPr>
    </w:lvl>
    <w:lvl w:ilvl="5" w:tplc="04050005" w:tentative="1">
      <w:start w:val="1"/>
      <w:numFmt w:val="bullet"/>
      <w:lvlText w:val=""/>
      <w:lvlJc w:val="left"/>
      <w:pPr>
        <w:ind w:left="5400" w:hanging="360"/>
      </w:pPr>
      <w:rPr>
        <w:rFonts w:ascii="Wingdings" w:hAnsi="Wingdings" w:hint="default"/>
      </w:rPr>
    </w:lvl>
    <w:lvl w:ilvl="6" w:tplc="04050001" w:tentative="1">
      <w:start w:val="1"/>
      <w:numFmt w:val="bullet"/>
      <w:lvlText w:val=""/>
      <w:lvlJc w:val="left"/>
      <w:pPr>
        <w:ind w:left="6120" w:hanging="360"/>
      </w:pPr>
      <w:rPr>
        <w:rFonts w:ascii="Symbol" w:hAnsi="Symbol" w:hint="default"/>
      </w:rPr>
    </w:lvl>
    <w:lvl w:ilvl="7" w:tplc="04050003" w:tentative="1">
      <w:start w:val="1"/>
      <w:numFmt w:val="bullet"/>
      <w:lvlText w:val="o"/>
      <w:lvlJc w:val="left"/>
      <w:pPr>
        <w:ind w:left="6840" w:hanging="360"/>
      </w:pPr>
      <w:rPr>
        <w:rFonts w:ascii="Courier New" w:hAnsi="Courier New" w:cs="Courier New" w:hint="default"/>
      </w:rPr>
    </w:lvl>
    <w:lvl w:ilvl="8" w:tplc="04050005" w:tentative="1">
      <w:start w:val="1"/>
      <w:numFmt w:val="bullet"/>
      <w:lvlText w:val=""/>
      <w:lvlJc w:val="left"/>
      <w:pPr>
        <w:ind w:left="7560" w:hanging="360"/>
      </w:pPr>
      <w:rPr>
        <w:rFonts w:ascii="Wingdings" w:hAnsi="Wingdings" w:hint="default"/>
      </w:rPr>
    </w:lvl>
  </w:abstractNum>
  <w:num w:numId="1">
    <w:abstractNumId w:val="15"/>
  </w:num>
  <w:num w:numId="2">
    <w:abstractNumId w:val="31"/>
  </w:num>
  <w:num w:numId="3">
    <w:abstractNumId w:val="20"/>
  </w:num>
  <w:num w:numId="4">
    <w:abstractNumId w:val="38"/>
  </w:num>
  <w:num w:numId="5">
    <w:abstractNumId w:val="5"/>
  </w:num>
  <w:num w:numId="6">
    <w:abstractNumId w:val="32"/>
  </w:num>
  <w:num w:numId="7">
    <w:abstractNumId w:val="25"/>
  </w:num>
  <w:num w:numId="8">
    <w:abstractNumId w:val="23"/>
  </w:num>
  <w:num w:numId="9">
    <w:abstractNumId w:val="18"/>
  </w:num>
  <w:num w:numId="10">
    <w:abstractNumId w:val="3"/>
  </w:num>
  <w:num w:numId="11">
    <w:abstractNumId w:val="13"/>
  </w:num>
  <w:num w:numId="12">
    <w:abstractNumId w:val="35"/>
  </w:num>
  <w:num w:numId="13">
    <w:abstractNumId w:val="4"/>
  </w:num>
  <w:num w:numId="14">
    <w:abstractNumId w:val="17"/>
  </w:num>
  <w:num w:numId="15">
    <w:abstractNumId w:val="22"/>
  </w:num>
  <w:num w:numId="16">
    <w:abstractNumId w:val="29"/>
  </w:num>
  <w:num w:numId="17">
    <w:abstractNumId w:val="36"/>
  </w:num>
  <w:num w:numId="18">
    <w:abstractNumId w:val="10"/>
  </w:num>
  <w:num w:numId="19">
    <w:abstractNumId w:val="33"/>
  </w:num>
  <w:num w:numId="20">
    <w:abstractNumId w:val="28"/>
  </w:num>
  <w:num w:numId="21">
    <w:abstractNumId w:val="0"/>
  </w:num>
  <w:num w:numId="22">
    <w:abstractNumId w:val="1"/>
  </w:num>
  <w:num w:numId="23">
    <w:abstractNumId w:val="12"/>
  </w:num>
  <w:num w:numId="24">
    <w:abstractNumId w:val="30"/>
  </w:num>
  <w:num w:numId="25">
    <w:abstractNumId w:val="6"/>
  </w:num>
  <w:num w:numId="26">
    <w:abstractNumId w:val="9"/>
  </w:num>
  <w:num w:numId="27">
    <w:abstractNumId w:val="21"/>
  </w:num>
  <w:num w:numId="2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6"/>
  </w:num>
  <w:num w:numId="30">
    <w:abstractNumId w:val="20"/>
    <w:lvlOverride w:ilvl="0">
      <w:startOverride w:val="1"/>
    </w:lvlOverride>
  </w:num>
  <w:num w:numId="31">
    <w:abstractNumId w:val="31"/>
    <w:lvlOverride w:ilvl="0">
      <w:startOverride w:val="1"/>
    </w:lvlOverride>
  </w:num>
  <w:num w:numId="32">
    <w:abstractNumId w:val="24"/>
  </w:num>
  <w:num w:numId="33">
    <w:abstractNumId w:val="31"/>
  </w:num>
  <w:num w:numId="34">
    <w:abstractNumId w:val="31"/>
    <w:lvlOverride w:ilvl="0">
      <w:startOverride w:val="1"/>
    </w:lvlOverride>
  </w:num>
  <w:num w:numId="35">
    <w:abstractNumId w:val="31"/>
    <w:lvlOverride w:ilvl="0">
      <w:startOverride w:val="1"/>
    </w:lvlOverride>
  </w:num>
  <w:num w:numId="36">
    <w:abstractNumId w:val="39"/>
  </w:num>
  <w:num w:numId="3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1"/>
  </w:num>
  <w:num w:numId="39">
    <w:abstractNumId w:val="34"/>
  </w:num>
  <w:num w:numId="40">
    <w:abstractNumId w:val="7"/>
  </w:num>
  <w:num w:numId="41">
    <w:abstractNumId w:val="31"/>
    <w:lvlOverride w:ilvl="0">
      <w:startOverride w:val="1"/>
    </w:lvlOverride>
  </w:num>
  <w:num w:numId="42">
    <w:abstractNumId w:val="20"/>
    <w:lvlOverride w:ilvl="0">
      <w:startOverride w:val="1"/>
    </w:lvlOverride>
  </w:num>
  <w:num w:numId="43">
    <w:abstractNumId w:val="20"/>
  </w:num>
  <w:num w:numId="44">
    <w:abstractNumId w:val="20"/>
    <w:lvlOverride w:ilvl="0">
      <w:startOverride w:val="1"/>
    </w:lvlOverride>
  </w:num>
  <w:num w:numId="45">
    <w:abstractNumId w:val="20"/>
  </w:num>
  <w:num w:numId="46">
    <w:abstractNumId w:val="20"/>
    <w:lvlOverride w:ilvl="0">
      <w:startOverride w:val="1"/>
    </w:lvlOverride>
  </w:num>
  <w:num w:numId="47">
    <w:abstractNumId w:val="16"/>
  </w:num>
  <w:num w:numId="48">
    <w:abstractNumId w:val="2"/>
  </w:num>
  <w:num w:numId="49">
    <w:abstractNumId w:val="19"/>
  </w:num>
  <w:num w:numId="50">
    <w:abstractNumId w:val="14"/>
  </w:num>
  <w:num w:numId="51">
    <w:abstractNumId w:val="31"/>
    <w:lvlOverride w:ilvl="0">
      <w:startOverride w:val="1"/>
    </w:lvlOverride>
  </w:num>
  <w:num w:numId="52">
    <w:abstractNumId w:val="31"/>
  </w:num>
  <w:num w:numId="53">
    <w:abstractNumId w:val="37"/>
  </w:num>
  <w:num w:numId="54">
    <w:abstractNumId w:val="27"/>
  </w:num>
  <w:num w:numId="55">
    <w:abstractNumId w:val="20"/>
  </w:num>
  <w:num w:numId="56">
    <w:abstractNumId w:val="31"/>
  </w:num>
  <w:num w:numId="57">
    <w:abstractNumId w:val="31"/>
  </w:num>
  <w:num w:numId="58">
    <w:abstractNumId w:val="8"/>
  </w:num>
  <w:num w:numId="59">
    <w:abstractNumId w:val="15"/>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visionView w:formatting="0"/>
  <w:defaultTabStop w:val="720"/>
  <w:hyphenationZone w:val="425"/>
  <w:characterSpacingControl w:val="doNotCompress"/>
  <w:hdrShapeDefaults>
    <o:shapedefaults v:ext="edit" spidmax="2055"/>
    <o:shapelayout v:ext="edit">
      <o:idmap v:ext="edit" data="2"/>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7E14"/>
    <w:rsid w:val="00000887"/>
    <w:rsid w:val="0000288B"/>
    <w:rsid w:val="0000432D"/>
    <w:rsid w:val="00007304"/>
    <w:rsid w:val="000120F7"/>
    <w:rsid w:val="00016EE9"/>
    <w:rsid w:val="00021744"/>
    <w:rsid w:val="00024584"/>
    <w:rsid w:val="00025202"/>
    <w:rsid w:val="00030616"/>
    <w:rsid w:val="00032E43"/>
    <w:rsid w:val="0003417E"/>
    <w:rsid w:val="00034B70"/>
    <w:rsid w:val="00043056"/>
    <w:rsid w:val="00044150"/>
    <w:rsid w:val="00044C77"/>
    <w:rsid w:val="00045D43"/>
    <w:rsid w:val="000544A7"/>
    <w:rsid w:val="0005469C"/>
    <w:rsid w:val="000563E5"/>
    <w:rsid w:val="00062F8E"/>
    <w:rsid w:val="0007022C"/>
    <w:rsid w:val="00073C13"/>
    <w:rsid w:val="00076581"/>
    <w:rsid w:val="0009034A"/>
    <w:rsid w:val="00091C9F"/>
    <w:rsid w:val="0009397C"/>
    <w:rsid w:val="00093D52"/>
    <w:rsid w:val="000973EA"/>
    <w:rsid w:val="000A1987"/>
    <w:rsid w:val="000A1E5A"/>
    <w:rsid w:val="000A319F"/>
    <w:rsid w:val="000A43ED"/>
    <w:rsid w:val="000A4E38"/>
    <w:rsid w:val="000B4470"/>
    <w:rsid w:val="000B44F1"/>
    <w:rsid w:val="000C779B"/>
    <w:rsid w:val="000E05D6"/>
    <w:rsid w:val="000E3988"/>
    <w:rsid w:val="000F1F84"/>
    <w:rsid w:val="000F5D6E"/>
    <w:rsid w:val="000F7485"/>
    <w:rsid w:val="001004A0"/>
    <w:rsid w:val="00101E04"/>
    <w:rsid w:val="0010602E"/>
    <w:rsid w:val="00114609"/>
    <w:rsid w:val="00120330"/>
    <w:rsid w:val="00130FD1"/>
    <w:rsid w:val="001314DB"/>
    <w:rsid w:val="001335A6"/>
    <w:rsid w:val="001356E8"/>
    <w:rsid w:val="00140657"/>
    <w:rsid w:val="00141692"/>
    <w:rsid w:val="00141AB1"/>
    <w:rsid w:val="00142A9F"/>
    <w:rsid w:val="001431C1"/>
    <w:rsid w:val="0015020D"/>
    <w:rsid w:val="00151B39"/>
    <w:rsid w:val="00152D53"/>
    <w:rsid w:val="00154018"/>
    <w:rsid w:val="00164CBE"/>
    <w:rsid w:val="0017024E"/>
    <w:rsid w:val="00185EDD"/>
    <w:rsid w:val="0019408F"/>
    <w:rsid w:val="001A21D3"/>
    <w:rsid w:val="001A2E4E"/>
    <w:rsid w:val="001B735C"/>
    <w:rsid w:val="001B7775"/>
    <w:rsid w:val="001C354E"/>
    <w:rsid w:val="001D1976"/>
    <w:rsid w:val="001E062C"/>
    <w:rsid w:val="001E083A"/>
    <w:rsid w:val="001E1C66"/>
    <w:rsid w:val="001E67CD"/>
    <w:rsid w:val="001E7906"/>
    <w:rsid w:val="002037AD"/>
    <w:rsid w:val="00206909"/>
    <w:rsid w:val="00215A5F"/>
    <w:rsid w:val="00216801"/>
    <w:rsid w:val="00225C25"/>
    <w:rsid w:val="00231F37"/>
    <w:rsid w:val="00237DFB"/>
    <w:rsid w:val="002622E7"/>
    <w:rsid w:val="00277250"/>
    <w:rsid w:val="00284643"/>
    <w:rsid w:val="0028471D"/>
    <w:rsid w:val="00297CD8"/>
    <w:rsid w:val="002A021F"/>
    <w:rsid w:val="002A224B"/>
    <w:rsid w:val="002A2482"/>
    <w:rsid w:val="002A35E8"/>
    <w:rsid w:val="002A4C32"/>
    <w:rsid w:val="002B411B"/>
    <w:rsid w:val="002B7246"/>
    <w:rsid w:val="002C00C9"/>
    <w:rsid w:val="002C39AF"/>
    <w:rsid w:val="002C75D6"/>
    <w:rsid w:val="002D10E8"/>
    <w:rsid w:val="002D2FC9"/>
    <w:rsid w:val="002D33D2"/>
    <w:rsid w:val="002D5D15"/>
    <w:rsid w:val="002E17B7"/>
    <w:rsid w:val="002E3614"/>
    <w:rsid w:val="002F2873"/>
    <w:rsid w:val="002F40B9"/>
    <w:rsid w:val="002F7500"/>
    <w:rsid w:val="003017D6"/>
    <w:rsid w:val="0031504D"/>
    <w:rsid w:val="00322579"/>
    <w:rsid w:val="003257EA"/>
    <w:rsid w:val="00331440"/>
    <w:rsid w:val="003361B0"/>
    <w:rsid w:val="00343198"/>
    <w:rsid w:val="00351DCB"/>
    <w:rsid w:val="00353CF0"/>
    <w:rsid w:val="003673CC"/>
    <w:rsid w:val="00367D44"/>
    <w:rsid w:val="00377134"/>
    <w:rsid w:val="003808DC"/>
    <w:rsid w:val="00383E11"/>
    <w:rsid w:val="00386A2F"/>
    <w:rsid w:val="00391AC2"/>
    <w:rsid w:val="003A3B75"/>
    <w:rsid w:val="003B0485"/>
    <w:rsid w:val="003B1F45"/>
    <w:rsid w:val="003B78F3"/>
    <w:rsid w:val="003C257C"/>
    <w:rsid w:val="003C2914"/>
    <w:rsid w:val="003D172A"/>
    <w:rsid w:val="003D3582"/>
    <w:rsid w:val="003D3D8C"/>
    <w:rsid w:val="003D58EA"/>
    <w:rsid w:val="003E2323"/>
    <w:rsid w:val="003F2F64"/>
    <w:rsid w:val="003F4EEE"/>
    <w:rsid w:val="003F5EB5"/>
    <w:rsid w:val="00406B41"/>
    <w:rsid w:val="00407B6E"/>
    <w:rsid w:val="0042233B"/>
    <w:rsid w:val="00431FC5"/>
    <w:rsid w:val="00445C7A"/>
    <w:rsid w:val="004502EF"/>
    <w:rsid w:val="004643E9"/>
    <w:rsid w:val="00467F54"/>
    <w:rsid w:val="004715B0"/>
    <w:rsid w:val="004747F2"/>
    <w:rsid w:val="00477EC6"/>
    <w:rsid w:val="004829AE"/>
    <w:rsid w:val="004839C3"/>
    <w:rsid w:val="00486815"/>
    <w:rsid w:val="00491F2D"/>
    <w:rsid w:val="00493A63"/>
    <w:rsid w:val="0049456E"/>
    <w:rsid w:val="004947EF"/>
    <w:rsid w:val="004A083F"/>
    <w:rsid w:val="004A4B17"/>
    <w:rsid w:val="004A57B3"/>
    <w:rsid w:val="004A5CFF"/>
    <w:rsid w:val="004A7243"/>
    <w:rsid w:val="004B1580"/>
    <w:rsid w:val="004B35B7"/>
    <w:rsid w:val="004B7879"/>
    <w:rsid w:val="004C05BD"/>
    <w:rsid w:val="004C360A"/>
    <w:rsid w:val="004C6086"/>
    <w:rsid w:val="004D7454"/>
    <w:rsid w:val="004E216F"/>
    <w:rsid w:val="004E5311"/>
    <w:rsid w:val="004F16FD"/>
    <w:rsid w:val="004F259D"/>
    <w:rsid w:val="004F37D3"/>
    <w:rsid w:val="00500CAA"/>
    <w:rsid w:val="00501FB8"/>
    <w:rsid w:val="00511FA4"/>
    <w:rsid w:val="0051595F"/>
    <w:rsid w:val="00527861"/>
    <w:rsid w:val="00531F60"/>
    <w:rsid w:val="00531FDA"/>
    <w:rsid w:val="00532DB7"/>
    <w:rsid w:val="00551481"/>
    <w:rsid w:val="00556ADE"/>
    <w:rsid w:val="00561985"/>
    <w:rsid w:val="0056328F"/>
    <w:rsid w:val="00572587"/>
    <w:rsid w:val="00573A02"/>
    <w:rsid w:val="005848FC"/>
    <w:rsid w:val="00584D82"/>
    <w:rsid w:val="00586053"/>
    <w:rsid w:val="0058778A"/>
    <w:rsid w:val="005A04EC"/>
    <w:rsid w:val="005A2A38"/>
    <w:rsid w:val="005A6B67"/>
    <w:rsid w:val="005B07CE"/>
    <w:rsid w:val="005B2FCC"/>
    <w:rsid w:val="005B4DE1"/>
    <w:rsid w:val="005B5895"/>
    <w:rsid w:val="005B5B5D"/>
    <w:rsid w:val="005B673A"/>
    <w:rsid w:val="005B7830"/>
    <w:rsid w:val="005C2408"/>
    <w:rsid w:val="005C5AD9"/>
    <w:rsid w:val="005C75D3"/>
    <w:rsid w:val="005D0B7B"/>
    <w:rsid w:val="005D7A26"/>
    <w:rsid w:val="005E2222"/>
    <w:rsid w:val="005F00C5"/>
    <w:rsid w:val="005F13AA"/>
    <w:rsid w:val="005F59DF"/>
    <w:rsid w:val="00610397"/>
    <w:rsid w:val="0062006F"/>
    <w:rsid w:val="00620F7E"/>
    <w:rsid w:val="00621F83"/>
    <w:rsid w:val="00627641"/>
    <w:rsid w:val="00627D9F"/>
    <w:rsid w:val="00632857"/>
    <w:rsid w:val="00640914"/>
    <w:rsid w:val="00641979"/>
    <w:rsid w:val="0064752C"/>
    <w:rsid w:val="00650ED4"/>
    <w:rsid w:val="00655E07"/>
    <w:rsid w:val="00660D6A"/>
    <w:rsid w:val="00662E61"/>
    <w:rsid w:val="006660D2"/>
    <w:rsid w:val="0067470F"/>
    <w:rsid w:val="006752D6"/>
    <w:rsid w:val="00676C5D"/>
    <w:rsid w:val="006817B7"/>
    <w:rsid w:val="0068225B"/>
    <w:rsid w:val="006826AD"/>
    <w:rsid w:val="00683FA4"/>
    <w:rsid w:val="006848E5"/>
    <w:rsid w:val="00685BB7"/>
    <w:rsid w:val="00691321"/>
    <w:rsid w:val="00693A2B"/>
    <w:rsid w:val="00694963"/>
    <w:rsid w:val="006A0A7B"/>
    <w:rsid w:val="006A2D3B"/>
    <w:rsid w:val="006A59EF"/>
    <w:rsid w:val="006A6196"/>
    <w:rsid w:val="006B29E1"/>
    <w:rsid w:val="006C247D"/>
    <w:rsid w:val="006C6FD7"/>
    <w:rsid w:val="006C727D"/>
    <w:rsid w:val="006C74D5"/>
    <w:rsid w:val="006D13BD"/>
    <w:rsid w:val="006D2F59"/>
    <w:rsid w:val="006D38A8"/>
    <w:rsid w:val="006E2063"/>
    <w:rsid w:val="006E47F1"/>
    <w:rsid w:val="006F1E2C"/>
    <w:rsid w:val="007012B3"/>
    <w:rsid w:val="0071129E"/>
    <w:rsid w:val="0071221F"/>
    <w:rsid w:val="00712635"/>
    <w:rsid w:val="00716D59"/>
    <w:rsid w:val="0072287F"/>
    <w:rsid w:val="0072292E"/>
    <w:rsid w:val="00737350"/>
    <w:rsid w:val="00741DAC"/>
    <w:rsid w:val="007434DA"/>
    <w:rsid w:val="00750511"/>
    <w:rsid w:val="007506B1"/>
    <w:rsid w:val="00755F54"/>
    <w:rsid w:val="007560F1"/>
    <w:rsid w:val="00757556"/>
    <w:rsid w:val="00764116"/>
    <w:rsid w:val="00767D80"/>
    <w:rsid w:val="00780736"/>
    <w:rsid w:val="00784A04"/>
    <w:rsid w:val="00787DE8"/>
    <w:rsid w:val="007A0B29"/>
    <w:rsid w:val="007A4217"/>
    <w:rsid w:val="007A4B1F"/>
    <w:rsid w:val="007C28F4"/>
    <w:rsid w:val="007C634C"/>
    <w:rsid w:val="007D174B"/>
    <w:rsid w:val="007E341C"/>
    <w:rsid w:val="007E78A2"/>
    <w:rsid w:val="007E7D43"/>
    <w:rsid w:val="007F39E6"/>
    <w:rsid w:val="00802E13"/>
    <w:rsid w:val="008062FD"/>
    <w:rsid w:val="00824F15"/>
    <w:rsid w:val="00827A5F"/>
    <w:rsid w:val="00834E79"/>
    <w:rsid w:val="00847E44"/>
    <w:rsid w:val="00851714"/>
    <w:rsid w:val="00856E96"/>
    <w:rsid w:val="0086054E"/>
    <w:rsid w:val="00860B6F"/>
    <w:rsid w:val="00864C5E"/>
    <w:rsid w:val="008660FE"/>
    <w:rsid w:val="00875ED7"/>
    <w:rsid w:val="0087790C"/>
    <w:rsid w:val="00883E5A"/>
    <w:rsid w:val="00890F29"/>
    <w:rsid w:val="008920F7"/>
    <w:rsid w:val="00892B35"/>
    <w:rsid w:val="00892DB5"/>
    <w:rsid w:val="00894EA7"/>
    <w:rsid w:val="008A4111"/>
    <w:rsid w:val="008A7750"/>
    <w:rsid w:val="008B0A8B"/>
    <w:rsid w:val="008C00D5"/>
    <w:rsid w:val="008C3DEB"/>
    <w:rsid w:val="008C417F"/>
    <w:rsid w:val="008C5529"/>
    <w:rsid w:val="008C6A61"/>
    <w:rsid w:val="008E1893"/>
    <w:rsid w:val="008E36A5"/>
    <w:rsid w:val="008F0213"/>
    <w:rsid w:val="009015EC"/>
    <w:rsid w:val="009048BB"/>
    <w:rsid w:val="009165A0"/>
    <w:rsid w:val="009169B4"/>
    <w:rsid w:val="009245C1"/>
    <w:rsid w:val="00933812"/>
    <w:rsid w:val="00936051"/>
    <w:rsid w:val="00944337"/>
    <w:rsid w:val="0095250A"/>
    <w:rsid w:val="009525D2"/>
    <w:rsid w:val="009608D5"/>
    <w:rsid w:val="009623AC"/>
    <w:rsid w:val="009662E4"/>
    <w:rsid w:val="0097187A"/>
    <w:rsid w:val="0097226E"/>
    <w:rsid w:val="00972770"/>
    <w:rsid w:val="00980628"/>
    <w:rsid w:val="00985124"/>
    <w:rsid w:val="00985D27"/>
    <w:rsid w:val="0099746D"/>
    <w:rsid w:val="009A1EC4"/>
    <w:rsid w:val="009A2967"/>
    <w:rsid w:val="009B205D"/>
    <w:rsid w:val="009B5FAA"/>
    <w:rsid w:val="009B7557"/>
    <w:rsid w:val="009C2ABA"/>
    <w:rsid w:val="009C6613"/>
    <w:rsid w:val="009D66E5"/>
    <w:rsid w:val="009D7357"/>
    <w:rsid w:val="009E0DDD"/>
    <w:rsid w:val="009F43A3"/>
    <w:rsid w:val="009F72EF"/>
    <w:rsid w:val="009F7E68"/>
    <w:rsid w:val="00A00C70"/>
    <w:rsid w:val="00A0481C"/>
    <w:rsid w:val="00A12F9A"/>
    <w:rsid w:val="00A139F2"/>
    <w:rsid w:val="00A1420D"/>
    <w:rsid w:val="00A157B8"/>
    <w:rsid w:val="00A16ECF"/>
    <w:rsid w:val="00A313FF"/>
    <w:rsid w:val="00A35485"/>
    <w:rsid w:val="00A36C8B"/>
    <w:rsid w:val="00A41800"/>
    <w:rsid w:val="00A45FC9"/>
    <w:rsid w:val="00A56BB6"/>
    <w:rsid w:val="00A62FC4"/>
    <w:rsid w:val="00A91275"/>
    <w:rsid w:val="00A93193"/>
    <w:rsid w:val="00A94746"/>
    <w:rsid w:val="00A96F54"/>
    <w:rsid w:val="00AA0662"/>
    <w:rsid w:val="00AA124D"/>
    <w:rsid w:val="00AA1FE8"/>
    <w:rsid w:val="00AA593D"/>
    <w:rsid w:val="00AA5BA3"/>
    <w:rsid w:val="00AA63B9"/>
    <w:rsid w:val="00AA6A3B"/>
    <w:rsid w:val="00AB13D0"/>
    <w:rsid w:val="00AB2C5F"/>
    <w:rsid w:val="00AB39A0"/>
    <w:rsid w:val="00AB435B"/>
    <w:rsid w:val="00AB564E"/>
    <w:rsid w:val="00AB79C2"/>
    <w:rsid w:val="00AD7D6B"/>
    <w:rsid w:val="00AE337F"/>
    <w:rsid w:val="00B01CE9"/>
    <w:rsid w:val="00B05F10"/>
    <w:rsid w:val="00B077FB"/>
    <w:rsid w:val="00B10A75"/>
    <w:rsid w:val="00B125B8"/>
    <w:rsid w:val="00B1703F"/>
    <w:rsid w:val="00B17CE2"/>
    <w:rsid w:val="00B3112E"/>
    <w:rsid w:val="00B35E4F"/>
    <w:rsid w:val="00B36C72"/>
    <w:rsid w:val="00B41B70"/>
    <w:rsid w:val="00B431E0"/>
    <w:rsid w:val="00B43312"/>
    <w:rsid w:val="00B545A8"/>
    <w:rsid w:val="00B6034F"/>
    <w:rsid w:val="00B70E10"/>
    <w:rsid w:val="00B72342"/>
    <w:rsid w:val="00B725A8"/>
    <w:rsid w:val="00B87E14"/>
    <w:rsid w:val="00B90F45"/>
    <w:rsid w:val="00B94B8A"/>
    <w:rsid w:val="00BA3366"/>
    <w:rsid w:val="00BA33FF"/>
    <w:rsid w:val="00BB4FF8"/>
    <w:rsid w:val="00BB6ABF"/>
    <w:rsid w:val="00BC20B6"/>
    <w:rsid w:val="00BC33BC"/>
    <w:rsid w:val="00BC51CC"/>
    <w:rsid w:val="00BE1187"/>
    <w:rsid w:val="00BE11B5"/>
    <w:rsid w:val="00BE5B6F"/>
    <w:rsid w:val="00BF53EE"/>
    <w:rsid w:val="00BF5B98"/>
    <w:rsid w:val="00BF7204"/>
    <w:rsid w:val="00C03E08"/>
    <w:rsid w:val="00C06675"/>
    <w:rsid w:val="00C10026"/>
    <w:rsid w:val="00C104D5"/>
    <w:rsid w:val="00C11CEA"/>
    <w:rsid w:val="00C12022"/>
    <w:rsid w:val="00C2148F"/>
    <w:rsid w:val="00C25690"/>
    <w:rsid w:val="00C2596B"/>
    <w:rsid w:val="00C25E9C"/>
    <w:rsid w:val="00C304DE"/>
    <w:rsid w:val="00C32436"/>
    <w:rsid w:val="00C32636"/>
    <w:rsid w:val="00C35E53"/>
    <w:rsid w:val="00C57582"/>
    <w:rsid w:val="00C60860"/>
    <w:rsid w:val="00C65942"/>
    <w:rsid w:val="00C67A0F"/>
    <w:rsid w:val="00C73E28"/>
    <w:rsid w:val="00C77415"/>
    <w:rsid w:val="00C80140"/>
    <w:rsid w:val="00C86FBD"/>
    <w:rsid w:val="00C87045"/>
    <w:rsid w:val="00C91401"/>
    <w:rsid w:val="00C93043"/>
    <w:rsid w:val="00C93BCE"/>
    <w:rsid w:val="00C93D0D"/>
    <w:rsid w:val="00C96A11"/>
    <w:rsid w:val="00CA180E"/>
    <w:rsid w:val="00CA30F8"/>
    <w:rsid w:val="00CA3E6F"/>
    <w:rsid w:val="00CA70CD"/>
    <w:rsid w:val="00CB255E"/>
    <w:rsid w:val="00CB2594"/>
    <w:rsid w:val="00CB5E4F"/>
    <w:rsid w:val="00CC4B63"/>
    <w:rsid w:val="00CD28B0"/>
    <w:rsid w:val="00CD4853"/>
    <w:rsid w:val="00CD7BC4"/>
    <w:rsid w:val="00CE74C6"/>
    <w:rsid w:val="00CF0C83"/>
    <w:rsid w:val="00CF2365"/>
    <w:rsid w:val="00CF4ABF"/>
    <w:rsid w:val="00CF4AEF"/>
    <w:rsid w:val="00CF7919"/>
    <w:rsid w:val="00D0169E"/>
    <w:rsid w:val="00D0389D"/>
    <w:rsid w:val="00D0420B"/>
    <w:rsid w:val="00D06320"/>
    <w:rsid w:val="00D07B92"/>
    <w:rsid w:val="00D117D0"/>
    <w:rsid w:val="00D12EB3"/>
    <w:rsid w:val="00D20672"/>
    <w:rsid w:val="00D2190C"/>
    <w:rsid w:val="00D311DE"/>
    <w:rsid w:val="00D35880"/>
    <w:rsid w:val="00D40914"/>
    <w:rsid w:val="00D424E3"/>
    <w:rsid w:val="00D45604"/>
    <w:rsid w:val="00D5312C"/>
    <w:rsid w:val="00D538FB"/>
    <w:rsid w:val="00D540CD"/>
    <w:rsid w:val="00D607D2"/>
    <w:rsid w:val="00D6645A"/>
    <w:rsid w:val="00D708DE"/>
    <w:rsid w:val="00D81379"/>
    <w:rsid w:val="00D818D6"/>
    <w:rsid w:val="00D832A5"/>
    <w:rsid w:val="00D84F23"/>
    <w:rsid w:val="00D9475C"/>
    <w:rsid w:val="00D953E7"/>
    <w:rsid w:val="00D97486"/>
    <w:rsid w:val="00DA0DED"/>
    <w:rsid w:val="00DA604C"/>
    <w:rsid w:val="00DB534B"/>
    <w:rsid w:val="00DC6FCB"/>
    <w:rsid w:val="00DD1446"/>
    <w:rsid w:val="00DD2486"/>
    <w:rsid w:val="00DD41FC"/>
    <w:rsid w:val="00DD5F92"/>
    <w:rsid w:val="00DD7998"/>
    <w:rsid w:val="00DE374F"/>
    <w:rsid w:val="00DE46DC"/>
    <w:rsid w:val="00DE560B"/>
    <w:rsid w:val="00DF2B9D"/>
    <w:rsid w:val="00E01C69"/>
    <w:rsid w:val="00E04264"/>
    <w:rsid w:val="00E050B2"/>
    <w:rsid w:val="00E20C80"/>
    <w:rsid w:val="00E27551"/>
    <w:rsid w:val="00E30F8D"/>
    <w:rsid w:val="00E32679"/>
    <w:rsid w:val="00E34762"/>
    <w:rsid w:val="00E34AE4"/>
    <w:rsid w:val="00E376C2"/>
    <w:rsid w:val="00E40087"/>
    <w:rsid w:val="00E45260"/>
    <w:rsid w:val="00E52DC9"/>
    <w:rsid w:val="00E55CB8"/>
    <w:rsid w:val="00E6092D"/>
    <w:rsid w:val="00E657F0"/>
    <w:rsid w:val="00E666BE"/>
    <w:rsid w:val="00E6701E"/>
    <w:rsid w:val="00E70C51"/>
    <w:rsid w:val="00E82360"/>
    <w:rsid w:val="00E83BA0"/>
    <w:rsid w:val="00E8460F"/>
    <w:rsid w:val="00E862B7"/>
    <w:rsid w:val="00E86D58"/>
    <w:rsid w:val="00E95B82"/>
    <w:rsid w:val="00E96AEF"/>
    <w:rsid w:val="00EA0CCE"/>
    <w:rsid w:val="00EB34AB"/>
    <w:rsid w:val="00EB743D"/>
    <w:rsid w:val="00EC5EF3"/>
    <w:rsid w:val="00EC60AC"/>
    <w:rsid w:val="00EC7259"/>
    <w:rsid w:val="00ED1960"/>
    <w:rsid w:val="00ED5105"/>
    <w:rsid w:val="00ED6797"/>
    <w:rsid w:val="00EE5B8B"/>
    <w:rsid w:val="00F0019C"/>
    <w:rsid w:val="00F02AF5"/>
    <w:rsid w:val="00F0724C"/>
    <w:rsid w:val="00F12EBD"/>
    <w:rsid w:val="00F16954"/>
    <w:rsid w:val="00F24665"/>
    <w:rsid w:val="00F35482"/>
    <w:rsid w:val="00F45B5D"/>
    <w:rsid w:val="00F520E8"/>
    <w:rsid w:val="00F532EB"/>
    <w:rsid w:val="00F53496"/>
    <w:rsid w:val="00F54CFF"/>
    <w:rsid w:val="00F56B20"/>
    <w:rsid w:val="00F579AB"/>
    <w:rsid w:val="00F60BBD"/>
    <w:rsid w:val="00F61044"/>
    <w:rsid w:val="00F65C97"/>
    <w:rsid w:val="00F70B57"/>
    <w:rsid w:val="00F720D3"/>
    <w:rsid w:val="00F764CF"/>
    <w:rsid w:val="00F807F5"/>
    <w:rsid w:val="00F80DDE"/>
    <w:rsid w:val="00F82655"/>
    <w:rsid w:val="00F90F35"/>
    <w:rsid w:val="00F92499"/>
    <w:rsid w:val="00F94185"/>
    <w:rsid w:val="00F9691D"/>
    <w:rsid w:val="00FA13A0"/>
    <w:rsid w:val="00FA1DE2"/>
    <w:rsid w:val="00FA3A37"/>
    <w:rsid w:val="00FA4ADF"/>
    <w:rsid w:val="00FC4F46"/>
    <w:rsid w:val="00FC74C1"/>
    <w:rsid w:val="00FD1EC0"/>
    <w:rsid w:val="00FE1255"/>
    <w:rsid w:val="00FE1ED5"/>
    <w:rsid w:val="00FE241E"/>
    <w:rsid w:val="00FE2789"/>
    <w:rsid w:val="00FF31EB"/>
    <w:rsid w:val="00FF7D73"/>
    <w:rsid w:val="1F26134E"/>
    <w:rsid w:val="63F241C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1"/>
    </o:shapelayout>
  </w:shapeDefaults>
  <w:decimalSymbol w:val=","/>
  <w:listSeparator w:val=";"/>
  <w14:docId w14:val="0FD0CF9A"/>
  <w15:chartTrackingRefBased/>
  <w15:docId w15:val="{013C613D-C564-FA4B-AE46-F10EBE18AA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BF5B98"/>
    <w:pPr>
      <w:spacing w:after="0" w:line="240" w:lineRule="auto"/>
      <w:jc w:val="both"/>
    </w:pPr>
    <w:rPr>
      <w:rFonts w:ascii="Times New Roman" w:hAnsi="Times New Roman"/>
      <w:sz w:val="24"/>
    </w:rPr>
  </w:style>
  <w:style w:type="paragraph" w:styleId="Nadpis1">
    <w:name w:val="heading 1"/>
    <w:aliases w:val="A Nadpis 1"/>
    <w:basedOn w:val="Normln"/>
    <w:next w:val="Normln"/>
    <w:link w:val="Nadpis1Char"/>
    <w:uiPriority w:val="9"/>
    <w:qFormat/>
    <w:rsid w:val="006B29E1"/>
    <w:pPr>
      <w:keepNext/>
      <w:keepLines/>
      <w:numPr>
        <w:numId w:val="26"/>
      </w:numPr>
      <w:spacing w:before="120" w:after="120"/>
      <w:outlineLvl w:val="0"/>
    </w:pPr>
    <w:rPr>
      <w:rFonts w:eastAsiaTheme="majorEastAsia" w:cs="Times New Roman"/>
      <w:b/>
      <w:bCs/>
      <w:sz w:val="28"/>
      <w:szCs w:val="32"/>
      <w:lang w:val="cs-CZ"/>
    </w:rPr>
  </w:style>
  <w:style w:type="paragraph" w:styleId="Nadpis2">
    <w:name w:val="heading 2"/>
    <w:aliases w:val="A Nadpis 2"/>
    <w:basedOn w:val="Normln"/>
    <w:next w:val="Normln"/>
    <w:link w:val="Nadpis2Char"/>
    <w:uiPriority w:val="9"/>
    <w:unhideWhenUsed/>
    <w:qFormat/>
    <w:rsid w:val="00CF7919"/>
    <w:pPr>
      <w:keepNext/>
      <w:keepLines/>
      <w:numPr>
        <w:ilvl w:val="1"/>
        <w:numId w:val="26"/>
      </w:numPr>
      <w:spacing w:before="120" w:after="120"/>
      <w:outlineLvl w:val="1"/>
    </w:pPr>
    <w:rPr>
      <w:rFonts w:eastAsiaTheme="majorEastAsia" w:cs="Times New Roman"/>
      <w:b/>
      <w:bCs/>
      <w:sz w:val="26"/>
      <w:szCs w:val="28"/>
      <w:lang w:val="cs-CZ"/>
    </w:rPr>
  </w:style>
  <w:style w:type="paragraph" w:styleId="Nadpis3">
    <w:name w:val="heading 3"/>
    <w:aliases w:val="A Nadpis 3"/>
    <w:basedOn w:val="Normln"/>
    <w:next w:val="Normln"/>
    <w:link w:val="Nadpis3Char"/>
    <w:uiPriority w:val="9"/>
    <w:unhideWhenUsed/>
    <w:qFormat/>
    <w:rsid w:val="00CF7919"/>
    <w:pPr>
      <w:keepNext/>
      <w:keepLines/>
      <w:numPr>
        <w:ilvl w:val="2"/>
        <w:numId w:val="26"/>
      </w:numPr>
      <w:spacing w:before="120" w:after="120"/>
      <w:outlineLvl w:val="2"/>
    </w:pPr>
    <w:rPr>
      <w:rFonts w:eastAsiaTheme="majorEastAsia" w:cstheme="majorBidi"/>
      <w:b/>
      <w:bCs/>
      <w:szCs w:val="26"/>
    </w:rPr>
  </w:style>
  <w:style w:type="paragraph" w:styleId="Nadpis4">
    <w:name w:val="heading 4"/>
    <w:basedOn w:val="Normln"/>
    <w:next w:val="Normln"/>
    <w:link w:val="Nadpis4Char"/>
    <w:uiPriority w:val="9"/>
    <w:unhideWhenUsed/>
    <w:qFormat/>
    <w:rsid w:val="00CF7919"/>
    <w:pPr>
      <w:keepNext/>
      <w:keepLines/>
      <w:numPr>
        <w:ilvl w:val="3"/>
        <w:numId w:val="26"/>
      </w:numPr>
      <w:spacing w:before="40"/>
      <w:outlineLvl w:val="3"/>
    </w:pPr>
    <w:rPr>
      <w:rFonts w:asciiTheme="majorHAnsi" w:eastAsiaTheme="majorEastAsia" w:hAnsiTheme="majorHAnsi" w:cstheme="majorBidi"/>
      <w:i/>
      <w:iCs/>
      <w:color w:val="2F5496" w:themeColor="accent1" w:themeShade="BF"/>
    </w:rPr>
  </w:style>
  <w:style w:type="paragraph" w:styleId="Nadpis5">
    <w:name w:val="heading 5"/>
    <w:basedOn w:val="Normln"/>
    <w:next w:val="Normln"/>
    <w:link w:val="Nadpis5Char"/>
    <w:unhideWhenUsed/>
    <w:qFormat/>
    <w:rsid w:val="00CF7919"/>
    <w:pPr>
      <w:keepNext/>
      <w:keepLines/>
      <w:numPr>
        <w:ilvl w:val="4"/>
        <w:numId w:val="26"/>
      </w:numPr>
      <w:spacing w:before="40" w:after="120" w:line="276" w:lineRule="auto"/>
      <w:outlineLvl w:val="4"/>
    </w:pPr>
    <w:rPr>
      <w:rFonts w:ascii="Arial" w:eastAsiaTheme="majorEastAsia" w:hAnsi="Arial" w:cstheme="majorBidi"/>
      <w:sz w:val="28"/>
      <w:szCs w:val="24"/>
      <w:lang w:val="cs-CZ"/>
    </w:rPr>
  </w:style>
  <w:style w:type="paragraph" w:styleId="Nadpis6">
    <w:name w:val="heading 6"/>
    <w:basedOn w:val="Normln"/>
    <w:next w:val="Normln"/>
    <w:link w:val="Nadpis6Char"/>
    <w:uiPriority w:val="9"/>
    <w:semiHidden/>
    <w:unhideWhenUsed/>
    <w:qFormat/>
    <w:rsid w:val="00CF7919"/>
    <w:pPr>
      <w:keepNext/>
      <w:keepLines/>
      <w:numPr>
        <w:ilvl w:val="5"/>
        <w:numId w:val="26"/>
      </w:numPr>
      <w:spacing w:before="40"/>
      <w:outlineLvl w:val="5"/>
    </w:pPr>
    <w:rPr>
      <w:rFonts w:eastAsiaTheme="majorEastAsia" w:cstheme="majorBidi"/>
      <w:b/>
      <w:i/>
      <w:color w:val="385623" w:themeColor="accent6" w:themeShade="80"/>
    </w:rPr>
  </w:style>
  <w:style w:type="paragraph" w:styleId="Nadpis7">
    <w:name w:val="heading 7"/>
    <w:basedOn w:val="Normln"/>
    <w:next w:val="Normln"/>
    <w:link w:val="Nadpis7Char"/>
    <w:unhideWhenUsed/>
    <w:qFormat/>
    <w:rsid w:val="00CF7919"/>
    <w:pPr>
      <w:keepNext/>
      <w:keepLines/>
      <w:numPr>
        <w:ilvl w:val="6"/>
        <w:numId w:val="26"/>
      </w:numPr>
      <w:spacing w:before="240" w:after="120" w:line="276" w:lineRule="auto"/>
      <w:jc w:val="center"/>
      <w:outlineLvl w:val="6"/>
    </w:pPr>
    <w:rPr>
      <w:rFonts w:eastAsiaTheme="majorEastAsia" w:cstheme="majorBidi"/>
      <w:i/>
      <w:iCs/>
      <w:color w:val="525252" w:themeColor="accent3" w:themeShade="80"/>
      <w:szCs w:val="24"/>
      <w:lang w:val="cs-CZ"/>
    </w:rPr>
  </w:style>
  <w:style w:type="paragraph" w:styleId="Nadpis8">
    <w:name w:val="heading 8"/>
    <w:basedOn w:val="Normln"/>
    <w:next w:val="Normln"/>
    <w:link w:val="Nadpis8Char"/>
    <w:uiPriority w:val="9"/>
    <w:semiHidden/>
    <w:unhideWhenUsed/>
    <w:qFormat/>
    <w:rsid w:val="00CF7919"/>
    <w:pPr>
      <w:keepNext/>
      <w:keepLines/>
      <w:numPr>
        <w:ilvl w:val="7"/>
        <w:numId w:val="26"/>
      </w:numPr>
      <w:spacing w:before="4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semiHidden/>
    <w:unhideWhenUsed/>
    <w:qFormat/>
    <w:rsid w:val="00CF7919"/>
    <w:pPr>
      <w:keepNext/>
      <w:keepLines/>
      <w:numPr>
        <w:ilvl w:val="8"/>
        <w:numId w:val="26"/>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ormaltextrun">
    <w:name w:val="normaltextrun"/>
    <w:basedOn w:val="Standardnpsmoodstavce"/>
    <w:rsid w:val="00B87E14"/>
  </w:style>
  <w:style w:type="paragraph" w:styleId="Textbubliny">
    <w:name w:val="Balloon Text"/>
    <w:basedOn w:val="Normln"/>
    <w:link w:val="TextbublinyChar"/>
    <w:uiPriority w:val="99"/>
    <w:semiHidden/>
    <w:unhideWhenUsed/>
    <w:rsid w:val="00B87E14"/>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B87E14"/>
    <w:rPr>
      <w:rFonts w:ascii="Segoe UI" w:hAnsi="Segoe UI" w:cs="Segoe UI"/>
      <w:sz w:val="18"/>
      <w:szCs w:val="18"/>
    </w:rPr>
  </w:style>
  <w:style w:type="character" w:customStyle="1" w:styleId="Nadpis5Char">
    <w:name w:val="Nadpis 5 Char"/>
    <w:basedOn w:val="Standardnpsmoodstavce"/>
    <w:link w:val="Nadpis5"/>
    <w:rsid w:val="00B87E14"/>
    <w:rPr>
      <w:rFonts w:ascii="Arial" w:eastAsiaTheme="majorEastAsia" w:hAnsi="Arial" w:cstheme="majorBidi"/>
      <w:sz w:val="28"/>
      <w:szCs w:val="24"/>
      <w:lang w:val="cs-CZ"/>
    </w:rPr>
  </w:style>
  <w:style w:type="character" w:customStyle="1" w:styleId="Nadpis7Char">
    <w:name w:val="Nadpis 7 Char"/>
    <w:basedOn w:val="Standardnpsmoodstavce"/>
    <w:link w:val="Nadpis7"/>
    <w:rsid w:val="00B87E14"/>
    <w:rPr>
      <w:rFonts w:ascii="Times New Roman" w:eastAsiaTheme="majorEastAsia" w:hAnsi="Times New Roman" w:cstheme="majorBidi"/>
      <w:i/>
      <w:iCs/>
      <w:color w:val="525252" w:themeColor="accent3" w:themeShade="80"/>
      <w:sz w:val="24"/>
      <w:szCs w:val="24"/>
      <w:lang w:val="cs-CZ"/>
    </w:rPr>
  </w:style>
  <w:style w:type="paragraph" w:styleId="Odstavecseseznamem">
    <w:name w:val="List Paragraph"/>
    <w:aliases w:val="List Paragraph compact,Normal bullet 2,Paragraphe de liste 2,Reference list,Bullet list,Numbered List,List Paragraph1,1st level - Bullet List Paragraph,Lettre d'introduction,Paragraph,Bullet EY,List Paragraph11,Normal bullet 21,Nad"/>
    <w:basedOn w:val="Normln"/>
    <w:link w:val="OdstavecseseznamemChar"/>
    <w:uiPriority w:val="34"/>
    <w:qFormat/>
    <w:rsid w:val="00164CBE"/>
    <w:pPr>
      <w:spacing w:line="276" w:lineRule="auto"/>
      <w:ind w:left="720"/>
      <w:contextualSpacing/>
    </w:pPr>
    <w:rPr>
      <w:rFonts w:eastAsia="Calibri" w:cs="Times New Roman"/>
      <w:szCs w:val="24"/>
      <w:lang w:val="cs-CZ"/>
    </w:rPr>
  </w:style>
  <w:style w:type="paragraph" w:styleId="Textpoznpodarou">
    <w:name w:val="footnote text"/>
    <w:aliases w:val="Char1,Schriftart: 9 pt,Schriftart: 10 pt,Schriftart: 8 pt,Text poznámky pod čiarou 007,Footnote,Fußnotentextf,Geneva 9,Font: Geneva 9,Boston 10,f,pozn. pod čarou,Text pozn. pod čarou1,Char Char Char1,Footnote Text Char1,o, Char1,fn"/>
    <w:basedOn w:val="Normln"/>
    <w:link w:val="TextpoznpodarouChar"/>
    <w:uiPriority w:val="99"/>
    <w:qFormat/>
    <w:rsid w:val="00B87E14"/>
    <w:rPr>
      <w:rFonts w:eastAsia="Calibri" w:cs="Times New Roman"/>
      <w:sz w:val="20"/>
      <w:szCs w:val="20"/>
      <w:lang w:val="cs-CZ"/>
    </w:rPr>
  </w:style>
  <w:style w:type="character" w:customStyle="1" w:styleId="TextpoznpodarouChar">
    <w:name w:val="Text pozn. pod čarou Char"/>
    <w:aliases w:val="Char1 Char,Schriftart: 9 pt Char,Schriftart: 10 pt Char,Schriftart: 8 pt Char,Text poznámky pod čiarou 007 Char,Footnote Char,Fußnotentextf Char,Geneva 9 Char,Font: Geneva 9 Char,Boston 10 Char,f Char,pozn. pod čarou Char"/>
    <w:basedOn w:val="Standardnpsmoodstavce"/>
    <w:link w:val="Textpoznpodarou"/>
    <w:uiPriority w:val="99"/>
    <w:qFormat/>
    <w:rsid w:val="00B87E14"/>
    <w:rPr>
      <w:rFonts w:ascii="Times New Roman" w:eastAsia="Calibri" w:hAnsi="Times New Roman" w:cs="Times New Roman"/>
      <w:sz w:val="20"/>
      <w:szCs w:val="20"/>
      <w:lang w:val="cs-CZ"/>
    </w:rPr>
  </w:style>
  <w:style w:type="character" w:styleId="Znakapoznpodarou">
    <w:name w:val="footnote reference"/>
    <w:aliases w:val="PGI Fußnote Ziffer,BVI fnr,Footnote symbol,Footnote Reference Superscript,Appel note de bas de p,Appel note de bas de page,Légende,Char Car Car Car Car,Voetnootverwijzing,Légende;Char Car Car Car Car,Légende.Char Car Car Car Car"/>
    <w:basedOn w:val="Standardnpsmoodstavce"/>
    <w:qFormat/>
    <w:rsid w:val="00B87E14"/>
    <w:rPr>
      <w:rFonts w:cs="Times New Roman"/>
      <w:vertAlign w:val="superscript"/>
    </w:rPr>
  </w:style>
  <w:style w:type="character" w:styleId="Odkaznakoment">
    <w:name w:val="annotation reference"/>
    <w:basedOn w:val="Standardnpsmoodstavce"/>
    <w:uiPriority w:val="99"/>
    <w:unhideWhenUsed/>
    <w:rsid w:val="00B87E14"/>
    <w:rPr>
      <w:sz w:val="16"/>
      <w:szCs w:val="16"/>
    </w:rPr>
  </w:style>
  <w:style w:type="paragraph" w:styleId="Textkomente">
    <w:name w:val="annotation text"/>
    <w:basedOn w:val="Normln"/>
    <w:link w:val="TextkomenteChar"/>
    <w:uiPriority w:val="99"/>
    <w:unhideWhenUsed/>
    <w:rsid w:val="00B87E14"/>
    <w:pPr>
      <w:spacing w:after="120"/>
    </w:pPr>
    <w:rPr>
      <w:rFonts w:eastAsia="Calibri" w:cs="Times New Roman"/>
      <w:sz w:val="20"/>
      <w:szCs w:val="20"/>
      <w:lang w:val="cs-CZ"/>
    </w:rPr>
  </w:style>
  <w:style w:type="character" w:customStyle="1" w:styleId="TextkomenteChar">
    <w:name w:val="Text komentáře Char"/>
    <w:basedOn w:val="Standardnpsmoodstavce"/>
    <w:link w:val="Textkomente"/>
    <w:uiPriority w:val="99"/>
    <w:rsid w:val="00B87E14"/>
    <w:rPr>
      <w:rFonts w:ascii="Times New Roman" w:eastAsia="Calibri" w:hAnsi="Times New Roman" w:cs="Times New Roman"/>
      <w:sz w:val="20"/>
      <w:szCs w:val="20"/>
      <w:lang w:val="cs-CZ"/>
    </w:rPr>
  </w:style>
  <w:style w:type="paragraph" w:customStyle="1" w:styleId="ManualNumPar1">
    <w:name w:val="Manual NumPar 1"/>
    <w:basedOn w:val="Normln"/>
    <w:next w:val="Normln"/>
    <w:rsid w:val="00B87E14"/>
    <w:pPr>
      <w:spacing w:before="120" w:after="120"/>
      <w:ind w:left="850" w:hanging="850"/>
    </w:pPr>
    <w:rPr>
      <w:rFonts w:cs="Times New Roman"/>
      <w:lang w:val="cs-CZ"/>
    </w:rPr>
  </w:style>
  <w:style w:type="paragraph" w:customStyle="1" w:styleId="Titrearticle">
    <w:name w:val="Titre article"/>
    <w:basedOn w:val="Normln"/>
    <w:next w:val="Normln"/>
    <w:rsid w:val="00B87E14"/>
    <w:pPr>
      <w:keepNext/>
      <w:spacing w:before="360" w:after="120"/>
      <w:jc w:val="center"/>
    </w:pPr>
    <w:rPr>
      <w:rFonts w:cs="Times New Roman"/>
      <w:i/>
      <w:lang w:val="cs-CZ"/>
    </w:rPr>
  </w:style>
  <w:style w:type="paragraph" w:customStyle="1" w:styleId="Point1">
    <w:name w:val="Point 1"/>
    <w:basedOn w:val="Normln"/>
    <w:rsid w:val="00B87E14"/>
    <w:pPr>
      <w:spacing w:before="120" w:after="120"/>
      <w:ind w:left="1417" w:hanging="567"/>
    </w:pPr>
    <w:rPr>
      <w:rFonts w:cs="Times New Roman"/>
      <w:lang w:val="cs-CZ"/>
    </w:rPr>
  </w:style>
  <w:style w:type="paragraph" w:customStyle="1" w:styleId="ManualConsidrant">
    <w:name w:val="Manual Considérant"/>
    <w:basedOn w:val="Normln"/>
    <w:rsid w:val="00B87E14"/>
    <w:pPr>
      <w:spacing w:before="120" w:after="120"/>
      <w:ind w:left="709" w:hanging="709"/>
    </w:pPr>
    <w:rPr>
      <w:rFonts w:cs="Times New Roman"/>
      <w:lang w:val="cs-CZ"/>
    </w:rPr>
  </w:style>
  <w:style w:type="paragraph" w:customStyle="1" w:styleId="Point2">
    <w:name w:val="Point 2"/>
    <w:basedOn w:val="Normln"/>
    <w:rsid w:val="00B87E14"/>
    <w:pPr>
      <w:spacing w:before="120" w:after="120"/>
      <w:ind w:left="1984" w:hanging="567"/>
    </w:pPr>
    <w:rPr>
      <w:rFonts w:cs="Times New Roman"/>
      <w:lang w:val="cs-CZ"/>
    </w:rPr>
  </w:style>
  <w:style w:type="paragraph" w:customStyle="1" w:styleId="Text1">
    <w:name w:val="Text 1"/>
    <w:basedOn w:val="Normln"/>
    <w:rsid w:val="00B87E14"/>
    <w:pPr>
      <w:spacing w:before="120" w:after="120"/>
      <w:ind w:left="850"/>
    </w:pPr>
    <w:rPr>
      <w:rFonts w:cs="Times New Roman"/>
      <w:szCs w:val="24"/>
    </w:rPr>
  </w:style>
  <w:style w:type="character" w:styleId="Siln">
    <w:name w:val="Strong"/>
    <w:basedOn w:val="Standardnpsmoodstavce"/>
    <w:uiPriority w:val="22"/>
    <w:qFormat/>
    <w:rsid w:val="00B87E14"/>
    <w:rPr>
      <w:b/>
      <w:bCs/>
    </w:rPr>
  </w:style>
  <w:style w:type="character" w:customStyle="1" w:styleId="OdstavecseseznamemChar">
    <w:name w:val="Odstavec se seznamem Char"/>
    <w:aliases w:val="List Paragraph compact Char,Normal bullet 2 Char,Paragraphe de liste 2 Char,Reference list Char,Bullet list Char,Numbered List Char,List Paragraph1 Char,1st level - Bullet List Paragraph Char,Lettre d'introduction Char,Nad Char"/>
    <w:link w:val="Odstavecseseznamem"/>
    <w:uiPriority w:val="34"/>
    <w:qFormat/>
    <w:locked/>
    <w:rsid w:val="00164CBE"/>
    <w:rPr>
      <w:rFonts w:ascii="Times New Roman" w:eastAsia="Calibri" w:hAnsi="Times New Roman" w:cs="Times New Roman"/>
      <w:sz w:val="24"/>
      <w:szCs w:val="24"/>
      <w:lang w:val="cs-CZ"/>
    </w:rPr>
  </w:style>
  <w:style w:type="paragraph" w:styleId="Zhlav">
    <w:name w:val="header"/>
    <w:basedOn w:val="Normln"/>
    <w:link w:val="ZhlavChar"/>
    <w:uiPriority w:val="99"/>
    <w:unhideWhenUsed/>
    <w:rsid w:val="00B87E14"/>
    <w:pPr>
      <w:tabs>
        <w:tab w:val="center" w:pos="4513"/>
        <w:tab w:val="right" w:pos="9026"/>
      </w:tabs>
    </w:pPr>
  </w:style>
  <w:style w:type="character" w:customStyle="1" w:styleId="ZhlavChar">
    <w:name w:val="Záhlaví Char"/>
    <w:basedOn w:val="Standardnpsmoodstavce"/>
    <w:link w:val="Zhlav"/>
    <w:uiPriority w:val="99"/>
    <w:rsid w:val="00B87E14"/>
    <w:rPr>
      <w:rFonts w:ascii="Times New Roman" w:hAnsi="Times New Roman"/>
      <w:sz w:val="24"/>
    </w:rPr>
  </w:style>
  <w:style w:type="paragraph" w:styleId="Zpat">
    <w:name w:val="footer"/>
    <w:basedOn w:val="Normln"/>
    <w:link w:val="ZpatChar"/>
    <w:uiPriority w:val="99"/>
    <w:unhideWhenUsed/>
    <w:rsid w:val="00B87E14"/>
    <w:pPr>
      <w:tabs>
        <w:tab w:val="center" w:pos="4513"/>
        <w:tab w:val="right" w:pos="9026"/>
      </w:tabs>
    </w:pPr>
  </w:style>
  <w:style w:type="character" w:customStyle="1" w:styleId="ZpatChar">
    <w:name w:val="Zápatí Char"/>
    <w:basedOn w:val="Standardnpsmoodstavce"/>
    <w:link w:val="Zpat"/>
    <w:uiPriority w:val="99"/>
    <w:rsid w:val="00B87E14"/>
    <w:rPr>
      <w:rFonts w:ascii="Times New Roman" w:hAnsi="Times New Roman"/>
      <w:sz w:val="24"/>
    </w:rPr>
  </w:style>
  <w:style w:type="character" w:customStyle="1" w:styleId="Nadpis1Char">
    <w:name w:val="Nadpis 1 Char"/>
    <w:aliases w:val="A Nadpis 1 Char"/>
    <w:basedOn w:val="Standardnpsmoodstavce"/>
    <w:link w:val="Nadpis1"/>
    <w:uiPriority w:val="9"/>
    <w:rsid w:val="006B29E1"/>
    <w:rPr>
      <w:rFonts w:ascii="Times New Roman" w:eastAsiaTheme="majorEastAsia" w:hAnsi="Times New Roman" w:cs="Times New Roman"/>
      <w:b/>
      <w:bCs/>
      <w:sz w:val="28"/>
      <w:szCs w:val="32"/>
      <w:lang w:val="cs-CZ"/>
    </w:rPr>
  </w:style>
  <w:style w:type="character" w:customStyle="1" w:styleId="Nadpis2Char">
    <w:name w:val="Nadpis 2 Char"/>
    <w:aliases w:val="A Nadpis 2 Char"/>
    <w:basedOn w:val="Standardnpsmoodstavce"/>
    <w:link w:val="Nadpis2"/>
    <w:uiPriority w:val="9"/>
    <w:rsid w:val="00A139F2"/>
    <w:rPr>
      <w:rFonts w:ascii="Times New Roman" w:eastAsiaTheme="majorEastAsia" w:hAnsi="Times New Roman" w:cs="Times New Roman"/>
      <w:b/>
      <w:bCs/>
      <w:sz w:val="26"/>
      <w:szCs w:val="28"/>
      <w:lang w:val="cs-CZ"/>
    </w:rPr>
  </w:style>
  <w:style w:type="character" w:customStyle="1" w:styleId="Nadpis3Char">
    <w:name w:val="Nadpis 3 Char"/>
    <w:aliases w:val="A Nadpis 3 Char"/>
    <w:basedOn w:val="Standardnpsmoodstavce"/>
    <w:link w:val="Nadpis3"/>
    <w:uiPriority w:val="9"/>
    <w:rsid w:val="00A139F2"/>
    <w:rPr>
      <w:rFonts w:ascii="Times New Roman" w:eastAsiaTheme="majorEastAsia" w:hAnsi="Times New Roman" w:cstheme="majorBidi"/>
      <w:b/>
      <w:bCs/>
      <w:sz w:val="24"/>
      <w:szCs w:val="26"/>
    </w:rPr>
  </w:style>
  <w:style w:type="paragraph" w:styleId="Nadpisobsahu">
    <w:name w:val="TOC Heading"/>
    <w:basedOn w:val="Nadpis1"/>
    <w:next w:val="Normln"/>
    <w:uiPriority w:val="39"/>
    <w:unhideWhenUsed/>
    <w:qFormat/>
    <w:rsid w:val="0000288B"/>
    <w:pPr>
      <w:spacing w:line="259" w:lineRule="auto"/>
      <w:jc w:val="left"/>
      <w:outlineLvl w:val="9"/>
    </w:pPr>
    <w:rPr>
      <w:rFonts w:asciiTheme="majorHAnsi" w:hAnsiTheme="majorHAnsi" w:cstheme="majorBidi"/>
      <w:b w:val="0"/>
      <w:bCs w:val="0"/>
      <w:color w:val="2F5496" w:themeColor="accent1" w:themeShade="BF"/>
      <w:lang w:eastAsia="cs-CZ"/>
    </w:rPr>
  </w:style>
  <w:style w:type="paragraph" w:styleId="Obsah1">
    <w:name w:val="toc 1"/>
    <w:basedOn w:val="Normln"/>
    <w:next w:val="Normln"/>
    <w:autoRedefine/>
    <w:uiPriority w:val="39"/>
    <w:unhideWhenUsed/>
    <w:rsid w:val="00933812"/>
    <w:pPr>
      <w:tabs>
        <w:tab w:val="right" w:leader="dot" w:pos="9061"/>
      </w:tabs>
      <w:spacing w:before="120" w:after="120"/>
      <w:jc w:val="left"/>
    </w:pPr>
    <w:rPr>
      <w:b/>
      <w:bCs/>
      <w:caps/>
      <w:sz w:val="20"/>
      <w:szCs w:val="20"/>
    </w:rPr>
  </w:style>
  <w:style w:type="paragraph" w:styleId="Obsah3">
    <w:name w:val="toc 3"/>
    <w:basedOn w:val="Normln"/>
    <w:next w:val="Normln"/>
    <w:autoRedefine/>
    <w:uiPriority w:val="39"/>
    <w:unhideWhenUsed/>
    <w:rsid w:val="00EC5EF3"/>
    <w:pPr>
      <w:ind w:left="480"/>
      <w:jc w:val="left"/>
    </w:pPr>
    <w:rPr>
      <w:iCs/>
      <w:sz w:val="20"/>
      <w:szCs w:val="20"/>
    </w:rPr>
  </w:style>
  <w:style w:type="character" w:styleId="Hypertextovodkaz">
    <w:name w:val="Hyperlink"/>
    <w:basedOn w:val="Standardnpsmoodstavce"/>
    <w:uiPriority w:val="99"/>
    <w:unhideWhenUsed/>
    <w:rsid w:val="0000288B"/>
    <w:rPr>
      <w:color w:val="0563C1" w:themeColor="hyperlink"/>
      <w:u w:val="single"/>
    </w:rPr>
  </w:style>
  <w:style w:type="character" w:customStyle="1" w:styleId="Nadpis6Char">
    <w:name w:val="Nadpis 6 Char"/>
    <w:basedOn w:val="Standardnpsmoodstavce"/>
    <w:link w:val="Nadpis6"/>
    <w:uiPriority w:val="9"/>
    <w:semiHidden/>
    <w:rsid w:val="00034B70"/>
    <w:rPr>
      <w:rFonts w:ascii="Times New Roman" w:eastAsiaTheme="majorEastAsia" w:hAnsi="Times New Roman" w:cstheme="majorBidi"/>
      <w:b/>
      <w:i/>
      <w:color w:val="385623" w:themeColor="accent6" w:themeShade="80"/>
      <w:sz w:val="24"/>
    </w:rPr>
  </w:style>
  <w:style w:type="paragraph" w:styleId="Titulek">
    <w:name w:val="caption"/>
    <w:basedOn w:val="Normln"/>
    <w:next w:val="Normln"/>
    <w:uiPriority w:val="35"/>
    <w:qFormat/>
    <w:rsid w:val="0000288B"/>
    <w:pPr>
      <w:keepNext/>
      <w:spacing w:after="120"/>
    </w:pPr>
    <w:rPr>
      <w:rFonts w:eastAsia="Calibri" w:cs="Times New Roman"/>
      <w:b/>
      <w:bCs/>
      <w:szCs w:val="20"/>
      <w:lang w:val="cs-CZ"/>
    </w:rPr>
  </w:style>
  <w:style w:type="paragraph" w:customStyle="1" w:styleId="Zdroj">
    <w:name w:val="Zdroj"/>
    <w:basedOn w:val="Normln"/>
    <w:qFormat/>
    <w:rsid w:val="0000288B"/>
    <w:pPr>
      <w:spacing w:after="120"/>
    </w:pPr>
    <w:rPr>
      <w:rFonts w:eastAsia="Calibri" w:cs="Times New Roman"/>
      <w:i/>
      <w:iCs/>
      <w:sz w:val="20"/>
      <w:szCs w:val="24"/>
      <w:lang w:val="cs-CZ"/>
    </w:rPr>
  </w:style>
  <w:style w:type="table" w:styleId="Tmavtabulkasmkou5zvraznn3">
    <w:name w:val="Grid Table 5 Dark Accent 3"/>
    <w:basedOn w:val="Normlntabulka"/>
    <w:uiPriority w:val="50"/>
    <w:rsid w:val="0000288B"/>
    <w:pPr>
      <w:spacing w:after="0" w:line="240" w:lineRule="auto"/>
    </w:pPr>
    <w:rPr>
      <w:rFonts w:ascii="Calibri" w:eastAsia="Calibri" w:hAnsi="Calibri" w:cs="Times New Roman"/>
      <w:lang w:val="cs-CZ" w:eastAsia="cs-CZ"/>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customStyle="1" w:styleId="Default">
    <w:name w:val="Default"/>
    <w:rsid w:val="0000288B"/>
    <w:pPr>
      <w:autoSpaceDE w:val="0"/>
      <w:autoSpaceDN w:val="0"/>
      <w:adjustRightInd w:val="0"/>
      <w:spacing w:after="0" w:line="240" w:lineRule="auto"/>
    </w:pPr>
    <w:rPr>
      <w:rFonts w:ascii="Times New Roman" w:eastAsiaTheme="minorEastAsia" w:hAnsi="Times New Roman" w:cs="Times New Roman"/>
      <w:color w:val="000000"/>
      <w:sz w:val="24"/>
      <w:szCs w:val="24"/>
      <w:lang w:val="cs-CZ"/>
    </w:rPr>
  </w:style>
  <w:style w:type="paragraph" w:styleId="Obsah2">
    <w:name w:val="toc 2"/>
    <w:basedOn w:val="Normln"/>
    <w:next w:val="Normln"/>
    <w:autoRedefine/>
    <w:uiPriority w:val="39"/>
    <w:unhideWhenUsed/>
    <w:rsid w:val="00EC5EF3"/>
    <w:pPr>
      <w:tabs>
        <w:tab w:val="left" w:pos="1440"/>
        <w:tab w:val="right" w:leader="dot" w:pos="9061"/>
      </w:tabs>
      <w:ind w:left="240"/>
      <w:jc w:val="left"/>
    </w:pPr>
    <w:rPr>
      <w:smallCaps/>
      <w:sz w:val="20"/>
      <w:szCs w:val="20"/>
    </w:rPr>
  </w:style>
  <w:style w:type="paragraph" w:styleId="Pedmtkomente">
    <w:name w:val="annotation subject"/>
    <w:basedOn w:val="Textkomente"/>
    <w:next w:val="Textkomente"/>
    <w:link w:val="PedmtkomenteChar"/>
    <w:uiPriority w:val="99"/>
    <w:semiHidden/>
    <w:unhideWhenUsed/>
    <w:rsid w:val="00CF4AEF"/>
    <w:pPr>
      <w:spacing w:after="0"/>
    </w:pPr>
    <w:rPr>
      <w:rFonts w:eastAsiaTheme="minorHAnsi" w:cstheme="minorBidi"/>
      <w:b/>
      <w:bCs/>
      <w:lang w:val="en-GB"/>
    </w:rPr>
  </w:style>
  <w:style w:type="character" w:customStyle="1" w:styleId="PedmtkomenteChar">
    <w:name w:val="Předmět komentáře Char"/>
    <w:basedOn w:val="TextkomenteChar"/>
    <w:link w:val="Pedmtkomente"/>
    <w:uiPriority w:val="99"/>
    <w:semiHidden/>
    <w:rsid w:val="00CF4AEF"/>
    <w:rPr>
      <w:rFonts w:ascii="Times New Roman" w:eastAsia="Calibri" w:hAnsi="Times New Roman" w:cs="Times New Roman"/>
      <w:b/>
      <w:bCs/>
      <w:sz w:val="20"/>
      <w:szCs w:val="20"/>
      <w:lang w:val="cs-CZ"/>
    </w:rPr>
  </w:style>
  <w:style w:type="character" w:customStyle="1" w:styleId="shorttext">
    <w:name w:val="short_text"/>
    <w:basedOn w:val="Standardnpsmoodstavce"/>
    <w:rsid w:val="00130FD1"/>
  </w:style>
  <w:style w:type="character" w:styleId="PromnnHTML">
    <w:name w:val="HTML Variable"/>
    <w:basedOn w:val="Standardnpsmoodstavce"/>
    <w:uiPriority w:val="99"/>
    <w:semiHidden/>
    <w:unhideWhenUsed/>
    <w:rsid w:val="00130FD1"/>
    <w:rPr>
      <w:i/>
      <w:iCs/>
    </w:rPr>
  </w:style>
  <w:style w:type="paragraph" w:customStyle="1" w:styleId="TabPramZprac">
    <w:name w:val="TabPramZprac"/>
    <w:basedOn w:val="Normln"/>
    <w:next w:val="Normln"/>
    <w:link w:val="TabPramZpracChar"/>
    <w:rsid w:val="00130FD1"/>
    <w:pPr>
      <w:keepNext/>
      <w:ind w:left="851" w:hanging="851"/>
    </w:pPr>
    <w:rPr>
      <w:rFonts w:ascii="Arial" w:eastAsia="Times New Roman" w:hAnsi="Arial" w:cs="Arial"/>
      <w:i/>
      <w:iCs/>
      <w:sz w:val="16"/>
      <w:szCs w:val="15"/>
      <w:lang w:val="x-none" w:eastAsia="x-none"/>
    </w:rPr>
  </w:style>
  <w:style w:type="character" w:customStyle="1" w:styleId="TabPramZpracChar">
    <w:name w:val="TabPramZprac Char"/>
    <w:link w:val="TabPramZprac"/>
    <w:rsid w:val="00130FD1"/>
    <w:rPr>
      <w:rFonts w:ascii="Arial" w:eastAsia="Times New Roman" w:hAnsi="Arial" w:cs="Arial"/>
      <w:i/>
      <w:iCs/>
      <w:sz w:val="16"/>
      <w:szCs w:val="15"/>
      <w:lang w:val="x-none" w:eastAsia="x-none"/>
    </w:rPr>
  </w:style>
  <w:style w:type="character" w:customStyle="1" w:styleId="Nadpis4Char">
    <w:name w:val="Nadpis 4 Char"/>
    <w:basedOn w:val="Standardnpsmoodstavce"/>
    <w:link w:val="Nadpis4"/>
    <w:uiPriority w:val="9"/>
    <w:rsid w:val="006752D6"/>
    <w:rPr>
      <w:rFonts w:asciiTheme="majorHAnsi" w:eastAsiaTheme="majorEastAsia" w:hAnsiTheme="majorHAnsi" w:cstheme="majorBidi"/>
      <w:i/>
      <w:iCs/>
      <w:color w:val="2F5496" w:themeColor="accent1" w:themeShade="BF"/>
      <w:sz w:val="24"/>
    </w:rPr>
  </w:style>
  <w:style w:type="character" w:customStyle="1" w:styleId="Nadpis8Char">
    <w:name w:val="Nadpis 8 Char"/>
    <w:basedOn w:val="Standardnpsmoodstavce"/>
    <w:link w:val="Nadpis8"/>
    <w:uiPriority w:val="9"/>
    <w:semiHidden/>
    <w:rsid w:val="006752D6"/>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Standardnpsmoodstavce"/>
    <w:link w:val="Nadpis9"/>
    <w:uiPriority w:val="9"/>
    <w:semiHidden/>
    <w:rsid w:val="006752D6"/>
    <w:rPr>
      <w:rFonts w:asciiTheme="majorHAnsi" w:eastAsiaTheme="majorEastAsia" w:hAnsiTheme="majorHAnsi" w:cstheme="majorBidi"/>
      <w:i/>
      <w:iCs/>
      <w:color w:val="272727" w:themeColor="text1" w:themeTint="D8"/>
      <w:sz w:val="21"/>
      <w:szCs w:val="21"/>
    </w:rPr>
  </w:style>
  <w:style w:type="paragraph" w:styleId="Podnadpis">
    <w:name w:val="Subtitle"/>
    <w:basedOn w:val="Normln"/>
    <w:next w:val="Normln"/>
    <w:link w:val="PodnadpisChar"/>
    <w:uiPriority w:val="11"/>
    <w:qFormat/>
    <w:rsid w:val="00C35E53"/>
    <w:pPr>
      <w:numPr>
        <w:ilvl w:val="1"/>
      </w:numPr>
      <w:spacing w:after="160"/>
      <w:jc w:val="center"/>
    </w:pPr>
    <w:rPr>
      <w:rFonts w:eastAsiaTheme="minorEastAsia"/>
      <w:i/>
      <w:noProof/>
      <w:color w:val="000000" w:themeColor="text1"/>
      <w:spacing w:val="15"/>
    </w:rPr>
  </w:style>
  <w:style w:type="character" w:customStyle="1" w:styleId="PodnadpisChar">
    <w:name w:val="Podnadpis Char"/>
    <w:basedOn w:val="Standardnpsmoodstavce"/>
    <w:link w:val="Podnadpis"/>
    <w:uiPriority w:val="11"/>
    <w:rsid w:val="00C35E53"/>
    <w:rPr>
      <w:rFonts w:ascii="Times New Roman" w:eastAsiaTheme="minorEastAsia" w:hAnsi="Times New Roman"/>
      <w:i/>
      <w:noProof/>
      <w:color w:val="000000" w:themeColor="text1"/>
      <w:spacing w:val="15"/>
      <w:sz w:val="24"/>
    </w:rPr>
  </w:style>
  <w:style w:type="paragraph" w:customStyle="1" w:styleId="UZEINadpis1st">
    <w:name w:val="UZEI Nadpis 1.st"/>
    <w:basedOn w:val="Nadpis1"/>
    <w:link w:val="UZEINadpis1stChar"/>
    <w:qFormat/>
    <w:rsid w:val="006660D2"/>
    <w:pPr>
      <w:spacing w:after="0" w:line="300" w:lineRule="atLeast"/>
    </w:pPr>
    <w:rPr>
      <w:rFonts w:cstheme="majorBidi"/>
      <w:bCs w:val="0"/>
      <w:color w:val="000000" w:themeColor="text1"/>
      <w:lang w:eastAsia="cs-CZ"/>
    </w:rPr>
  </w:style>
  <w:style w:type="paragraph" w:customStyle="1" w:styleId="UZEINadpis2st">
    <w:name w:val="UZEI Nadpis 2.st"/>
    <w:basedOn w:val="Nadpis2"/>
    <w:link w:val="UZEINadpis2stChar"/>
    <w:qFormat/>
    <w:rsid w:val="00784A04"/>
    <w:pPr>
      <w:numPr>
        <w:numId w:val="6"/>
      </w:numPr>
      <w:spacing w:line="300" w:lineRule="atLeast"/>
    </w:pPr>
    <w:rPr>
      <w:rFonts w:cstheme="majorBidi"/>
      <w:bCs w:val="0"/>
      <w:color w:val="000000" w:themeColor="text1"/>
      <w:szCs w:val="26"/>
      <w:lang w:eastAsia="cs-CZ"/>
    </w:rPr>
  </w:style>
  <w:style w:type="character" w:customStyle="1" w:styleId="UZEINadpis1stChar">
    <w:name w:val="UZEI Nadpis 1.st Char"/>
    <w:basedOn w:val="Nadpis1Char"/>
    <w:link w:val="UZEINadpis1st"/>
    <w:rsid w:val="006660D2"/>
    <w:rPr>
      <w:rFonts w:ascii="Times New Roman" w:eastAsiaTheme="majorEastAsia" w:hAnsi="Times New Roman" w:cstheme="majorBidi"/>
      <w:b/>
      <w:bCs w:val="0"/>
      <w:color w:val="000000" w:themeColor="text1"/>
      <w:sz w:val="28"/>
      <w:szCs w:val="32"/>
      <w:lang w:val="cs-CZ" w:eastAsia="cs-CZ"/>
    </w:rPr>
  </w:style>
  <w:style w:type="paragraph" w:customStyle="1" w:styleId="UZEINadpis3st">
    <w:name w:val="UZEI Nadpis 3.st"/>
    <w:basedOn w:val="Nadpis3"/>
    <w:link w:val="UZEINadpis3stChar"/>
    <w:qFormat/>
    <w:rsid w:val="006660D2"/>
    <w:pPr>
      <w:numPr>
        <w:ilvl w:val="0"/>
        <w:numId w:val="5"/>
      </w:numPr>
      <w:spacing w:line="300" w:lineRule="atLeast"/>
      <w:ind w:hanging="578"/>
    </w:pPr>
    <w:rPr>
      <w:bCs w:val="0"/>
      <w:i/>
      <w:color w:val="000000" w:themeColor="text1"/>
      <w:szCs w:val="24"/>
      <w:lang w:val="cs-CZ" w:eastAsia="cs-CZ"/>
    </w:rPr>
  </w:style>
  <w:style w:type="character" w:customStyle="1" w:styleId="UZEINadpis2stChar">
    <w:name w:val="UZEI Nadpis 2.st Char"/>
    <w:basedOn w:val="Nadpis2Char"/>
    <w:link w:val="UZEINadpis2st"/>
    <w:rsid w:val="006660D2"/>
    <w:rPr>
      <w:rFonts w:ascii="Times New Roman" w:eastAsiaTheme="majorEastAsia" w:hAnsi="Times New Roman" w:cstheme="majorBidi"/>
      <w:b/>
      <w:bCs w:val="0"/>
      <w:color w:val="000000" w:themeColor="text1"/>
      <w:sz w:val="26"/>
      <w:szCs w:val="26"/>
      <w:lang w:val="cs-CZ" w:eastAsia="cs-CZ"/>
    </w:rPr>
  </w:style>
  <w:style w:type="paragraph" w:customStyle="1" w:styleId="UZEINormaln">
    <w:name w:val="UZEI Normalní"/>
    <w:basedOn w:val="Normln"/>
    <w:link w:val="UZEINormalnChar"/>
    <w:qFormat/>
    <w:rsid w:val="0031504D"/>
    <w:pPr>
      <w:spacing w:before="120" w:after="120"/>
    </w:pPr>
    <w:rPr>
      <w:rFonts w:eastAsia="Times New Roman" w:cstheme="minorHAnsi"/>
      <w:szCs w:val="24"/>
      <w:lang w:val="cs-CZ" w:eastAsia="cs-CZ"/>
    </w:rPr>
  </w:style>
  <w:style w:type="character" w:customStyle="1" w:styleId="UZEINadpis3stChar">
    <w:name w:val="UZEI Nadpis 3.st Char"/>
    <w:basedOn w:val="Nadpis3Char"/>
    <w:link w:val="UZEINadpis3st"/>
    <w:rsid w:val="006660D2"/>
    <w:rPr>
      <w:rFonts w:ascii="Times New Roman" w:eastAsiaTheme="majorEastAsia" w:hAnsi="Times New Roman" w:cstheme="majorBidi"/>
      <w:b/>
      <w:bCs w:val="0"/>
      <w:i/>
      <w:color w:val="000000" w:themeColor="text1"/>
      <w:sz w:val="24"/>
      <w:szCs w:val="24"/>
      <w:lang w:val="cs-CZ" w:eastAsia="cs-CZ"/>
    </w:rPr>
  </w:style>
  <w:style w:type="paragraph" w:customStyle="1" w:styleId="UZEIOdrky">
    <w:name w:val="UZEI Odrážky"/>
    <w:basedOn w:val="Normln"/>
    <w:link w:val="UZEIOdrkyChar"/>
    <w:qFormat/>
    <w:rsid w:val="00BA3366"/>
    <w:pPr>
      <w:numPr>
        <w:numId w:val="1"/>
      </w:numPr>
      <w:autoSpaceDE w:val="0"/>
      <w:autoSpaceDN w:val="0"/>
      <w:spacing w:before="60" w:after="60"/>
    </w:pPr>
    <w:rPr>
      <w:rFonts w:eastAsia="Times New Roman" w:cs="Calibri"/>
      <w:color w:val="000000"/>
      <w:szCs w:val="24"/>
      <w:lang w:val="cs-CZ"/>
    </w:rPr>
  </w:style>
  <w:style w:type="character" w:customStyle="1" w:styleId="UZEINormalnChar">
    <w:name w:val="UZEI Normalní Char"/>
    <w:basedOn w:val="Standardnpsmoodstavce"/>
    <w:link w:val="UZEINormaln"/>
    <w:rsid w:val="0031504D"/>
    <w:rPr>
      <w:rFonts w:ascii="Times New Roman" w:eastAsia="Times New Roman" w:hAnsi="Times New Roman" w:cstheme="minorHAnsi"/>
      <w:sz w:val="24"/>
      <w:szCs w:val="24"/>
      <w:lang w:val="cs-CZ" w:eastAsia="cs-CZ"/>
    </w:rPr>
  </w:style>
  <w:style w:type="paragraph" w:customStyle="1" w:styleId="UZEINadpis4st">
    <w:name w:val="UZEI Nadpis 4.st"/>
    <w:basedOn w:val="Normln"/>
    <w:link w:val="UZEINadpis4stChar"/>
    <w:qFormat/>
    <w:rsid w:val="006660D2"/>
    <w:pPr>
      <w:spacing w:before="120" w:after="120" w:line="300" w:lineRule="atLeast"/>
    </w:pPr>
    <w:rPr>
      <w:rFonts w:eastAsia="Times New Roman" w:cs="Arial"/>
      <w:b/>
      <w:bCs/>
      <w:szCs w:val="24"/>
      <w:lang w:val="cs-CZ" w:eastAsia="cs-CZ"/>
    </w:rPr>
  </w:style>
  <w:style w:type="character" w:customStyle="1" w:styleId="UZEIOdrkyChar">
    <w:name w:val="UZEI Odrážky Char"/>
    <w:basedOn w:val="Standardnpsmoodstavce"/>
    <w:link w:val="UZEIOdrky"/>
    <w:rsid w:val="00BA3366"/>
    <w:rPr>
      <w:rFonts w:ascii="Times New Roman" w:eastAsia="Times New Roman" w:hAnsi="Times New Roman" w:cs="Calibri"/>
      <w:color w:val="000000"/>
      <w:sz w:val="24"/>
      <w:szCs w:val="24"/>
      <w:lang w:val="cs-CZ"/>
    </w:rPr>
  </w:style>
  <w:style w:type="character" w:customStyle="1" w:styleId="UZEINadpis4stChar">
    <w:name w:val="UZEI Nadpis 4.st Char"/>
    <w:basedOn w:val="Standardnpsmoodstavce"/>
    <w:link w:val="UZEINadpis4st"/>
    <w:rsid w:val="006660D2"/>
    <w:rPr>
      <w:rFonts w:ascii="Times New Roman" w:eastAsia="Times New Roman" w:hAnsi="Times New Roman" w:cs="Arial"/>
      <w:b/>
      <w:bCs/>
      <w:sz w:val="24"/>
      <w:szCs w:val="24"/>
      <w:lang w:val="cs-CZ" w:eastAsia="cs-CZ"/>
    </w:rPr>
  </w:style>
  <w:style w:type="paragraph" w:customStyle="1" w:styleId="UZEILiteratura">
    <w:name w:val="UZEI Literatura"/>
    <w:basedOn w:val="Normln"/>
    <w:link w:val="UZEILiteraturaChar"/>
    <w:qFormat/>
    <w:rsid w:val="006660D2"/>
    <w:pPr>
      <w:spacing w:before="120" w:after="180" w:line="300" w:lineRule="atLeast"/>
    </w:pPr>
    <w:rPr>
      <w:rFonts w:eastAsia="Times New Roman" w:cstheme="minorHAnsi"/>
      <w:sz w:val="20"/>
      <w:szCs w:val="20"/>
      <w:lang w:val="cs-CZ" w:eastAsia="cs-CZ"/>
    </w:rPr>
  </w:style>
  <w:style w:type="character" w:customStyle="1" w:styleId="UZEILiteraturaChar">
    <w:name w:val="UZEI Literatura Char"/>
    <w:basedOn w:val="Standardnpsmoodstavce"/>
    <w:link w:val="UZEILiteratura"/>
    <w:rsid w:val="006660D2"/>
    <w:rPr>
      <w:rFonts w:ascii="Times New Roman" w:eastAsia="Times New Roman" w:hAnsi="Times New Roman" w:cstheme="minorHAnsi"/>
      <w:sz w:val="20"/>
      <w:szCs w:val="20"/>
      <w:lang w:val="cs-CZ" w:eastAsia="cs-CZ"/>
    </w:rPr>
  </w:style>
  <w:style w:type="paragraph" w:customStyle="1" w:styleId="UZEIZdroj">
    <w:name w:val="UZEI Zdroj"/>
    <w:basedOn w:val="Normln"/>
    <w:qFormat/>
    <w:rsid w:val="006660D2"/>
    <w:pPr>
      <w:spacing w:after="120"/>
    </w:pPr>
    <w:rPr>
      <w:rFonts w:eastAsia="Calibri" w:cs="Times New Roman"/>
      <w:i/>
      <w:iCs/>
      <w:sz w:val="20"/>
      <w:szCs w:val="24"/>
      <w:lang w:val="cs-CZ"/>
    </w:rPr>
  </w:style>
  <w:style w:type="paragraph" w:customStyle="1" w:styleId="UZEIGraf">
    <w:name w:val="UZEI Graf"/>
    <w:basedOn w:val="Normln"/>
    <w:link w:val="UZEIGrafChar"/>
    <w:qFormat/>
    <w:rsid w:val="006660D2"/>
    <w:pPr>
      <w:numPr>
        <w:numId w:val="2"/>
      </w:numPr>
      <w:spacing w:before="60" w:line="300" w:lineRule="atLeast"/>
    </w:pPr>
    <w:rPr>
      <w:rFonts w:eastAsia="Times New Roman" w:cs="Arial"/>
      <w:b/>
      <w:sz w:val="20"/>
      <w:szCs w:val="20"/>
      <w:lang w:val="cs-CZ" w:eastAsia="cs-CZ"/>
    </w:rPr>
  </w:style>
  <w:style w:type="paragraph" w:customStyle="1" w:styleId="UZEINadpis1stbezsla">
    <w:name w:val="UZEI Nadpis 1. st.  bez čísla"/>
    <w:basedOn w:val="UZEINadpis1st"/>
    <w:link w:val="UZEINadpis1stbezslaChar"/>
    <w:autoRedefine/>
    <w:qFormat/>
    <w:rsid w:val="006660D2"/>
    <w:pPr>
      <w:numPr>
        <w:numId w:val="0"/>
      </w:numPr>
    </w:pPr>
  </w:style>
  <w:style w:type="character" w:customStyle="1" w:styleId="UZEIGrafChar">
    <w:name w:val="UZEI Graf Char"/>
    <w:basedOn w:val="UZEILiteraturaChar"/>
    <w:link w:val="UZEIGraf"/>
    <w:rsid w:val="006660D2"/>
    <w:rPr>
      <w:rFonts w:ascii="Times New Roman" w:eastAsia="Times New Roman" w:hAnsi="Times New Roman" w:cs="Arial"/>
      <w:b/>
      <w:sz w:val="20"/>
      <w:szCs w:val="20"/>
      <w:lang w:val="cs-CZ" w:eastAsia="cs-CZ"/>
    </w:rPr>
  </w:style>
  <w:style w:type="paragraph" w:customStyle="1" w:styleId="UZEINadpis2stbezsla">
    <w:name w:val="UZEI Nadpis 2. st bez čísla"/>
    <w:basedOn w:val="UZEINadpis2st"/>
    <w:link w:val="UZEINadpis2stbezslaChar"/>
    <w:qFormat/>
    <w:rsid w:val="006660D2"/>
    <w:pPr>
      <w:ind w:left="0" w:firstLine="0"/>
    </w:pPr>
  </w:style>
  <w:style w:type="character" w:customStyle="1" w:styleId="UZEINadpis1stbezslaChar">
    <w:name w:val="UZEI Nadpis 1. st.  bez čísla Char"/>
    <w:basedOn w:val="UZEIGrafChar"/>
    <w:link w:val="UZEINadpis1stbezsla"/>
    <w:rsid w:val="006660D2"/>
    <w:rPr>
      <w:rFonts w:ascii="Times New Roman" w:eastAsiaTheme="majorEastAsia" w:hAnsi="Times New Roman" w:cstheme="majorBidi"/>
      <w:b/>
      <w:color w:val="000000" w:themeColor="text1"/>
      <w:sz w:val="28"/>
      <w:szCs w:val="32"/>
      <w:lang w:val="cs-CZ" w:eastAsia="cs-CZ"/>
    </w:rPr>
  </w:style>
  <w:style w:type="character" w:customStyle="1" w:styleId="UZEINadpis2stbezslaChar">
    <w:name w:val="UZEI Nadpis 2. st bez čísla Char"/>
    <w:basedOn w:val="Standardnpsmoodstavce"/>
    <w:link w:val="UZEINadpis2stbezsla"/>
    <w:rsid w:val="006660D2"/>
    <w:rPr>
      <w:rFonts w:ascii="Times New Roman" w:eastAsiaTheme="majorEastAsia" w:hAnsi="Times New Roman" w:cstheme="majorBidi"/>
      <w:b/>
      <w:color w:val="000000" w:themeColor="text1"/>
      <w:sz w:val="26"/>
      <w:szCs w:val="26"/>
      <w:lang w:val="cs-CZ" w:eastAsia="cs-CZ"/>
    </w:rPr>
  </w:style>
  <w:style w:type="paragraph" w:customStyle="1" w:styleId="UZEITaB">
    <w:name w:val="UZEI TaB"/>
    <w:basedOn w:val="UZEIGraf"/>
    <w:link w:val="UZEITaBChar"/>
    <w:qFormat/>
    <w:rsid w:val="006E2063"/>
    <w:pPr>
      <w:numPr>
        <w:numId w:val="45"/>
      </w:numPr>
      <w:jc w:val="left"/>
    </w:pPr>
    <w:rPr>
      <w:color w:val="000000" w:themeColor="text1"/>
    </w:rPr>
  </w:style>
  <w:style w:type="paragraph" w:customStyle="1" w:styleId="UZEIObr">
    <w:name w:val="UZEI Obr"/>
    <w:basedOn w:val="UZEIGraf"/>
    <w:link w:val="UZEIObrChar"/>
    <w:qFormat/>
    <w:rsid w:val="00E04264"/>
    <w:pPr>
      <w:numPr>
        <w:numId w:val="4"/>
      </w:numPr>
      <w:tabs>
        <w:tab w:val="num" w:pos="360"/>
      </w:tabs>
      <w:ind w:left="0" w:firstLine="0"/>
    </w:pPr>
    <w:rPr>
      <w:noProof/>
    </w:rPr>
  </w:style>
  <w:style w:type="character" w:customStyle="1" w:styleId="UZEITaBChar">
    <w:name w:val="UZEI TaB Char"/>
    <w:basedOn w:val="UZEINadpis2stbezslaChar"/>
    <w:link w:val="UZEITaB"/>
    <w:rsid w:val="006E2063"/>
    <w:rPr>
      <w:rFonts w:ascii="Times New Roman" w:eastAsia="Times New Roman" w:hAnsi="Times New Roman" w:cs="Arial"/>
      <w:b/>
      <w:color w:val="000000" w:themeColor="text1"/>
      <w:sz w:val="20"/>
      <w:szCs w:val="20"/>
      <w:lang w:val="cs-CZ" w:eastAsia="cs-CZ"/>
    </w:rPr>
  </w:style>
  <w:style w:type="character" w:customStyle="1" w:styleId="UZEIObrChar">
    <w:name w:val="UZEI Obr Char"/>
    <w:basedOn w:val="UZEINormalnChar"/>
    <w:link w:val="UZEIObr"/>
    <w:rsid w:val="00E04264"/>
    <w:rPr>
      <w:rFonts w:ascii="Times New Roman" w:eastAsia="Times New Roman" w:hAnsi="Times New Roman" w:cs="Arial"/>
      <w:b/>
      <w:noProof/>
      <w:sz w:val="20"/>
      <w:szCs w:val="20"/>
      <w:lang w:val="cs-CZ" w:eastAsia="cs-CZ"/>
    </w:rPr>
  </w:style>
  <w:style w:type="paragraph" w:customStyle="1" w:styleId="st-nazev">
    <w:name w:val="st-nazev"/>
    <w:basedOn w:val="Normln"/>
    <w:next w:val="Normln"/>
    <w:rsid w:val="00D81379"/>
    <w:pPr>
      <w:spacing w:before="5640"/>
      <w:jc w:val="center"/>
    </w:pPr>
    <w:rPr>
      <w:rFonts w:ascii="Arial" w:eastAsia="Times New Roman" w:hAnsi="Arial" w:cs="Times New Roman"/>
      <w:b/>
      <w:sz w:val="32"/>
      <w:szCs w:val="23"/>
      <w:lang w:val="cs-CZ" w:eastAsia="cs-CZ"/>
    </w:rPr>
  </w:style>
  <w:style w:type="paragraph" w:customStyle="1" w:styleId="st-rok">
    <w:name w:val="st-rok"/>
    <w:basedOn w:val="Normln"/>
    <w:rsid w:val="00D81379"/>
    <w:pPr>
      <w:spacing w:before="6000"/>
      <w:jc w:val="center"/>
    </w:pPr>
    <w:rPr>
      <w:rFonts w:eastAsia="Times New Roman" w:cs="Times New Roman"/>
      <w:b/>
      <w:szCs w:val="23"/>
      <w:lang w:val="cs-CZ" w:eastAsia="cs-CZ"/>
    </w:rPr>
  </w:style>
  <w:style w:type="paragraph" w:customStyle="1" w:styleId="UZEI">
    <w:name w:val="UZEI"/>
    <w:basedOn w:val="Normln"/>
    <w:next w:val="Normln"/>
    <w:qFormat/>
    <w:rsid w:val="00D81379"/>
    <w:pPr>
      <w:keepNext/>
      <w:spacing w:before="120"/>
      <w:jc w:val="center"/>
    </w:pPr>
    <w:rPr>
      <w:rFonts w:ascii="Arial" w:eastAsia="Times New Roman" w:hAnsi="Arial" w:cs="Times New Roman"/>
      <w:b/>
      <w:caps/>
      <w:kern w:val="28"/>
      <w:szCs w:val="24"/>
      <w:lang w:val="x-none" w:eastAsia="x-none"/>
    </w:rPr>
  </w:style>
  <w:style w:type="paragraph" w:styleId="Obsah4">
    <w:name w:val="toc 4"/>
    <w:basedOn w:val="Normln"/>
    <w:next w:val="Normln"/>
    <w:autoRedefine/>
    <w:uiPriority w:val="39"/>
    <w:unhideWhenUsed/>
    <w:rsid w:val="006817B7"/>
    <w:pPr>
      <w:tabs>
        <w:tab w:val="left" w:pos="1680"/>
        <w:tab w:val="right" w:leader="dot" w:pos="9061"/>
      </w:tabs>
      <w:spacing w:line="360" w:lineRule="auto"/>
      <w:jc w:val="left"/>
    </w:pPr>
    <w:rPr>
      <w:sz w:val="20"/>
      <w:szCs w:val="18"/>
    </w:rPr>
  </w:style>
  <w:style w:type="paragraph" w:styleId="Obsah5">
    <w:name w:val="toc 5"/>
    <w:basedOn w:val="Normln"/>
    <w:next w:val="Normln"/>
    <w:autoRedefine/>
    <w:uiPriority w:val="39"/>
    <w:unhideWhenUsed/>
    <w:rsid w:val="00DF2B9D"/>
    <w:pPr>
      <w:ind w:left="960"/>
      <w:jc w:val="left"/>
    </w:pPr>
    <w:rPr>
      <w:rFonts w:asciiTheme="minorHAnsi" w:hAnsiTheme="minorHAnsi"/>
      <w:sz w:val="18"/>
      <w:szCs w:val="18"/>
    </w:rPr>
  </w:style>
  <w:style w:type="paragraph" w:styleId="Obsah6">
    <w:name w:val="toc 6"/>
    <w:basedOn w:val="Normln"/>
    <w:next w:val="Normln"/>
    <w:autoRedefine/>
    <w:uiPriority w:val="39"/>
    <w:unhideWhenUsed/>
    <w:rsid w:val="00DF2B9D"/>
    <w:pPr>
      <w:ind w:left="1200"/>
      <w:jc w:val="left"/>
    </w:pPr>
    <w:rPr>
      <w:rFonts w:asciiTheme="minorHAnsi" w:hAnsiTheme="minorHAnsi"/>
      <w:sz w:val="18"/>
      <w:szCs w:val="18"/>
    </w:rPr>
  </w:style>
  <w:style w:type="paragraph" w:styleId="Obsah7">
    <w:name w:val="toc 7"/>
    <w:basedOn w:val="Normln"/>
    <w:next w:val="Normln"/>
    <w:autoRedefine/>
    <w:uiPriority w:val="39"/>
    <w:unhideWhenUsed/>
    <w:rsid w:val="00DF2B9D"/>
    <w:pPr>
      <w:ind w:left="1440"/>
      <w:jc w:val="left"/>
    </w:pPr>
    <w:rPr>
      <w:rFonts w:asciiTheme="minorHAnsi" w:hAnsiTheme="minorHAnsi"/>
      <w:sz w:val="18"/>
      <w:szCs w:val="18"/>
    </w:rPr>
  </w:style>
  <w:style w:type="paragraph" w:styleId="Obsah8">
    <w:name w:val="toc 8"/>
    <w:basedOn w:val="Normln"/>
    <w:next w:val="Normln"/>
    <w:autoRedefine/>
    <w:uiPriority w:val="39"/>
    <w:unhideWhenUsed/>
    <w:rsid w:val="00DF2B9D"/>
    <w:pPr>
      <w:ind w:left="1680"/>
      <w:jc w:val="left"/>
    </w:pPr>
    <w:rPr>
      <w:rFonts w:asciiTheme="minorHAnsi" w:hAnsiTheme="minorHAnsi"/>
      <w:sz w:val="18"/>
      <w:szCs w:val="18"/>
    </w:rPr>
  </w:style>
  <w:style w:type="paragraph" w:styleId="Obsah9">
    <w:name w:val="toc 9"/>
    <w:basedOn w:val="Normln"/>
    <w:next w:val="Normln"/>
    <w:autoRedefine/>
    <w:uiPriority w:val="39"/>
    <w:unhideWhenUsed/>
    <w:rsid w:val="00DF2B9D"/>
    <w:pPr>
      <w:ind w:left="1920"/>
      <w:jc w:val="left"/>
    </w:pPr>
    <w:rPr>
      <w:rFonts w:asciiTheme="minorHAnsi" w:hAnsiTheme="minorHAnsi"/>
      <w:sz w:val="18"/>
      <w:szCs w:val="18"/>
    </w:rPr>
  </w:style>
  <w:style w:type="table" w:styleId="Mkatabulky">
    <w:name w:val="Table Grid"/>
    <w:basedOn w:val="Normlntabulka"/>
    <w:uiPriority w:val="39"/>
    <w:rsid w:val="00CB2594"/>
    <w:pPr>
      <w:spacing w:after="0" w:line="240" w:lineRule="auto"/>
    </w:pPr>
    <w:rPr>
      <w:rFonts w:ascii="Calibri" w:eastAsia="Calibri" w:hAnsi="Calibri" w:cs="Times New Roman"/>
      <w:sz w:val="20"/>
      <w:szCs w:val="20"/>
      <w:lang w:val="cs-CZ"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ogo">
    <w:name w:val="logo"/>
    <w:basedOn w:val="Normln"/>
    <w:rsid w:val="00CB2594"/>
    <w:pPr>
      <w:keepNext/>
      <w:jc w:val="center"/>
    </w:pPr>
    <w:rPr>
      <w:rFonts w:ascii="Arial" w:eastAsia="Times New Roman" w:hAnsi="Arial" w:cs="Times New Roman"/>
      <w:b/>
      <w:bCs/>
      <w:caps/>
      <w:kern w:val="28"/>
      <w:sz w:val="28"/>
      <w:szCs w:val="20"/>
      <w:lang w:val="x-none" w:eastAsia="x-none"/>
    </w:rPr>
  </w:style>
  <w:style w:type="paragraph" w:styleId="Bezmezer">
    <w:name w:val="No Spacing"/>
    <w:uiPriority w:val="1"/>
    <w:qFormat/>
    <w:rsid w:val="00CB2594"/>
    <w:pPr>
      <w:spacing w:after="0" w:line="240" w:lineRule="auto"/>
      <w:jc w:val="center"/>
    </w:pPr>
    <w:rPr>
      <w:rFonts w:ascii="Calibri" w:eastAsia="Calibri" w:hAnsi="Calibri" w:cs="Times New Roman"/>
      <w:lang w:val="cs-CZ"/>
    </w:rPr>
  </w:style>
  <w:style w:type="character" w:customStyle="1" w:styleId="notranslate">
    <w:name w:val="notranslate"/>
    <w:basedOn w:val="Standardnpsmoodstavce"/>
    <w:rsid w:val="00CB2594"/>
  </w:style>
  <w:style w:type="paragraph" w:styleId="Normlnweb">
    <w:name w:val="Normal (Web)"/>
    <w:basedOn w:val="Normln"/>
    <w:uiPriority w:val="99"/>
    <w:unhideWhenUsed/>
    <w:rsid w:val="00CB2594"/>
    <w:pPr>
      <w:spacing w:before="100" w:beforeAutospacing="1" w:after="100" w:afterAutospacing="1"/>
      <w:jc w:val="left"/>
    </w:pPr>
    <w:rPr>
      <w:rFonts w:eastAsia="Times New Roman" w:cs="Times New Roman"/>
      <w:szCs w:val="24"/>
      <w:lang w:val="cs-CZ" w:eastAsia="cs-CZ"/>
    </w:rPr>
  </w:style>
  <w:style w:type="character" w:styleId="Zdraznnjemn">
    <w:name w:val="Subtle Emphasis"/>
    <w:uiPriority w:val="19"/>
    <w:qFormat/>
    <w:rsid w:val="00CB2594"/>
    <w:rPr>
      <w:i/>
      <w:iCs/>
      <w:color w:val="404040"/>
    </w:rPr>
  </w:style>
  <w:style w:type="character" w:styleId="Zdraznn">
    <w:name w:val="Emphasis"/>
    <w:uiPriority w:val="20"/>
    <w:qFormat/>
    <w:rsid w:val="00CB2594"/>
    <w:rPr>
      <w:i/>
      <w:iCs/>
    </w:rPr>
  </w:style>
  <w:style w:type="character" w:styleId="Zdraznnintenzivn">
    <w:name w:val="Intense Emphasis"/>
    <w:uiPriority w:val="21"/>
    <w:qFormat/>
    <w:rsid w:val="00CB2594"/>
    <w:rPr>
      <w:i/>
      <w:iCs/>
      <w:color w:val="5B9BD5"/>
    </w:rPr>
  </w:style>
  <w:style w:type="paragraph" w:styleId="Revize">
    <w:name w:val="Revision"/>
    <w:hidden/>
    <w:uiPriority w:val="99"/>
    <w:semiHidden/>
    <w:rsid w:val="00CB2594"/>
    <w:pPr>
      <w:spacing w:after="0" w:line="240" w:lineRule="auto"/>
    </w:pPr>
    <w:rPr>
      <w:rFonts w:ascii="Calibri" w:eastAsia="Calibri" w:hAnsi="Calibri" w:cs="Times New Roman"/>
      <w:lang w:val="cs-CZ"/>
    </w:rPr>
  </w:style>
  <w:style w:type="paragraph" w:customStyle="1" w:styleId="article-perex">
    <w:name w:val="article-perex"/>
    <w:basedOn w:val="Normln"/>
    <w:rsid w:val="00CB2594"/>
    <w:pPr>
      <w:spacing w:before="100" w:beforeAutospacing="1" w:after="100" w:afterAutospacing="1"/>
      <w:jc w:val="left"/>
    </w:pPr>
    <w:rPr>
      <w:rFonts w:eastAsia="Times New Roman" w:cs="Times New Roman"/>
      <w:szCs w:val="24"/>
      <w:lang w:val="cs-CZ" w:eastAsia="cs-CZ"/>
    </w:rPr>
  </w:style>
  <w:style w:type="paragraph" w:customStyle="1" w:styleId="Tabulka">
    <w:name w:val="Tabulka"/>
    <w:basedOn w:val="Normln"/>
    <w:rsid w:val="00CB2594"/>
    <w:pPr>
      <w:spacing w:before="60" w:line="300" w:lineRule="atLeast"/>
      <w:jc w:val="left"/>
    </w:pPr>
    <w:rPr>
      <w:rFonts w:eastAsia="Times New Roman" w:cs="Times New Roman"/>
      <w:szCs w:val="23"/>
      <w:lang w:val="cs-CZ" w:eastAsia="cs-CZ"/>
    </w:rPr>
  </w:style>
  <w:style w:type="paragraph" w:customStyle="1" w:styleId="BodytextAgency">
    <w:name w:val="Body text (Agency)"/>
    <w:basedOn w:val="Normln"/>
    <w:link w:val="BodytextAgencyChar"/>
    <w:qFormat/>
    <w:rsid w:val="00CB2594"/>
    <w:pPr>
      <w:spacing w:after="140" w:line="280" w:lineRule="atLeast"/>
      <w:jc w:val="left"/>
    </w:pPr>
    <w:rPr>
      <w:rFonts w:ascii="Verdana" w:eastAsia="Verdana" w:hAnsi="Verdana" w:cs="Verdana"/>
      <w:sz w:val="18"/>
      <w:szCs w:val="18"/>
      <w:lang w:eastAsia="en-GB"/>
    </w:rPr>
  </w:style>
  <w:style w:type="character" w:customStyle="1" w:styleId="BodytextAgencyChar">
    <w:name w:val="Body text (Agency) Char"/>
    <w:link w:val="BodytextAgency"/>
    <w:rsid w:val="00CB2594"/>
    <w:rPr>
      <w:rFonts w:ascii="Verdana" w:eastAsia="Verdana" w:hAnsi="Verdana" w:cs="Verdana"/>
      <w:sz w:val="18"/>
      <w:szCs w:val="18"/>
      <w:lang w:eastAsia="en-GB"/>
    </w:rPr>
  </w:style>
  <w:style w:type="character" w:customStyle="1" w:styleId="FootnotereferenceAgency">
    <w:name w:val="Footnote reference (Agency)"/>
    <w:rsid w:val="00CB2594"/>
    <w:rPr>
      <w:rFonts w:ascii="Verdana" w:hAnsi="Verdana"/>
      <w:color w:val="auto"/>
      <w:vertAlign w:val="superscript"/>
    </w:rPr>
  </w:style>
  <w:style w:type="paragraph" w:customStyle="1" w:styleId="FootnotetextAgency">
    <w:name w:val="Footnote text (Agency)"/>
    <w:basedOn w:val="Normln"/>
    <w:rsid w:val="00CB2594"/>
    <w:pPr>
      <w:jc w:val="left"/>
    </w:pPr>
    <w:rPr>
      <w:rFonts w:ascii="Verdana" w:eastAsia="Verdana" w:hAnsi="Verdana" w:cs="Verdana"/>
      <w:sz w:val="15"/>
      <w:szCs w:val="18"/>
      <w:lang w:eastAsia="en-GB"/>
    </w:rPr>
  </w:style>
  <w:style w:type="paragraph" w:customStyle="1" w:styleId="TableheadingAgency">
    <w:name w:val="Table heading (Agency)"/>
    <w:basedOn w:val="Normln"/>
    <w:next w:val="BodytextAgency"/>
    <w:rsid w:val="00CB2594"/>
    <w:pPr>
      <w:keepNext/>
      <w:numPr>
        <w:numId w:val="10"/>
      </w:numPr>
      <w:spacing w:before="240" w:after="120"/>
      <w:jc w:val="left"/>
    </w:pPr>
    <w:rPr>
      <w:rFonts w:ascii="Verdana" w:eastAsia="SimSun" w:hAnsi="Verdana" w:cs="Verdana"/>
      <w:sz w:val="18"/>
      <w:szCs w:val="18"/>
      <w:lang w:eastAsia="en-GB"/>
    </w:rPr>
  </w:style>
  <w:style w:type="paragraph" w:customStyle="1" w:styleId="Podnadpis1">
    <w:name w:val="Podnadpis1"/>
    <w:uiPriority w:val="99"/>
    <w:rsid w:val="00CB2594"/>
    <w:pPr>
      <w:spacing w:before="72" w:after="72" w:line="240" w:lineRule="auto"/>
      <w:jc w:val="center"/>
    </w:pPr>
    <w:rPr>
      <w:rFonts w:ascii="Arial" w:eastAsia="Times New Roman" w:hAnsi="Arial" w:cs="Times New Roman"/>
      <w:b/>
      <w:color w:val="000000"/>
      <w:sz w:val="26"/>
      <w:szCs w:val="20"/>
      <w:lang w:val="cs-CZ" w:eastAsia="cs-CZ"/>
    </w:rPr>
  </w:style>
  <w:style w:type="character" w:customStyle="1" w:styleId="Nevyeenzmnka1">
    <w:name w:val="Nevyřešená zmínka1"/>
    <w:basedOn w:val="Standardnpsmoodstavce"/>
    <w:uiPriority w:val="99"/>
    <w:semiHidden/>
    <w:unhideWhenUsed/>
    <w:rsid w:val="00CB2594"/>
    <w:rPr>
      <w:color w:val="808080"/>
      <w:shd w:val="clear" w:color="auto" w:fill="E6E6E6"/>
    </w:rPr>
  </w:style>
  <w:style w:type="paragraph" w:customStyle="1" w:styleId="Footno">
    <w:name w:val="Footno"/>
    <w:basedOn w:val="Normln"/>
    <w:rsid w:val="00CB2594"/>
    <w:rPr>
      <w:rFonts w:eastAsia="Arial Unicode MS" w:cs="Times New Roman"/>
      <w:color w:val="000000"/>
      <w:sz w:val="20"/>
      <w:szCs w:val="20"/>
      <w:lang w:val="cs-CZ" w:eastAsia="cs-CZ" w:bidi="cs-CZ"/>
    </w:rPr>
  </w:style>
  <w:style w:type="paragraph" w:styleId="Seznamobrzk">
    <w:name w:val="table of figures"/>
    <w:basedOn w:val="Normln"/>
    <w:next w:val="Normln"/>
    <w:uiPriority w:val="99"/>
    <w:semiHidden/>
    <w:unhideWhenUsed/>
    <w:rsid w:val="00CB2594"/>
    <w:pPr>
      <w:spacing w:before="120"/>
    </w:pPr>
    <w:rPr>
      <w:rFonts w:cs="Times New Roman"/>
      <w:lang w:val="cs-CZ" w:eastAsia="cs-CZ" w:bidi="cs-CZ"/>
    </w:rPr>
  </w:style>
  <w:style w:type="paragraph" w:customStyle="1" w:styleId="Bullet0">
    <w:name w:val="Bullet 0"/>
    <w:basedOn w:val="Normln"/>
    <w:rsid w:val="00CB2594"/>
    <w:pPr>
      <w:numPr>
        <w:numId w:val="15"/>
      </w:numPr>
      <w:spacing w:before="120" w:after="120"/>
    </w:pPr>
    <w:rPr>
      <w:rFonts w:cs="Times New Roman"/>
      <w:lang w:val="cs-CZ" w:eastAsia="cs-CZ" w:bidi="cs-CZ"/>
    </w:rPr>
  </w:style>
  <w:style w:type="paragraph" w:customStyle="1" w:styleId="Bullet2">
    <w:name w:val="Bullet 2"/>
    <w:basedOn w:val="Normln"/>
    <w:rsid w:val="00CB2594"/>
    <w:pPr>
      <w:numPr>
        <w:numId w:val="16"/>
      </w:numPr>
      <w:spacing w:before="120" w:after="120"/>
    </w:pPr>
    <w:rPr>
      <w:rFonts w:cs="Times New Roman"/>
      <w:lang w:val="cs-CZ" w:eastAsia="cs-CZ" w:bidi="cs-CZ"/>
    </w:rPr>
  </w:style>
  <w:style w:type="character" w:styleId="Sledovanodkaz">
    <w:name w:val="FollowedHyperlink"/>
    <w:basedOn w:val="Standardnpsmoodstavce"/>
    <w:uiPriority w:val="99"/>
    <w:semiHidden/>
    <w:unhideWhenUsed/>
    <w:rsid w:val="00CB2594"/>
    <w:rPr>
      <w:color w:val="954F72" w:themeColor="followedHyperlink"/>
      <w:u w:val="single"/>
    </w:rPr>
  </w:style>
  <w:style w:type="character" w:customStyle="1" w:styleId="Nevyeenzmnka2">
    <w:name w:val="Nevyřešená zmínka2"/>
    <w:basedOn w:val="Standardnpsmoodstavce"/>
    <w:uiPriority w:val="99"/>
    <w:semiHidden/>
    <w:unhideWhenUsed/>
    <w:rsid w:val="00CB2594"/>
    <w:rPr>
      <w:color w:val="808080"/>
      <w:shd w:val="clear" w:color="auto" w:fill="E6E6E6"/>
    </w:rPr>
  </w:style>
  <w:style w:type="paragraph" w:customStyle="1" w:styleId="Point0">
    <w:name w:val="Point 0"/>
    <w:basedOn w:val="Normln"/>
    <w:rsid w:val="00CB2594"/>
    <w:pPr>
      <w:spacing w:before="120" w:after="120"/>
      <w:ind w:left="850" w:hanging="850"/>
    </w:pPr>
    <w:rPr>
      <w:rFonts w:cs="Times New Roman"/>
      <w:lang w:val="cs-CZ"/>
    </w:rPr>
  </w:style>
  <w:style w:type="character" w:customStyle="1" w:styleId="st">
    <w:name w:val="st"/>
    <w:basedOn w:val="Standardnpsmoodstavce"/>
    <w:rsid w:val="00CB2594"/>
  </w:style>
  <w:style w:type="character" w:customStyle="1" w:styleId="Nevyeenzmnka3">
    <w:name w:val="Nevyřešená zmínka3"/>
    <w:basedOn w:val="Standardnpsmoodstavce"/>
    <w:uiPriority w:val="99"/>
    <w:semiHidden/>
    <w:unhideWhenUsed/>
    <w:rsid w:val="00CB2594"/>
    <w:rPr>
      <w:color w:val="605E5C"/>
      <w:shd w:val="clear" w:color="auto" w:fill="E1DFDD"/>
    </w:rPr>
  </w:style>
  <w:style w:type="paragraph" w:styleId="FormtovanvHTML">
    <w:name w:val="HTML Preformatted"/>
    <w:basedOn w:val="Normln"/>
    <w:link w:val="FormtovanvHTMLChar"/>
    <w:uiPriority w:val="99"/>
    <w:semiHidden/>
    <w:unhideWhenUsed/>
    <w:rsid w:val="00CB25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lang w:val="cs-CZ" w:eastAsia="cs-CZ"/>
    </w:rPr>
  </w:style>
  <w:style w:type="character" w:customStyle="1" w:styleId="FormtovanvHTMLChar">
    <w:name w:val="Formátovaný v HTML Char"/>
    <w:basedOn w:val="Standardnpsmoodstavce"/>
    <w:link w:val="FormtovanvHTML"/>
    <w:uiPriority w:val="99"/>
    <w:semiHidden/>
    <w:rsid w:val="00CB2594"/>
    <w:rPr>
      <w:rFonts w:ascii="Courier New" w:eastAsia="Times New Roman" w:hAnsi="Courier New" w:cs="Courier New"/>
      <w:sz w:val="20"/>
      <w:szCs w:val="20"/>
      <w:lang w:val="cs-CZ" w:eastAsia="cs-CZ"/>
    </w:rPr>
  </w:style>
  <w:style w:type="character" w:customStyle="1" w:styleId="Nevyeenzmnka4">
    <w:name w:val="Nevyřešená zmínka4"/>
    <w:basedOn w:val="Standardnpsmoodstavce"/>
    <w:uiPriority w:val="99"/>
    <w:semiHidden/>
    <w:unhideWhenUsed/>
    <w:rsid w:val="00CB2594"/>
    <w:rPr>
      <w:color w:val="605E5C"/>
      <w:shd w:val="clear" w:color="auto" w:fill="E1DFDD"/>
    </w:rPr>
  </w:style>
  <w:style w:type="paragraph" w:styleId="z-Zatekformule">
    <w:name w:val="HTML Top of Form"/>
    <w:basedOn w:val="Normln"/>
    <w:next w:val="Normln"/>
    <w:link w:val="z-ZatekformuleChar"/>
    <w:hidden/>
    <w:uiPriority w:val="99"/>
    <w:semiHidden/>
    <w:unhideWhenUsed/>
    <w:rsid w:val="00CB2594"/>
    <w:pPr>
      <w:pBdr>
        <w:bottom w:val="single" w:sz="6" w:space="1" w:color="auto"/>
      </w:pBdr>
      <w:jc w:val="center"/>
    </w:pPr>
    <w:rPr>
      <w:rFonts w:ascii="Arial" w:eastAsia="Times New Roman" w:hAnsi="Arial" w:cs="Arial"/>
      <w:vanish/>
      <w:sz w:val="16"/>
      <w:szCs w:val="16"/>
      <w:lang w:val="cs-CZ" w:eastAsia="cs-CZ"/>
    </w:rPr>
  </w:style>
  <w:style w:type="character" w:customStyle="1" w:styleId="z-ZatekformuleChar">
    <w:name w:val="z-Začátek formuláře Char"/>
    <w:basedOn w:val="Standardnpsmoodstavce"/>
    <w:link w:val="z-Zatekformule"/>
    <w:uiPriority w:val="99"/>
    <w:semiHidden/>
    <w:rsid w:val="00CB2594"/>
    <w:rPr>
      <w:rFonts w:ascii="Arial" w:eastAsia="Times New Roman" w:hAnsi="Arial" w:cs="Arial"/>
      <w:vanish/>
      <w:sz w:val="16"/>
      <w:szCs w:val="16"/>
      <w:lang w:val="cs-CZ" w:eastAsia="cs-CZ"/>
    </w:rPr>
  </w:style>
  <w:style w:type="paragraph" w:styleId="z-Konecformule">
    <w:name w:val="HTML Bottom of Form"/>
    <w:basedOn w:val="Normln"/>
    <w:next w:val="Normln"/>
    <w:link w:val="z-KonecformuleChar"/>
    <w:hidden/>
    <w:uiPriority w:val="99"/>
    <w:semiHidden/>
    <w:unhideWhenUsed/>
    <w:rsid w:val="00CB2594"/>
    <w:pPr>
      <w:pBdr>
        <w:top w:val="single" w:sz="6" w:space="1" w:color="auto"/>
      </w:pBdr>
      <w:jc w:val="center"/>
    </w:pPr>
    <w:rPr>
      <w:rFonts w:ascii="Arial" w:eastAsia="Times New Roman" w:hAnsi="Arial" w:cs="Arial"/>
      <w:vanish/>
      <w:sz w:val="16"/>
      <w:szCs w:val="16"/>
      <w:lang w:val="cs-CZ" w:eastAsia="cs-CZ"/>
    </w:rPr>
  </w:style>
  <w:style w:type="character" w:customStyle="1" w:styleId="z-KonecformuleChar">
    <w:name w:val="z-Konec formuláře Char"/>
    <w:basedOn w:val="Standardnpsmoodstavce"/>
    <w:link w:val="z-Konecformule"/>
    <w:uiPriority w:val="99"/>
    <w:semiHidden/>
    <w:rsid w:val="00CB2594"/>
    <w:rPr>
      <w:rFonts w:ascii="Arial" w:eastAsia="Times New Roman" w:hAnsi="Arial" w:cs="Arial"/>
      <w:vanish/>
      <w:sz w:val="16"/>
      <w:szCs w:val="16"/>
      <w:lang w:val="cs-CZ" w:eastAsia="cs-CZ"/>
    </w:rPr>
  </w:style>
  <w:style w:type="character" w:customStyle="1" w:styleId="UnresolvedMention">
    <w:name w:val="Unresolved Mention"/>
    <w:basedOn w:val="Standardnpsmoodstavce"/>
    <w:uiPriority w:val="99"/>
    <w:semiHidden/>
    <w:unhideWhenUsed/>
    <w:rsid w:val="00CB2594"/>
    <w:rPr>
      <w:color w:val="605E5C"/>
      <w:shd w:val="clear" w:color="auto" w:fill="E1DFDD"/>
    </w:rPr>
  </w:style>
  <w:style w:type="character" w:customStyle="1" w:styleId="y2iqfc">
    <w:name w:val="y2iqfc"/>
    <w:basedOn w:val="Standardnpsmoodstavce"/>
    <w:rsid w:val="009662E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4999109">
      <w:bodyDiv w:val="1"/>
      <w:marLeft w:val="0"/>
      <w:marRight w:val="0"/>
      <w:marTop w:val="0"/>
      <w:marBottom w:val="0"/>
      <w:divBdr>
        <w:top w:val="none" w:sz="0" w:space="0" w:color="auto"/>
        <w:left w:val="none" w:sz="0" w:space="0" w:color="auto"/>
        <w:bottom w:val="none" w:sz="0" w:space="0" w:color="auto"/>
        <w:right w:val="none" w:sz="0" w:space="0" w:color="auto"/>
      </w:divBdr>
    </w:div>
    <w:div w:id="374621293">
      <w:bodyDiv w:val="1"/>
      <w:marLeft w:val="0"/>
      <w:marRight w:val="0"/>
      <w:marTop w:val="0"/>
      <w:marBottom w:val="0"/>
      <w:divBdr>
        <w:top w:val="none" w:sz="0" w:space="0" w:color="auto"/>
        <w:left w:val="none" w:sz="0" w:space="0" w:color="auto"/>
        <w:bottom w:val="none" w:sz="0" w:space="0" w:color="auto"/>
        <w:right w:val="none" w:sz="0" w:space="0" w:color="auto"/>
      </w:divBdr>
    </w:div>
    <w:div w:id="678315305">
      <w:bodyDiv w:val="1"/>
      <w:marLeft w:val="0"/>
      <w:marRight w:val="0"/>
      <w:marTop w:val="0"/>
      <w:marBottom w:val="0"/>
      <w:divBdr>
        <w:top w:val="none" w:sz="0" w:space="0" w:color="auto"/>
        <w:left w:val="none" w:sz="0" w:space="0" w:color="auto"/>
        <w:bottom w:val="none" w:sz="0" w:space="0" w:color="auto"/>
        <w:right w:val="none" w:sz="0" w:space="0" w:color="auto"/>
      </w:divBdr>
    </w:div>
    <w:div w:id="1052387280">
      <w:bodyDiv w:val="1"/>
      <w:marLeft w:val="0"/>
      <w:marRight w:val="0"/>
      <w:marTop w:val="0"/>
      <w:marBottom w:val="0"/>
      <w:divBdr>
        <w:top w:val="none" w:sz="0" w:space="0" w:color="auto"/>
        <w:left w:val="none" w:sz="0" w:space="0" w:color="auto"/>
        <w:bottom w:val="none" w:sz="0" w:space="0" w:color="auto"/>
        <w:right w:val="none" w:sz="0" w:space="0" w:color="auto"/>
      </w:divBdr>
    </w:div>
    <w:div w:id="15510692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4.xml"/><Relationship Id="rId18" Type="http://schemas.openxmlformats.org/officeDocument/2006/relationships/chart" Target="charts/chart8.xml"/><Relationship Id="rId26" Type="http://schemas.openxmlformats.org/officeDocument/2006/relationships/image" Target="media/image8.jpg"/><Relationship Id="rId39" Type="http://schemas.openxmlformats.org/officeDocument/2006/relationships/chart" Target="charts/chart20.xml"/><Relationship Id="rId21" Type="http://schemas.openxmlformats.org/officeDocument/2006/relationships/image" Target="media/image5.png"/><Relationship Id="rId34" Type="http://schemas.openxmlformats.org/officeDocument/2006/relationships/chart" Target="charts/chart15.xml"/><Relationship Id="rId42" Type="http://schemas.openxmlformats.org/officeDocument/2006/relationships/image" Target="media/image13.png"/><Relationship Id="rId47" Type="http://schemas.openxmlformats.org/officeDocument/2006/relationships/image" Target="media/image18.png"/><Relationship Id="rId50" Type="http://schemas.openxmlformats.org/officeDocument/2006/relationships/image" Target="media/image21.png"/><Relationship Id="rId55" Type="http://schemas.openxmlformats.org/officeDocument/2006/relationships/image" Target="media/image26.png"/><Relationship Id="rId63" Type="http://schemas.openxmlformats.org/officeDocument/2006/relationships/footer" Target="footer2.xml"/><Relationship Id="rId68" Type="http://schemas.openxmlformats.org/officeDocument/2006/relationships/footer" Target="footer4.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chart" Target="charts/chart7.xml"/><Relationship Id="rId29" Type="http://schemas.openxmlformats.org/officeDocument/2006/relationships/chart" Target="charts/chart1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eagri.cz/public/web/ukzuz/portal/pripravky-na-or/ucinne-latky-v-por-statistika-spotreba/spotreba-pripravku-na-or/spotreba-v-jednotlivych-letech" TargetMode="External"/><Relationship Id="rId24" Type="http://schemas.openxmlformats.org/officeDocument/2006/relationships/hyperlink" Target="https://www.efsa.europa.eu/en/topics/topic/antimicrobial-resistance" TargetMode="External"/><Relationship Id="rId32" Type="http://schemas.openxmlformats.org/officeDocument/2006/relationships/chart" Target="charts/chart13.xml"/><Relationship Id="rId37" Type="http://schemas.openxmlformats.org/officeDocument/2006/relationships/chart" Target="charts/chart18.xml"/><Relationship Id="rId40" Type="http://schemas.openxmlformats.org/officeDocument/2006/relationships/image" Target="media/image11.png"/><Relationship Id="rId45" Type="http://schemas.openxmlformats.org/officeDocument/2006/relationships/image" Target="media/image16.png"/><Relationship Id="rId53" Type="http://schemas.openxmlformats.org/officeDocument/2006/relationships/image" Target="media/image24.png"/><Relationship Id="rId58" Type="http://schemas.openxmlformats.org/officeDocument/2006/relationships/image" Target="media/image29.png"/><Relationship Id="rId66" Type="http://schemas.openxmlformats.org/officeDocument/2006/relationships/header" Target="header4.xml"/><Relationship Id="rId5" Type="http://schemas.openxmlformats.org/officeDocument/2006/relationships/webSettings" Target="webSettings.xml"/><Relationship Id="rId15" Type="http://schemas.openxmlformats.org/officeDocument/2006/relationships/chart" Target="charts/chart6.xml"/><Relationship Id="rId23" Type="http://schemas.openxmlformats.org/officeDocument/2006/relationships/chart" Target="charts/chart9.xml"/><Relationship Id="rId28" Type="http://schemas.openxmlformats.org/officeDocument/2006/relationships/chart" Target="charts/chart11.xml"/><Relationship Id="rId36" Type="http://schemas.openxmlformats.org/officeDocument/2006/relationships/chart" Target="charts/chart17.xml"/><Relationship Id="rId49" Type="http://schemas.openxmlformats.org/officeDocument/2006/relationships/image" Target="media/image20.png"/><Relationship Id="rId57" Type="http://schemas.openxmlformats.org/officeDocument/2006/relationships/image" Target="media/image28.png"/><Relationship Id="rId61" Type="http://schemas.openxmlformats.org/officeDocument/2006/relationships/header" Target="header2.xml"/><Relationship Id="rId10" Type="http://schemas.openxmlformats.org/officeDocument/2006/relationships/chart" Target="charts/chart2.xml"/><Relationship Id="rId19" Type="http://schemas.openxmlformats.org/officeDocument/2006/relationships/image" Target="media/image3.emf"/><Relationship Id="rId31" Type="http://schemas.openxmlformats.org/officeDocument/2006/relationships/image" Target="media/image10.emf"/><Relationship Id="rId44" Type="http://schemas.openxmlformats.org/officeDocument/2006/relationships/image" Target="media/image15.emf"/><Relationship Id="rId52" Type="http://schemas.openxmlformats.org/officeDocument/2006/relationships/image" Target="media/image23.png"/><Relationship Id="rId60" Type="http://schemas.openxmlformats.org/officeDocument/2006/relationships/header" Target="header1.xml"/><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chart" Target="charts/chart5.xml"/><Relationship Id="rId22" Type="http://schemas.openxmlformats.org/officeDocument/2006/relationships/image" Target="media/image6.emf"/><Relationship Id="rId27" Type="http://schemas.openxmlformats.org/officeDocument/2006/relationships/chart" Target="charts/chart10.xml"/><Relationship Id="rId30" Type="http://schemas.openxmlformats.org/officeDocument/2006/relationships/image" Target="media/image9.emf"/><Relationship Id="rId35" Type="http://schemas.openxmlformats.org/officeDocument/2006/relationships/chart" Target="charts/chart16.xml"/><Relationship Id="rId43" Type="http://schemas.openxmlformats.org/officeDocument/2006/relationships/image" Target="media/image14.png"/><Relationship Id="rId48" Type="http://schemas.openxmlformats.org/officeDocument/2006/relationships/image" Target="media/image19.png"/><Relationship Id="rId56" Type="http://schemas.openxmlformats.org/officeDocument/2006/relationships/image" Target="media/image27.png"/><Relationship Id="rId64" Type="http://schemas.openxmlformats.org/officeDocument/2006/relationships/header" Target="header3.xml"/><Relationship Id="rId69" Type="http://schemas.openxmlformats.org/officeDocument/2006/relationships/header" Target="header6.xml"/><Relationship Id="rId8" Type="http://schemas.openxmlformats.org/officeDocument/2006/relationships/image" Target="media/image1.png"/><Relationship Id="rId51" Type="http://schemas.openxmlformats.org/officeDocument/2006/relationships/image" Target="media/image22.png"/><Relationship Id="rId3" Type="http://schemas.openxmlformats.org/officeDocument/2006/relationships/styles" Target="styles.xml"/><Relationship Id="rId12" Type="http://schemas.openxmlformats.org/officeDocument/2006/relationships/chart" Target="charts/chart3.xml"/><Relationship Id="rId17" Type="http://schemas.openxmlformats.org/officeDocument/2006/relationships/image" Target="media/image2.emf"/><Relationship Id="rId25" Type="http://schemas.openxmlformats.org/officeDocument/2006/relationships/image" Target="media/image7.emf"/><Relationship Id="rId33" Type="http://schemas.openxmlformats.org/officeDocument/2006/relationships/chart" Target="charts/chart14.xml"/><Relationship Id="rId38" Type="http://schemas.openxmlformats.org/officeDocument/2006/relationships/chart" Target="charts/chart19.xml"/><Relationship Id="rId46" Type="http://schemas.openxmlformats.org/officeDocument/2006/relationships/image" Target="media/image17.png"/><Relationship Id="rId59" Type="http://schemas.openxmlformats.org/officeDocument/2006/relationships/image" Target="media/image30.png"/><Relationship Id="rId67" Type="http://schemas.openxmlformats.org/officeDocument/2006/relationships/header" Target="header5.xml"/><Relationship Id="rId20" Type="http://schemas.openxmlformats.org/officeDocument/2006/relationships/image" Target="media/image4.png"/><Relationship Id="rId41" Type="http://schemas.openxmlformats.org/officeDocument/2006/relationships/image" Target="media/image12.png"/><Relationship Id="rId54" Type="http://schemas.openxmlformats.org/officeDocument/2006/relationships/image" Target="media/image25.png"/><Relationship Id="rId62" Type="http://schemas.openxmlformats.org/officeDocument/2006/relationships/footer" Target="footer1.xml"/><Relationship Id="rId70" Type="http://schemas.openxmlformats.org/officeDocument/2006/relationships/fontTable" Target="fontTable.xml"/></Relationships>
</file>

<file path=word/_rels/footnotes.xml.rels><?xml version="1.0" encoding="UTF-8" standalone="yes"?>
<Relationships xmlns="http://schemas.openxmlformats.org/package/2006/relationships"><Relationship Id="rId8" Type="http://schemas.openxmlformats.org/officeDocument/2006/relationships/hyperlink" Target="https://amr-review.org/sites/default/files/160525_Final%20paper_with%20cover.pdf" TargetMode="External"/><Relationship Id="rId13" Type="http://schemas.openxmlformats.org/officeDocument/2006/relationships/hyperlink" Target="http://www.thepigsite.com/swinenews/43076/antibiotic-free-pork-catching-on-in-denmark/" TargetMode="External"/><Relationship Id="rId18" Type="http://schemas.openxmlformats.org/officeDocument/2006/relationships/hyperlink" Target="http://eagri.cz/public/web/mze/ochrana-zvirat/legislativa/" TargetMode="External"/><Relationship Id="rId3" Type="http://schemas.openxmlformats.org/officeDocument/2006/relationships/hyperlink" Target="http://www.svscr.cz" TargetMode="External"/><Relationship Id="rId21" Type="http://schemas.openxmlformats.org/officeDocument/2006/relationships/hyperlink" Target="http://ec.europa.eu/food/animal/welfare/index_en.htm" TargetMode="External"/><Relationship Id="rId7" Type="http://schemas.openxmlformats.org/officeDocument/2006/relationships/hyperlink" Target="http://www.svscr.cz/wp-content/files/dokumenty-a-publikace/ib1704.pdf" TargetMode="External"/><Relationship Id="rId12" Type="http://schemas.openxmlformats.org/officeDocument/2006/relationships/hyperlink" Target="http://www.bbc.com/news/business-42437665" TargetMode="External"/><Relationship Id="rId17" Type="http://schemas.openxmlformats.org/officeDocument/2006/relationships/hyperlink" Target="https://www.ncbi.nlm.nih.gov/pubmed/27854336" TargetMode="External"/><Relationship Id="rId2" Type="http://schemas.openxmlformats.org/officeDocument/2006/relationships/hyperlink" Target="http://www.szpi.gov.cz" TargetMode="External"/><Relationship Id="rId16" Type="http://schemas.openxmlformats.org/officeDocument/2006/relationships/hyperlink" Target="http://ec.europa.eu/food/animal/welfare/farm/labelling_en.htm" TargetMode="External"/><Relationship Id="rId20" Type="http://schemas.openxmlformats.org/officeDocument/2006/relationships/hyperlink" Target="https://ec.europa.eu/food/animals/welfare/eu-ref-cen" TargetMode="External"/><Relationship Id="rId1" Type="http://schemas.openxmlformats.org/officeDocument/2006/relationships/hyperlink" Target="http://ec.europa.eu/food/food/rapidalert/index_en.htm" TargetMode="External"/><Relationship Id="rId6" Type="http://schemas.openxmlformats.org/officeDocument/2006/relationships/hyperlink" Target="http://eagri.cz/public/web/mze/voda/planovani-v-oblasti-vod/priprava-planu-povodi-pro-2-obdobi/zverejnene-informace/opatreni-obecne-povahy-o-vydani.html" TargetMode="External"/><Relationship Id="rId11" Type="http://schemas.openxmlformats.org/officeDocument/2006/relationships/hyperlink" Target="http://www.fwi.co.uk/livestock/tesco-milk-suppliers-to-cut-use-of-critical-antibiotics.htm" TargetMode="External"/><Relationship Id="rId24" Type="http://schemas.openxmlformats.org/officeDocument/2006/relationships/hyperlink" Target="https://www.nadis.org.uk/disease-a-z/cattle/disbudding-calves/" TargetMode="External"/><Relationship Id="rId5" Type="http://schemas.openxmlformats.org/officeDocument/2006/relationships/hyperlink" Target="http://eagri.cz/public/web/mze/legislativa/pravni-predpisy-mze/tematicky-prehled/Legislativa-MZe_uplna-zneni_zakon-2001-254-viceoblasti.html" TargetMode="External"/><Relationship Id="rId15" Type="http://schemas.openxmlformats.org/officeDocument/2006/relationships/hyperlink" Target="http://www.szu.cz/uploads/AP_NAP_2011_2013.pdf" TargetMode="External"/><Relationship Id="rId23" Type="http://schemas.openxmlformats.org/officeDocument/2006/relationships/hyperlink" Target="https://www.nadis.org.uk/" TargetMode="External"/><Relationship Id="rId10" Type="http://schemas.openxmlformats.org/officeDocument/2006/relationships/hyperlink" Target="http://www.waitrose.com/content/waitrose/en/home/inspiration/about_waitrose/the_waitrose_way/waitrose_animal_welfarecommitments.html" TargetMode="External"/><Relationship Id="rId19" Type="http://schemas.openxmlformats.org/officeDocument/2006/relationships/hyperlink" Target="https://ec.europa.eu/food/animals/welfare/eu-platform-animal-welfare_en" TargetMode="External"/><Relationship Id="rId4" Type="http://schemas.openxmlformats.org/officeDocument/2006/relationships/hyperlink" Target="https://apps.odok.cz/attachment/-/down/VPRAA64AL2UM" TargetMode="External"/><Relationship Id="rId9" Type="http://schemas.openxmlformats.org/officeDocument/2006/relationships/hyperlink" Target="https://www.ema.europa.eu/en/veterinary-regulatory/overview/antimicrobial-resistance/european-surveillance-veterinary-antimicrobial-consumption-esvac" TargetMode="External"/><Relationship Id="rId14" Type="http://schemas.openxmlformats.org/officeDocument/2006/relationships/hyperlink" Target="https://amr-review.org/sites/default/files/160525_Final%20paper_with%20cover.pdf" TargetMode="External"/><Relationship Id="rId22" Type="http://schemas.openxmlformats.org/officeDocument/2006/relationships/hyperlink" Target="http://www.omafra.gov.on.ca/english/livestock/dairy/facts/09-003.htm"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Abrahamova\AppData\Local\Microsoft\Windows\INetCache\Content.Outlook\A0P8I2I7\Se&#353;it1.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C:\Users\Abrahamova\Documents\WORD\SZP\2021\ATM\P&#345;ehled%20prodeje%20spot&#345;.antimikrobik_2018.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1" Type="http://schemas.openxmlformats.org/officeDocument/2006/relationships/oleObject" Target="file:///D:\szp\AMK_grafy.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D:\szp\AMK_grafy.xlsx" TargetMode="External"/></Relationships>
</file>

<file path=word/charts/_rels/chart13.xml.rels><?xml version="1.0" encoding="UTF-8" standalone="yes"?>
<Relationships xmlns="http://schemas.openxmlformats.org/package/2006/relationships"><Relationship Id="rId3" Type="http://schemas.openxmlformats.org/officeDocument/2006/relationships/oleObject" Target="Se&#353;it1" TargetMode="External"/><Relationship Id="rId2" Type="http://schemas.microsoft.com/office/2011/relationships/chartColorStyle" Target="colors11.xml"/><Relationship Id="rId1" Type="http://schemas.microsoft.com/office/2011/relationships/chartStyle" Target="style11.xml"/></Relationships>
</file>

<file path=word/charts/_rels/chart14.xml.rels><?xml version="1.0" encoding="UTF-8" standalone="yes"?>
<Relationships xmlns="http://schemas.openxmlformats.org/package/2006/relationships"><Relationship Id="rId2" Type="http://schemas.openxmlformats.org/officeDocument/2006/relationships/oleObject" Target="file:///D:\szp\Kopie%20-%20PROBLEMY%20ZV_15.8._doplneni%20Marek%20Spinka.xlsx" TargetMode="External"/><Relationship Id="rId1" Type="http://schemas.openxmlformats.org/officeDocument/2006/relationships/themeOverride" Target="../theme/themeOverride1.xml"/></Relationships>
</file>

<file path=word/charts/_rels/chart15.xml.rels><?xml version="1.0" encoding="UTF-8" standalone="yes"?>
<Relationships xmlns="http://schemas.openxmlformats.org/package/2006/relationships"><Relationship Id="rId1" Type="http://schemas.openxmlformats.org/officeDocument/2006/relationships/oleObject" Target="file:///D:\szp\Kopie%20-%20PROBLEMY%20ZV_15.8._doplneni%20Marek%20Spinka.xlsx" TargetMode="External"/></Relationships>
</file>

<file path=word/charts/_rels/chart16.xml.rels><?xml version="1.0" encoding="UTF-8" standalone="yes"?>
<Relationships xmlns="http://schemas.openxmlformats.org/package/2006/relationships"><Relationship Id="rId3" Type="http://schemas.openxmlformats.org/officeDocument/2006/relationships/oleObject" Target="file:///C:\Users\radlova\AppData\Local\Microsoft\Windows\INetCache\Content.Outlook\9WMBLT6E\Stavy%20slepic%20dle%20technologi&#237;%202011-2020%20%20kopie.xlsx" TargetMode="External"/><Relationship Id="rId2" Type="http://schemas.microsoft.com/office/2011/relationships/chartColorStyle" Target="colors12.xml"/><Relationship Id="rId1" Type="http://schemas.microsoft.com/office/2011/relationships/chartStyle" Target="style12.xml"/></Relationships>
</file>

<file path=word/charts/_rels/chart17.xml.rels><?xml version="1.0" encoding="UTF-8" standalone="yes"?>
<Relationships xmlns="http://schemas.openxmlformats.org/package/2006/relationships"><Relationship Id="rId3" Type="http://schemas.openxmlformats.org/officeDocument/2006/relationships/oleObject" Target="Se&#353;it1" TargetMode="External"/><Relationship Id="rId2" Type="http://schemas.microsoft.com/office/2011/relationships/chartColorStyle" Target="colors13.xml"/><Relationship Id="rId1" Type="http://schemas.microsoft.com/office/2011/relationships/chartStyle" Target="style13.xml"/></Relationships>
</file>

<file path=word/charts/_rels/chart18.xml.rels><?xml version="1.0" encoding="UTF-8" standalone="yes"?>
<Relationships xmlns="http://schemas.openxmlformats.org/package/2006/relationships"><Relationship Id="rId3" Type="http://schemas.openxmlformats.org/officeDocument/2006/relationships/oleObject" Target="Se&#353;it1" TargetMode="External"/><Relationship Id="rId2" Type="http://schemas.microsoft.com/office/2011/relationships/chartColorStyle" Target="colors14.xml"/><Relationship Id="rId1" Type="http://schemas.microsoft.com/office/2011/relationships/chartStyle" Target="style14.xml"/></Relationships>
</file>

<file path=word/charts/_rels/chart19.xml.rels><?xml version="1.0" encoding="UTF-8" standalone="yes"?>
<Relationships xmlns="http://schemas.openxmlformats.org/package/2006/relationships"><Relationship Id="rId3" Type="http://schemas.openxmlformats.org/officeDocument/2006/relationships/oleObject" Target="Se&#353;it1" TargetMode="External"/><Relationship Id="rId2" Type="http://schemas.microsoft.com/office/2011/relationships/chartColorStyle" Target="colors15.xml"/><Relationship Id="rId1" Type="http://schemas.microsoft.com/office/2011/relationships/chartStyle" Target="style15.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Abrahamova\Documents\WORD\SZP\2020\aktualizace_anal&#253;z\grafy_pesticidy%20&#218;KZ&#218;Z%20&#8211;%202020.xlsx" TargetMode="External"/><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Se&#353;it1" TargetMode="External"/><Relationship Id="rId2" Type="http://schemas.microsoft.com/office/2011/relationships/chartColorStyle" Target="colors16.xml"/><Relationship Id="rId1" Type="http://schemas.microsoft.com/office/2011/relationships/chartStyle" Target="style16.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Abrahamova\AppData\Local\Microsoft\Windows\INetCache\Content.Outlook\A0P8I2I7\grafy_pesticidy%20&#218;KZ&#218;Z%20%202020%20%20kopie.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Abrahamova\AppData\Local\Microsoft\Windows\INetCache\Content.Outlook\A0P8I2I7\grafy_pesticidy%20&#218;KZ&#218;Z%20%202020%20%20kopie.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Abrahamova\AppData\Local\Microsoft\Windows\INetCache\Content.Outlook\A0P8I2I7\grafy_pesticidy%20&#218;KZ&#218;Z%20%202020%20%20kopie.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Abrahamova\AppData\Local\Microsoft\Windows\INetCache\Content.Outlook\A0P8I2I7\grafy_pesticidy%20&#218;KZ&#218;Z%20%202020%20%20kopie.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Se&#353;it1"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Abrahamova\Documents\WORD\SZP\2021\aktualizace_anal&#253;z\POR_v&#253;ro&#269;n&#237;%20zpr&#225;vy_SZPI.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C:\Users\Abrahamova\Documents\WORD\SZP\2021\aktualizace_anal&#253;z\2012_2019%20zji&#353;t&#283;n&#225;%20rezidua_Vendy.xlsx" TargetMode="Externa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chartUserShapes" Target="../drawings/drawing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List1!$F$4</c:f>
              <c:strCache>
                <c:ptCount val="1"/>
                <c:pt idx="0">
                  <c:v>Plocha v EZ v tis. ha</c:v>
                </c:pt>
              </c:strCache>
            </c:strRef>
          </c:tx>
          <c:spPr>
            <a:solidFill>
              <a:srgbClr val="00B050"/>
            </a:solidFill>
            <a:ln>
              <a:noFill/>
            </a:ln>
            <a:effectLst>
              <a:outerShdw blurRad="50800" dist="38100" dir="2700000" algn="tl" rotWithShape="0">
                <a:prstClr val="black">
                  <a:alpha val="40000"/>
                </a:prstClr>
              </a:outerShdw>
            </a:effectLst>
          </c:spPr>
          <c:invertIfNegative val="0"/>
          <c:dLbls>
            <c:dLbl>
              <c:idx val="0"/>
              <c:layout>
                <c:manualLayout>
                  <c:x val="-2.0479358297083098E-17"/>
                  <c:y val="0.10570026425066056"/>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EAD7-5144-95D8-293BF433DD9B}"/>
                </c:ext>
              </c:extLst>
            </c:dLbl>
            <c:dLbl>
              <c:idx val="10"/>
              <c:layout>
                <c:manualLayout>
                  <c:x val="-2.2341376228775692E-3"/>
                  <c:y val="0.10192525481313704"/>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EAD7-5144-95D8-293BF433DD9B}"/>
                </c:ext>
              </c:extLst>
            </c:dLbl>
            <c:spPr>
              <a:solidFill>
                <a:schemeClr val="bg1"/>
              </a:solidFill>
              <a:ln>
                <a:solidFill>
                  <a:schemeClr val="bg1">
                    <a:lumMod val="50000"/>
                  </a:schemeClr>
                </a:solid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2"/>
                    </a:solidFill>
                    <a:latin typeface="+mn-lt"/>
                    <a:ea typeface="+mn-ea"/>
                    <a:cs typeface="+mn-cs"/>
                  </a:defRPr>
                </a:pPr>
                <a:endParaRPr lang="cs-CZ"/>
              </a:p>
            </c:txPr>
            <c:showLegendKey val="0"/>
            <c:showVal val="0"/>
            <c:showCatName val="0"/>
            <c:showSerName val="0"/>
            <c:showPercent val="0"/>
            <c:showBubbleSize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List1!$E$7:$E$17</c:f>
              <c:numCache>
                <c:formatCode>General</c:formatCode>
                <c:ptCount val="11"/>
                <c:pt idx="0">
                  <c:v>2009</c:v>
                </c:pt>
                <c:pt idx="1">
                  <c:v>2010</c:v>
                </c:pt>
                <c:pt idx="2">
                  <c:v>2011</c:v>
                </c:pt>
                <c:pt idx="3">
                  <c:v>2012</c:v>
                </c:pt>
                <c:pt idx="4">
                  <c:v>2013</c:v>
                </c:pt>
                <c:pt idx="5">
                  <c:v>2014</c:v>
                </c:pt>
                <c:pt idx="6">
                  <c:v>2015</c:v>
                </c:pt>
                <c:pt idx="7">
                  <c:v>2016</c:v>
                </c:pt>
                <c:pt idx="8">
                  <c:v>2017</c:v>
                </c:pt>
                <c:pt idx="9">
                  <c:v>2018</c:v>
                </c:pt>
                <c:pt idx="10">
                  <c:v>2019</c:v>
                </c:pt>
              </c:numCache>
            </c:numRef>
          </c:cat>
          <c:val>
            <c:numRef>
              <c:f>List1!$F$7:$F$17</c:f>
              <c:numCache>
                <c:formatCode>General</c:formatCode>
                <c:ptCount val="11"/>
                <c:pt idx="0">
                  <c:v>398</c:v>
                </c:pt>
                <c:pt idx="1">
                  <c:v>448</c:v>
                </c:pt>
                <c:pt idx="2">
                  <c:v>483</c:v>
                </c:pt>
                <c:pt idx="3">
                  <c:v>483</c:v>
                </c:pt>
                <c:pt idx="4">
                  <c:v>494</c:v>
                </c:pt>
                <c:pt idx="5">
                  <c:v>494</c:v>
                </c:pt>
                <c:pt idx="6">
                  <c:v>495</c:v>
                </c:pt>
                <c:pt idx="7">
                  <c:v>505</c:v>
                </c:pt>
                <c:pt idx="8">
                  <c:v>520</c:v>
                </c:pt>
                <c:pt idx="9" formatCode="0">
                  <c:v>538.89</c:v>
                </c:pt>
                <c:pt idx="10" formatCode="0">
                  <c:v>540.98699999999997</c:v>
                </c:pt>
              </c:numCache>
            </c:numRef>
          </c:val>
          <c:extLst>
            <c:ext xmlns:c16="http://schemas.microsoft.com/office/drawing/2014/chart" uri="{C3380CC4-5D6E-409C-BE32-E72D297353CC}">
              <c16:uniqueId val="{00000002-EAD7-5144-95D8-293BF433DD9B}"/>
            </c:ext>
          </c:extLst>
        </c:ser>
        <c:dLbls>
          <c:showLegendKey val="0"/>
          <c:showVal val="0"/>
          <c:showCatName val="0"/>
          <c:showSerName val="0"/>
          <c:showPercent val="0"/>
          <c:showBubbleSize val="0"/>
        </c:dLbls>
        <c:gapWidth val="219"/>
        <c:overlap val="-27"/>
        <c:axId val="399816672"/>
        <c:axId val="399817656"/>
      </c:barChart>
      <c:lineChart>
        <c:grouping val="standard"/>
        <c:varyColors val="0"/>
        <c:ser>
          <c:idx val="1"/>
          <c:order val="1"/>
          <c:tx>
            <c:strRef>
              <c:f>List1!$G$4</c:f>
              <c:strCache>
                <c:ptCount val="1"/>
                <c:pt idx="0">
                  <c:v>Podíl na ZPF v %</c:v>
                </c:pt>
              </c:strCache>
            </c:strRef>
          </c:tx>
          <c:spPr>
            <a:ln w="31750" cap="rnd">
              <a:solidFill>
                <a:schemeClr val="accent2">
                  <a:lumMod val="60000"/>
                  <a:lumOff val="40000"/>
                </a:schemeClr>
              </a:solidFill>
              <a:round/>
            </a:ln>
            <a:effectLst/>
          </c:spPr>
          <c:marker>
            <c:symbol val="circle"/>
            <c:size val="7"/>
            <c:spPr>
              <a:solidFill>
                <a:schemeClr val="accent2">
                  <a:lumMod val="75000"/>
                </a:schemeClr>
              </a:solidFill>
              <a:ln w="12700">
                <a:solidFill>
                  <a:schemeClr val="accent2">
                    <a:lumMod val="60000"/>
                    <a:lumOff val="40000"/>
                  </a:schemeClr>
                </a:solidFill>
                <a:round/>
              </a:ln>
              <a:effectLst/>
            </c:spPr>
          </c:marker>
          <c:cat>
            <c:numRef>
              <c:f>List1!$E$7:$E$17</c:f>
              <c:numCache>
                <c:formatCode>General</c:formatCode>
                <c:ptCount val="11"/>
                <c:pt idx="0">
                  <c:v>2009</c:v>
                </c:pt>
                <c:pt idx="1">
                  <c:v>2010</c:v>
                </c:pt>
                <c:pt idx="2">
                  <c:v>2011</c:v>
                </c:pt>
                <c:pt idx="3">
                  <c:v>2012</c:v>
                </c:pt>
                <c:pt idx="4">
                  <c:v>2013</c:v>
                </c:pt>
                <c:pt idx="5">
                  <c:v>2014</c:v>
                </c:pt>
                <c:pt idx="6">
                  <c:v>2015</c:v>
                </c:pt>
                <c:pt idx="7">
                  <c:v>2016</c:v>
                </c:pt>
                <c:pt idx="8">
                  <c:v>2017</c:v>
                </c:pt>
                <c:pt idx="9">
                  <c:v>2018</c:v>
                </c:pt>
                <c:pt idx="10">
                  <c:v>2019</c:v>
                </c:pt>
              </c:numCache>
            </c:numRef>
          </c:cat>
          <c:val>
            <c:numRef>
              <c:f>List1!$G$7:$G$17</c:f>
              <c:numCache>
                <c:formatCode>0.0</c:formatCode>
                <c:ptCount val="11"/>
                <c:pt idx="0">
                  <c:v>9.3800000000000008</c:v>
                </c:pt>
                <c:pt idx="1">
                  <c:v>10.55</c:v>
                </c:pt>
                <c:pt idx="2">
                  <c:v>11.4</c:v>
                </c:pt>
                <c:pt idx="3">
                  <c:v>11.56</c:v>
                </c:pt>
                <c:pt idx="4">
                  <c:v>11.7</c:v>
                </c:pt>
                <c:pt idx="5">
                  <c:v>11.72</c:v>
                </c:pt>
                <c:pt idx="6">
                  <c:v>11.74</c:v>
                </c:pt>
                <c:pt idx="7">
                  <c:v>12.03</c:v>
                </c:pt>
                <c:pt idx="8">
                  <c:v>12.38</c:v>
                </c:pt>
                <c:pt idx="9">
                  <c:v>12.82</c:v>
                </c:pt>
                <c:pt idx="10">
                  <c:v>15.22</c:v>
                </c:pt>
              </c:numCache>
            </c:numRef>
          </c:val>
          <c:smooth val="0"/>
          <c:extLst>
            <c:ext xmlns:c16="http://schemas.microsoft.com/office/drawing/2014/chart" uri="{C3380CC4-5D6E-409C-BE32-E72D297353CC}">
              <c16:uniqueId val="{00000003-EAD7-5144-95D8-293BF433DD9B}"/>
            </c:ext>
          </c:extLst>
        </c:ser>
        <c:dLbls>
          <c:showLegendKey val="0"/>
          <c:showVal val="0"/>
          <c:showCatName val="0"/>
          <c:showSerName val="0"/>
          <c:showPercent val="0"/>
          <c:showBubbleSize val="0"/>
        </c:dLbls>
        <c:marker val="1"/>
        <c:smooth val="0"/>
        <c:axId val="408149448"/>
        <c:axId val="408149120"/>
      </c:lineChart>
      <c:catAx>
        <c:axId val="399816672"/>
        <c:scaling>
          <c:orientation val="minMax"/>
        </c:scaling>
        <c:delete val="0"/>
        <c:axPos val="b"/>
        <c:numFmt formatCode="General" sourceLinked="1"/>
        <c:majorTickMark val="none"/>
        <c:minorTickMark val="none"/>
        <c:tickLblPos val="nextTo"/>
        <c:spPr>
          <a:noFill/>
          <a:ln w="9525" cap="flat" cmpd="sng" algn="ctr">
            <a:solidFill>
              <a:schemeClr val="tx1">
                <a:lumMod val="50000"/>
                <a:lumOff val="50000"/>
              </a:schemeClr>
            </a:solidFill>
            <a:round/>
          </a:ln>
          <a:effectLst/>
        </c:spPr>
        <c:txPr>
          <a:bodyPr rot="-60000000" spcFirstLastPara="1" vertOverflow="ellipsis" vert="horz" wrap="square" anchor="ctr" anchorCtr="1"/>
          <a:lstStyle/>
          <a:p>
            <a:pPr>
              <a:defRPr sz="1000" b="1" i="0" u="none" strike="noStrike" kern="1200" baseline="0">
                <a:solidFill>
                  <a:schemeClr val="tx2"/>
                </a:solidFill>
                <a:latin typeface="+mn-lt"/>
                <a:ea typeface="+mn-ea"/>
                <a:cs typeface="+mn-cs"/>
              </a:defRPr>
            </a:pPr>
            <a:endParaRPr lang="cs-CZ"/>
          </a:p>
        </c:txPr>
        <c:crossAx val="399817656"/>
        <c:crosses val="autoZero"/>
        <c:auto val="1"/>
        <c:lblAlgn val="ctr"/>
        <c:lblOffset val="100"/>
        <c:noMultiLvlLbl val="0"/>
      </c:catAx>
      <c:valAx>
        <c:axId val="399817656"/>
        <c:scaling>
          <c:orientation val="minMax"/>
          <c:min val="300"/>
        </c:scaling>
        <c:delete val="0"/>
        <c:axPos val="l"/>
        <c:majorGridlines>
          <c:spPr>
            <a:ln w="9525" cap="flat" cmpd="sng" algn="ctr">
              <a:solidFill>
                <a:schemeClr val="bg1">
                  <a:lumMod val="7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2"/>
                    </a:solidFill>
                    <a:latin typeface="+mn-lt"/>
                    <a:ea typeface="+mn-ea"/>
                    <a:cs typeface="+mn-cs"/>
                  </a:defRPr>
                </a:pPr>
                <a:r>
                  <a:rPr lang="en-US" sz="1000"/>
                  <a:t>plocha   tis ha</a:t>
                </a:r>
              </a:p>
            </c:rich>
          </c:tx>
          <c:layout/>
          <c:overlay val="0"/>
          <c:spPr>
            <a:noFill/>
            <a:ln>
              <a:noFill/>
            </a:ln>
            <a:effectLst/>
          </c:spPr>
          <c:txPr>
            <a:bodyPr rot="-5400000" spcFirstLastPara="1" vertOverflow="ellipsis" vert="horz" wrap="square" anchor="ctr" anchorCtr="1"/>
            <a:lstStyle/>
            <a:p>
              <a:pPr>
                <a:defRPr sz="1000" b="1" i="0" u="none" strike="noStrike" kern="1200" baseline="0">
                  <a:solidFill>
                    <a:schemeClr val="tx2"/>
                  </a:solidFill>
                  <a:latin typeface="+mn-lt"/>
                  <a:ea typeface="+mn-ea"/>
                  <a:cs typeface="+mn-cs"/>
                </a:defRPr>
              </a:pPr>
              <a:endParaRPr lang="cs-CZ"/>
            </a:p>
          </c:txPr>
        </c:title>
        <c:numFmt formatCode="General" sourceLinked="1"/>
        <c:majorTickMark val="none"/>
        <c:minorTickMark val="none"/>
        <c:tickLblPos val="nextTo"/>
        <c:spPr>
          <a:noFill/>
          <a:ln>
            <a:solidFill>
              <a:schemeClr val="tx1">
                <a:lumMod val="50000"/>
                <a:lumOff val="50000"/>
              </a:schemeClr>
            </a:solidFill>
          </a:ln>
          <a:effectLst/>
        </c:spPr>
        <c:txPr>
          <a:bodyPr rot="-60000000" spcFirstLastPara="1" vertOverflow="ellipsis" vert="horz" wrap="square" anchor="ctr" anchorCtr="1"/>
          <a:lstStyle/>
          <a:p>
            <a:pPr>
              <a:defRPr sz="1000" b="0" i="0" u="none" strike="noStrike" kern="1200" baseline="0">
                <a:solidFill>
                  <a:schemeClr val="tx2"/>
                </a:solidFill>
                <a:latin typeface="+mn-lt"/>
                <a:ea typeface="+mn-ea"/>
                <a:cs typeface="+mn-cs"/>
              </a:defRPr>
            </a:pPr>
            <a:endParaRPr lang="cs-CZ"/>
          </a:p>
        </c:txPr>
        <c:crossAx val="399816672"/>
        <c:crosses val="autoZero"/>
        <c:crossBetween val="between"/>
      </c:valAx>
      <c:valAx>
        <c:axId val="408149120"/>
        <c:scaling>
          <c:orientation val="minMax"/>
        </c:scaling>
        <c:delete val="0"/>
        <c:axPos val="r"/>
        <c:title>
          <c:tx>
            <c:rich>
              <a:bodyPr rot="-5400000" spcFirstLastPara="1" vertOverflow="ellipsis" vert="horz" wrap="square" anchor="ctr" anchorCtr="1"/>
              <a:lstStyle/>
              <a:p>
                <a:pPr>
                  <a:defRPr sz="1000" b="1" i="0" u="none" strike="noStrike" kern="1200" baseline="0">
                    <a:solidFill>
                      <a:schemeClr val="tx2"/>
                    </a:solidFill>
                    <a:latin typeface="+mn-lt"/>
                    <a:ea typeface="+mn-ea"/>
                    <a:cs typeface="+mn-cs"/>
                  </a:defRPr>
                </a:pPr>
                <a:r>
                  <a:rPr lang="en-US" sz="1000"/>
                  <a:t>podíl na ZPF v %</a:t>
                </a:r>
              </a:p>
            </c:rich>
          </c:tx>
          <c:layout/>
          <c:overlay val="0"/>
          <c:spPr>
            <a:noFill/>
            <a:ln>
              <a:noFill/>
            </a:ln>
            <a:effectLst/>
          </c:spPr>
          <c:txPr>
            <a:bodyPr rot="-5400000" spcFirstLastPara="1" vertOverflow="ellipsis" vert="horz" wrap="square" anchor="ctr" anchorCtr="1"/>
            <a:lstStyle/>
            <a:p>
              <a:pPr>
                <a:defRPr sz="1000" b="1" i="0" u="none" strike="noStrike" kern="1200" baseline="0">
                  <a:solidFill>
                    <a:schemeClr val="tx2"/>
                  </a:solidFill>
                  <a:latin typeface="+mn-lt"/>
                  <a:ea typeface="+mn-ea"/>
                  <a:cs typeface="+mn-cs"/>
                </a:defRPr>
              </a:pPr>
              <a:endParaRPr lang="cs-CZ"/>
            </a:p>
          </c:txPr>
        </c:title>
        <c:numFmt formatCode="0.0" sourceLinked="1"/>
        <c:majorTickMark val="none"/>
        <c:minorTickMark val="none"/>
        <c:tickLblPos val="nextTo"/>
        <c:spPr>
          <a:noFill/>
          <a:ln>
            <a:solidFill>
              <a:schemeClr val="tx1">
                <a:lumMod val="50000"/>
                <a:lumOff val="50000"/>
              </a:schemeClr>
            </a:solidFill>
          </a:ln>
          <a:effectLst/>
        </c:spPr>
        <c:txPr>
          <a:bodyPr rot="-60000000" spcFirstLastPara="1" vertOverflow="ellipsis" vert="horz" wrap="square" anchor="ctr" anchorCtr="1"/>
          <a:lstStyle/>
          <a:p>
            <a:pPr>
              <a:defRPr sz="1000" b="0" i="0" u="none" strike="noStrike" kern="1200" baseline="0">
                <a:solidFill>
                  <a:schemeClr val="tx2"/>
                </a:solidFill>
                <a:latin typeface="+mn-lt"/>
                <a:ea typeface="+mn-ea"/>
                <a:cs typeface="+mn-cs"/>
              </a:defRPr>
            </a:pPr>
            <a:endParaRPr lang="cs-CZ"/>
          </a:p>
        </c:txPr>
        <c:crossAx val="408149448"/>
        <c:crosses val="max"/>
        <c:crossBetween val="between"/>
      </c:valAx>
      <c:catAx>
        <c:axId val="408149448"/>
        <c:scaling>
          <c:orientation val="minMax"/>
        </c:scaling>
        <c:delete val="1"/>
        <c:axPos val="b"/>
        <c:numFmt formatCode="General" sourceLinked="1"/>
        <c:majorTickMark val="none"/>
        <c:minorTickMark val="none"/>
        <c:tickLblPos val="nextTo"/>
        <c:crossAx val="408149120"/>
        <c:crosses val="autoZero"/>
        <c:auto val="1"/>
        <c:lblAlgn val="ctr"/>
        <c:lblOffset val="100"/>
        <c:noMultiLvlLbl val="0"/>
      </c:cat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1000" b="0" i="0" u="none" strike="noStrike" kern="1200" baseline="0">
              <a:solidFill>
                <a:schemeClr val="tx2"/>
              </a:solidFill>
              <a:latin typeface="+mn-lt"/>
              <a:ea typeface="+mn-ea"/>
              <a:cs typeface="+mn-cs"/>
            </a:defRPr>
          </a:pPr>
          <a:endParaRPr lang="cs-CZ"/>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50000"/>
          <a:lumOff val="50000"/>
        </a:schemeClr>
      </a:solidFill>
      <a:round/>
    </a:ln>
    <a:effectLst/>
  </c:spPr>
  <c:txPr>
    <a:bodyPr/>
    <a:lstStyle/>
    <a:p>
      <a:pPr>
        <a:defRPr/>
      </a:pPr>
      <a:endParaRPr lang="cs-CZ"/>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_graf_tab!$I$25</c:f>
              <c:strCache>
                <c:ptCount val="1"/>
                <c:pt idx="0">
                  <c:v>2013</c:v>
                </c:pt>
              </c:strCache>
            </c:strRef>
          </c:tx>
          <c:spPr>
            <a:solidFill>
              <a:schemeClr val="accent6">
                <a:lumMod val="60000"/>
                <a:lumOff val="40000"/>
              </a:schemeClr>
            </a:solidFill>
            <a:ln>
              <a:noFill/>
            </a:ln>
            <a:effectLst/>
          </c:spPr>
          <c:invertIfNegative val="0"/>
          <c:dLbls>
            <c:spPr>
              <a:solidFill>
                <a:schemeClr val="bg1"/>
              </a:solid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strRef>
              <c:f>_graf_tab!$H$26:$H$30</c:f>
              <c:strCache>
                <c:ptCount val="5"/>
                <c:pt idx="0">
                  <c:v>ČR</c:v>
                </c:pt>
                <c:pt idx="1">
                  <c:v>Německo</c:v>
                </c:pt>
                <c:pt idx="2">
                  <c:v>Polsko</c:v>
                </c:pt>
                <c:pt idx="3">
                  <c:v>Rakousko</c:v>
                </c:pt>
                <c:pt idx="4">
                  <c:v>Maďarsko</c:v>
                </c:pt>
              </c:strCache>
            </c:strRef>
          </c:cat>
          <c:val>
            <c:numRef>
              <c:f>_graf_tab!$I$26:$I$30</c:f>
              <c:numCache>
                <c:formatCode>General</c:formatCode>
                <c:ptCount val="5"/>
                <c:pt idx="0">
                  <c:v>82.1</c:v>
                </c:pt>
                <c:pt idx="1">
                  <c:v>179.1</c:v>
                </c:pt>
                <c:pt idx="2">
                  <c:v>151.19999999999999</c:v>
                </c:pt>
                <c:pt idx="3">
                  <c:v>57.2</c:v>
                </c:pt>
                <c:pt idx="4">
                  <c:v>230.2</c:v>
                </c:pt>
              </c:numCache>
            </c:numRef>
          </c:val>
          <c:extLst>
            <c:ext xmlns:c16="http://schemas.microsoft.com/office/drawing/2014/chart" uri="{C3380CC4-5D6E-409C-BE32-E72D297353CC}">
              <c16:uniqueId val="{00000000-CB73-B14A-B951-3BFB64F7271C}"/>
            </c:ext>
          </c:extLst>
        </c:ser>
        <c:ser>
          <c:idx val="1"/>
          <c:order val="1"/>
          <c:tx>
            <c:strRef>
              <c:f>_graf_tab!$J$25</c:f>
              <c:strCache>
                <c:ptCount val="1"/>
                <c:pt idx="0">
                  <c:v>2015</c:v>
                </c:pt>
              </c:strCache>
            </c:strRef>
          </c:tx>
          <c:spPr>
            <a:solidFill>
              <a:schemeClr val="accent6">
                <a:lumMod val="75000"/>
              </a:schemeClr>
            </a:solidFill>
            <a:ln>
              <a:noFill/>
            </a:ln>
            <a:effectLst/>
          </c:spPr>
          <c:invertIfNegative val="0"/>
          <c:cat>
            <c:strRef>
              <c:f>_graf_tab!$H$26:$H$30</c:f>
              <c:strCache>
                <c:ptCount val="5"/>
                <c:pt idx="0">
                  <c:v>ČR</c:v>
                </c:pt>
                <c:pt idx="1">
                  <c:v>Německo</c:v>
                </c:pt>
                <c:pt idx="2">
                  <c:v>Polsko</c:v>
                </c:pt>
                <c:pt idx="3">
                  <c:v>Rakousko</c:v>
                </c:pt>
                <c:pt idx="4">
                  <c:v>Maďarsko</c:v>
                </c:pt>
              </c:strCache>
            </c:strRef>
          </c:cat>
          <c:val>
            <c:numRef>
              <c:f>_graf_tab!$J$26:$J$30</c:f>
              <c:numCache>
                <c:formatCode>General</c:formatCode>
                <c:ptCount val="5"/>
                <c:pt idx="0">
                  <c:v>68.099999999999994</c:v>
                </c:pt>
                <c:pt idx="1">
                  <c:v>97.9</c:v>
                </c:pt>
                <c:pt idx="2">
                  <c:v>138.9</c:v>
                </c:pt>
                <c:pt idx="3">
                  <c:v>50.7</c:v>
                </c:pt>
                <c:pt idx="4">
                  <c:v>211.4</c:v>
                </c:pt>
              </c:numCache>
            </c:numRef>
          </c:val>
          <c:extLst>
            <c:ext xmlns:c16="http://schemas.microsoft.com/office/drawing/2014/chart" uri="{C3380CC4-5D6E-409C-BE32-E72D297353CC}">
              <c16:uniqueId val="{00000001-CB73-B14A-B951-3BFB64F7271C}"/>
            </c:ext>
          </c:extLst>
        </c:ser>
        <c:ser>
          <c:idx val="2"/>
          <c:order val="2"/>
          <c:tx>
            <c:strRef>
              <c:f>_graf_tab!$K$25</c:f>
              <c:strCache>
                <c:ptCount val="1"/>
                <c:pt idx="0">
                  <c:v>2016</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c:spPr>
          <c:invertIfNegative val="0"/>
          <c:dLbls>
            <c:dLbl>
              <c:idx val="3"/>
              <c:layout>
                <c:manualLayout>
                  <c:x val="1.0946907498631636E-2"/>
                  <c:y val="-2.507836990595618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CB73-B14A-B951-3BFB64F7271C}"/>
                </c:ext>
              </c:extLst>
            </c:dLbl>
            <c:dLbl>
              <c:idx val="4"/>
              <c:layout>
                <c:manualLayout>
                  <c:x val="6.5681444991789817E-3"/>
                  <c:y val="-1.253918495297805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CB73-B14A-B951-3BFB64F7271C}"/>
                </c:ext>
              </c:extLst>
            </c:dLbl>
            <c:spPr>
              <a:solidFill>
                <a:schemeClr val="bg1"/>
              </a:solid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strRef>
              <c:f>_graf_tab!$H$26:$H$30</c:f>
              <c:strCache>
                <c:ptCount val="5"/>
                <c:pt idx="0">
                  <c:v>ČR</c:v>
                </c:pt>
                <c:pt idx="1">
                  <c:v>Německo</c:v>
                </c:pt>
                <c:pt idx="2">
                  <c:v>Polsko</c:v>
                </c:pt>
                <c:pt idx="3">
                  <c:v>Rakousko</c:v>
                </c:pt>
                <c:pt idx="4">
                  <c:v>Maďarsko</c:v>
                </c:pt>
              </c:strCache>
            </c:strRef>
          </c:cat>
          <c:val>
            <c:numRef>
              <c:f>_graf_tab!$K$26:$K$30</c:f>
              <c:numCache>
                <c:formatCode>General</c:formatCode>
                <c:ptCount val="5"/>
                <c:pt idx="0">
                  <c:v>61.2</c:v>
                </c:pt>
                <c:pt idx="1">
                  <c:v>89.2</c:v>
                </c:pt>
                <c:pt idx="2">
                  <c:v>129.4</c:v>
                </c:pt>
                <c:pt idx="3">
                  <c:v>46.1</c:v>
                </c:pt>
                <c:pt idx="4">
                  <c:v>187.1</c:v>
                </c:pt>
              </c:numCache>
            </c:numRef>
          </c:val>
          <c:extLst>
            <c:ext xmlns:c16="http://schemas.microsoft.com/office/drawing/2014/chart" uri="{C3380CC4-5D6E-409C-BE32-E72D297353CC}">
              <c16:uniqueId val="{00000004-CB73-B14A-B951-3BFB64F7271C}"/>
            </c:ext>
          </c:extLst>
        </c:ser>
        <c:ser>
          <c:idx val="3"/>
          <c:order val="3"/>
          <c:tx>
            <c:strRef>
              <c:f>_graf_tab!$L$25</c:f>
              <c:strCache>
                <c:ptCount val="1"/>
                <c:pt idx="0">
                  <c:v>2017</c:v>
                </c:pt>
              </c:strCache>
            </c:strRef>
          </c:tx>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c:spPr>
          <c:invertIfNegative val="0"/>
          <c:cat>
            <c:strRef>
              <c:f>_graf_tab!$H$26:$H$30</c:f>
              <c:strCache>
                <c:ptCount val="5"/>
                <c:pt idx="0">
                  <c:v>ČR</c:v>
                </c:pt>
                <c:pt idx="1">
                  <c:v>Německo</c:v>
                </c:pt>
                <c:pt idx="2">
                  <c:v>Polsko</c:v>
                </c:pt>
                <c:pt idx="3">
                  <c:v>Rakousko</c:v>
                </c:pt>
                <c:pt idx="4">
                  <c:v>Maďarsko</c:v>
                </c:pt>
              </c:strCache>
            </c:strRef>
          </c:cat>
          <c:val>
            <c:numRef>
              <c:f>_graf_tab!$L$26:$L$30</c:f>
              <c:numCache>
                <c:formatCode>0.0</c:formatCode>
                <c:ptCount val="5"/>
                <c:pt idx="0" formatCode="General">
                  <c:v>63.6</c:v>
                </c:pt>
                <c:pt idx="1">
                  <c:v>89</c:v>
                </c:pt>
                <c:pt idx="2" formatCode="General">
                  <c:v>165.2</c:v>
                </c:pt>
                <c:pt idx="3" formatCode="General">
                  <c:v>44.6</c:v>
                </c:pt>
                <c:pt idx="4" formatCode="General">
                  <c:v>147.19999999999999</c:v>
                </c:pt>
              </c:numCache>
            </c:numRef>
          </c:val>
          <c:extLst>
            <c:ext xmlns:c16="http://schemas.microsoft.com/office/drawing/2014/chart" uri="{C3380CC4-5D6E-409C-BE32-E72D297353CC}">
              <c16:uniqueId val="{00000005-CB73-B14A-B951-3BFB64F7271C}"/>
            </c:ext>
          </c:extLst>
        </c:ser>
        <c:ser>
          <c:idx val="4"/>
          <c:order val="4"/>
          <c:tx>
            <c:strRef>
              <c:f>_graf_tab!$M$25</c:f>
              <c:strCache>
                <c:ptCount val="1"/>
                <c:pt idx="0">
                  <c:v>2018</c:v>
                </c:pt>
              </c:strCache>
            </c:strRef>
          </c:tx>
          <c:spPr>
            <a:solidFill>
              <a:schemeClr val="accent2">
                <a:lumMod val="75000"/>
              </a:schemeClr>
            </a:solidFill>
            <a:ln>
              <a:noFill/>
            </a:ln>
            <a:effectLst/>
          </c:spPr>
          <c:invertIfNegative val="0"/>
          <c:dLbls>
            <c:spPr>
              <a:solidFill>
                <a:schemeClr val="bg1"/>
              </a:solid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strRef>
              <c:f>_graf_tab!$H$26:$H$30</c:f>
              <c:strCache>
                <c:ptCount val="5"/>
                <c:pt idx="0">
                  <c:v>ČR</c:v>
                </c:pt>
                <c:pt idx="1">
                  <c:v>Německo</c:v>
                </c:pt>
                <c:pt idx="2">
                  <c:v>Polsko</c:v>
                </c:pt>
                <c:pt idx="3">
                  <c:v>Rakousko</c:v>
                </c:pt>
                <c:pt idx="4">
                  <c:v>Maďarsko</c:v>
                </c:pt>
              </c:strCache>
            </c:strRef>
          </c:cat>
          <c:val>
            <c:numRef>
              <c:f>_graf_tab!$M$26:$M$30</c:f>
              <c:numCache>
                <c:formatCode>0.0</c:formatCode>
                <c:ptCount val="5"/>
                <c:pt idx="0">
                  <c:v>57</c:v>
                </c:pt>
                <c:pt idx="1">
                  <c:v>88</c:v>
                </c:pt>
                <c:pt idx="2" formatCode="General">
                  <c:v>167.4</c:v>
                </c:pt>
                <c:pt idx="3" formatCode="General">
                  <c:v>50.1</c:v>
                </c:pt>
                <c:pt idx="4" formatCode="General">
                  <c:v>180.6</c:v>
                </c:pt>
              </c:numCache>
            </c:numRef>
          </c:val>
          <c:extLst>
            <c:ext xmlns:c16="http://schemas.microsoft.com/office/drawing/2014/chart" uri="{C3380CC4-5D6E-409C-BE32-E72D297353CC}">
              <c16:uniqueId val="{00000006-CB73-B14A-B951-3BFB64F7271C}"/>
            </c:ext>
          </c:extLst>
        </c:ser>
        <c:dLbls>
          <c:showLegendKey val="0"/>
          <c:showVal val="0"/>
          <c:showCatName val="0"/>
          <c:showSerName val="0"/>
          <c:showPercent val="0"/>
          <c:showBubbleSize val="0"/>
        </c:dLbls>
        <c:gapWidth val="100"/>
        <c:overlap val="-24"/>
        <c:axId val="1375273776"/>
        <c:axId val="1190563744"/>
      </c:barChart>
      <c:catAx>
        <c:axId val="1375273776"/>
        <c:scaling>
          <c:orientation val="minMax"/>
        </c:scaling>
        <c:delete val="0"/>
        <c:axPos val="b"/>
        <c:numFmt formatCode="General" sourceLinked="1"/>
        <c:majorTickMark val="none"/>
        <c:minorTickMark val="none"/>
        <c:tickLblPos val="nextTo"/>
        <c:spPr>
          <a:noFill/>
          <a:ln w="9525" cap="flat" cmpd="sng" algn="ctr">
            <a:solidFill>
              <a:schemeClr val="bg1">
                <a:lumMod val="50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cs-CZ"/>
          </a:p>
        </c:txPr>
        <c:crossAx val="1190563744"/>
        <c:crosses val="autoZero"/>
        <c:auto val="1"/>
        <c:lblAlgn val="ctr"/>
        <c:lblOffset val="100"/>
        <c:noMultiLvlLbl val="0"/>
      </c:catAx>
      <c:valAx>
        <c:axId val="1190563744"/>
        <c:scaling>
          <c:orientation val="minMax"/>
        </c:scaling>
        <c:delete val="0"/>
        <c:axPos val="l"/>
        <c:majorGridlines>
          <c:spPr>
            <a:ln w="9525" cap="flat" cmpd="sng" algn="ctr">
              <a:solidFill>
                <a:schemeClr val="bg1">
                  <a:lumMod val="7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2"/>
                    </a:solidFill>
                    <a:latin typeface="+mn-lt"/>
                    <a:ea typeface="+mn-ea"/>
                    <a:cs typeface="+mn-cs"/>
                  </a:defRPr>
                </a:pPr>
                <a:r>
                  <a:rPr lang="cs-CZ" b="0"/>
                  <a:t>mg/PCU</a:t>
                </a:r>
              </a:p>
            </c:rich>
          </c:tx>
          <c:layout>
            <c:manualLayout>
              <c:xMode val="edge"/>
              <c:yMode val="edge"/>
              <c:x val="1.9704433497536946E-2"/>
              <c:y val="0.34962703329795369"/>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cs-CZ"/>
            </a:p>
          </c:txPr>
        </c:title>
        <c:numFmt formatCode="General" sourceLinked="1"/>
        <c:majorTickMark val="none"/>
        <c:minorTickMark val="none"/>
        <c:tickLblPos val="nextTo"/>
        <c:spPr>
          <a:noFill/>
          <a:ln>
            <a:solidFill>
              <a:schemeClr val="bg1">
                <a:lumMod val="50000"/>
              </a:schemeClr>
            </a:solid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cs-CZ"/>
          </a:p>
        </c:txPr>
        <c:crossAx val="1375273776"/>
        <c:crosses val="autoZero"/>
        <c:crossBetween val="between"/>
      </c:valAx>
      <c:spPr>
        <a:noFill/>
        <a:ln>
          <a:noFill/>
        </a:ln>
        <a:effectLst/>
      </c:spPr>
    </c:plotArea>
    <c:legend>
      <c:legendPos val="b"/>
      <c:layout/>
      <c:overlay val="0"/>
      <c:spPr>
        <a:no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cs-CZ"/>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bg1">
          <a:lumMod val="50000"/>
        </a:schemeClr>
      </a:solidFill>
      <a:round/>
    </a:ln>
    <a:effectLst/>
  </c:spPr>
  <c:txPr>
    <a:bodyPr/>
    <a:lstStyle/>
    <a:p>
      <a:pPr>
        <a:defRPr/>
      </a:pPr>
      <a:endParaRPr lang="cs-CZ"/>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5885205138831329E-2"/>
          <c:y val="5.7458563535911604E-2"/>
          <c:w val="0.53223684210526312"/>
          <c:h val="0.89392265193370168"/>
        </c:manualLayout>
      </c:layout>
      <c:pie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C3A4-8742-961F-83346B1E50FE}"/>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C3A4-8742-961F-83346B1E50FE}"/>
              </c:ext>
            </c:extLst>
          </c:dPt>
          <c:dPt>
            <c:idx val="2"/>
            <c:bubble3D val="0"/>
            <c:spPr>
              <a:solidFill>
                <a:srgbClr val="92D050"/>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C3A4-8742-961F-83346B1E50FE}"/>
              </c:ext>
            </c:extLst>
          </c:dPt>
          <c:dPt>
            <c:idx val="3"/>
            <c:bubble3D val="0"/>
            <c:spPr>
              <a:solidFill>
                <a:srgbClr val="00B050"/>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C3A4-8742-961F-83346B1E50FE}"/>
              </c:ext>
            </c:extLst>
          </c:dPt>
          <c:dLbls>
            <c:dLbl>
              <c:idx val="0"/>
              <c:layout>
                <c:manualLayout>
                  <c:x val="-3.7465004374453194E-2"/>
                  <c:y val="1.4916885389326122E-3"/>
                </c:manualLayout>
              </c:layout>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C3A4-8742-961F-83346B1E50FE}"/>
                </c:ext>
              </c:extLst>
            </c:dLbl>
            <c:dLbl>
              <c:idx val="1"/>
              <c:layout>
                <c:manualLayout>
                  <c:x val="-9.6108705161854768E-2"/>
                  <c:y val="0.16848170020414116"/>
                </c:manualLayout>
              </c:layout>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C3A4-8742-961F-83346B1E50FE}"/>
                </c:ext>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cs-CZ"/>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15:layout/>
              </c:ext>
            </c:extLst>
          </c:dLbls>
          <c:cat>
            <c:strRef>
              <c:f>List2!$C$4:$C$7</c:f>
              <c:strCache>
                <c:ptCount val="4"/>
                <c:pt idx="0">
                  <c:v>Nezajímá mě</c:v>
                </c:pt>
                <c:pt idx="1">
                  <c:v>Uměle vytvořený problém, který přináší další zbytečné náklady a zátěž</c:v>
                </c:pt>
                <c:pt idx="2">
                  <c:v>Skutečný problém, který ale přináší další náklady a zátěž bez reálné možnosti jejich kompenzace</c:v>
                </c:pt>
                <c:pt idx="3">
                  <c:v>Skutečný problém, který lze řešit a chápat jako příležitost k pozitivnímu odlišení v rámci systému kvality</c:v>
                </c:pt>
              </c:strCache>
            </c:strRef>
          </c:cat>
          <c:val>
            <c:numRef>
              <c:f>List2!$D$4:$D$7</c:f>
              <c:numCache>
                <c:formatCode>General</c:formatCode>
                <c:ptCount val="4"/>
                <c:pt idx="0">
                  <c:v>3.7</c:v>
                </c:pt>
                <c:pt idx="1">
                  <c:v>11.1</c:v>
                </c:pt>
                <c:pt idx="2">
                  <c:v>53</c:v>
                </c:pt>
                <c:pt idx="3">
                  <c:v>32.200000000000003</c:v>
                </c:pt>
              </c:numCache>
            </c:numRef>
          </c:val>
          <c:extLst>
            <c:ext xmlns:c16="http://schemas.microsoft.com/office/drawing/2014/chart" uri="{C3380CC4-5D6E-409C-BE32-E72D297353CC}">
              <c16:uniqueId val="{00000008-C3A4-8742-961F-83346B1E50FE}"/>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layout>
        <c:manualLayout>
          <c:xMode val="edge"/>
          <c:yMode val="edge"/>
          <c:x val="0.61599295482801486"/>
          <c:y val="4.723365380432417E-2"/>
          <c:w val="0.35681413178615828"/>
          <c:h val="0.92953966612759265"/>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1000" b="0" i="0" u="none" strike="noStrike" kern="1200" baseline="0">
              <a:solidFill>
                <a:schemeClr val="dk1">
                  <a:lumMod val="75000"/>
                  <a:lumOff val="25000"/>
                </a:schemeClr>
              </a:solidFill>
              <a:latin typeface="+mn-lt"/>
              <a:ea typeface="+mn-ea"/>
              <a:cs typeface="+mn-cs"/>
            </a:defRPr>
          </a:pPr>
          <a:endParaRPr lang="cs-CZ"/>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dk1">
          <a:lumMod val="25000"/>
          <a:lumOff val="75000"/>
        </a:schemeClr>
      </a:solidFill>
      <a:round/>
    </a:ln>
    <a:effectLst/>
  </c:spPr>
  <c:txPr>
    <a:bodyPr/>
    <a:lstStyle/>
    <a:p>
      <a:pPr>
        <a:defRPr/>
      </a:pPr>
      <a:endParaRPr lang="cs-CZ"/>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7601396018563622E-2"/>
          <c:y val="8.4525176927141538E-2"/>
          <c:w val="0.52529266608499225"/>
          <c:h val="0.85006106909903589"/>
        </c:manualLayout>
      </c:layout>
      <c:pieChart>
        <c:varyColors val="1"/>
        <c:ser>
          <c:idx val="0"/>
          <c:order val="0"/>
          <c:dPt>
            <c:idx val="0"/>
            <c:bubble3D val="0"/>
            <c:spPr>
              <a:solidFill>
                <a:srgbClr val="92D050"/>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8B1E-6943-A7B0-E0B9FA6505D0}"/>
              </c:ext>
            </c:extLst>
          </c:dPt>
          <c:dPt>
            <c:idx val="1"/>
            <c:bubble3D val="0"/>
            <c:spPr>
              <a:solidFill>
                <a:srgbClr val="00B050"/>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8B1E-6943-A7B0-E0B9FA6505D0}"/>
              </c:ext>
            </c:extLst>
          </c:dPt>
          <c:dPt>
            <c:idx val="2"/>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8B1E-6943-A7B0-E0B9FA6505D0}"/>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8B1E-6943-A7B0-E0B9FA6505D0}"/>
              </c:ext>
            </c:extLst>
          </c:dPt>
          <c:dLbls>
            <c:dLbl>
              <c:idx val="2"/>
              <c:layout>
                <c:manualLayout>
                  <c:x val="1.3582020997375302E-2"/>
                  <c:y val="2.1032006415864678E-2"/>
                </c:manualLayout>
              </c:layout>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5-8B1E-6943-A7B0-E0B9FA6505D0}"/>
                </c:ext>
              </c:extLst>
            </c:dLbl>
            <c:dLbl>
              <c:idx val="3"/>
              <c:layout>
                <c:manualLayout>
                  <c:x val="5.102646544181972E-2"/>
                  <c:y val="8.2206547098279376E-2"/>
                </c:manualLayout>
              </c:layout>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7-8B1E-6943-A7B0-E0B9FA6505D0}"/>
                </c:ext>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cs-CZ"/>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15:layout/>
              </c:ext>
            </c:extLst>
          </c:dLbls>
          <c:cat>
            <c:strRef>
              <c:f>List1!$D$7:$D$10</c:f>
              <c:strCache>
                <c:ptCount val="4"/>
                <c:pt idx="0">
                  <c:v>rozhoduje výhradně odborné stanovisko veterinárního lékaře</c:v>
                </c:pt>
                <c:pt idx="1">
                  <c:v>rozhoduje výhradně odborné stanovisko veterinárního lékaře, chovatele a případně poradenské firmy</c:v>
                </c:pt>
                <c:pt idx="2">
                  <c:v>rozhoduje odborné stanovisko chovatele a případně poradenské firmy</c:v>
                </c:pt>
                <c:pt idx="3">
                  <c:v>rozhodují ekonomické faktory a možnosti chovatele</c:v>
                </c:pt>
              </c:strCache>
            </c:strRef>
          </c:cat>
          <c:val>
            <c:numRef>
              <c:f>List1!$E$7:$E$10</c:f>
              <c:numCache>
                <c:formatCode>General</c:formatCode>
                <c:ptCount val="4"/>
                <c:pt idx="0">
                  <c:v>45.4</c:v>
                </c:pt>
                <c:pt idx="1">
                  <c:v>47.4</c:v>
                </c:pt>
                <c:pt idx="2">
                  <c:v>1.2</c:v>
                </c:pt>
                <c:pt idx="3">
                  <c:v>6</c:v>
                </c:pt>
              </c:numCache>
            </c:numRef>
          </c:val>
          <c:extLst>
            <c:ext xmlns:c16="http://schemas.microsoft.com/office/drawing/2014/chart" uri="{C3380CC4-5D6E-409C-BE32-E72D297353CC}">
              <c16:uniqueId val="{00000008-8B1E-6943-A7B0-E0B9FA6505D0}"/>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layout>
        <c:manualLayout>
          <c:xMode val="edge"/>
          <c:yMode val="edge"/>
          <c:x val="0.62075853018372706"/>
          <c:y val="1.2728200641586472E-2"/>
          <c:w val="0.34035258092738407"/>
          <c:h val="0.93750656167979007"/>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cs-CZ"/>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dk1">
          <a:lumMod val="25000"/>
          <a:lumOff val="75000"/>
        </a:schemeClr>
      </a:solidFill>
      <a:round/>
    </a:ln>
    <a:effectLst/>
  </c:spPr>
  <c:txPr>
    <a:bodyPr/>
    <a:lstStyle/>
    <a:p>
      <a:pPr>
        <a:defRPr/>
      </a:pPr>
      <a:endParaRPr lang="cs-CZ"/>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sz="1000"/>
              <a:t>Podíl</a:t>
            </a:r>
            <a:r>
              <a:rPr lang="cs-CZ" sz="1000" baseline="0"/>
              <a:t> vyřazených zvířat v %</a:t>
            </a:r>
            <a:endParaRPr lang="cs-CZ" sz="1000"/>
          </a:p>
        </c:rich>
      </c:tx>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9116-4766-8449-03212E981B08}"/>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9116-4766-8449-03212E981B08}"/>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9116-4766-8449-03212E981B08}"/>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9116-4766-8449-03212E981B08}"/>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9116-4766-8449-03212E981B08}"/>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9116-4766-8449-03212E981B08}"/>
              </c:ext>
            </c:extLst>
          </c:dPt>
          <c:dPt>
            <c:idx val="6"/>
            <c:bubble3D val="0"/>
            <c:spPr>
              <a:solidFill>
                <a:schemeClr val="accent1">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D-9116-4766-8449-03212E981B08}"/>
              </c:ext>
            </c:extLst>
          </c:dPt>
          <c:dPt>
            <c:idx val="7"/>
            <c:bubble3D val="0"/>
            <c:spPr>
              <a:solidFill>
                <a:schemeClr val="accent2">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F-9116-4766-8449-03212E981B08}"/>
              </c:ext>
            </c:extLst>
          </c:dPt>
          <c:dLbls>
            <c:dLbl>
              <c:idx val="0"/>
              <c:layout/>
              <c:tx>
                <c:rich>
                  <a:bodyPr/>
                  <a:lstStyle/>
                  <a:p>
                    <a:fld id="{2A43753E-B0BE-48C0-B63F-B19524CC05D3}" type="VALUE">
                      <a:rPr lang="en-US"/>
                      <a:pPr/>
                      <a:t>[HODNOTA]</a:t>
                    </a:fld>
                    <a:r>
                      <a:rPr lang="en-US"/>
                      <a:t> %</a:t>
                    </a:r>
                  </a:p>
                </c:rich>
              </c:tx>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1-9116-4766-8449-03212E981B08}"/>
                </c:ext>
              </c:extLst>
            </c:dLbl>
            <c:dLbl>
              <c:idx val="1"/>
              <c:layout/>
              <c:tx>
                <c:rich>
                  <a:bodyPr/>
                  <a:lstStyle/>
                  <a:p>
                    <a:fld id="{2A6F8F6F-0396-456F-8F2C-16A81C80902D}" type="VALUE">
                      <a:rPr lang="en-US"/>
                      <a:pPr/>
                      <a:t>[HODNOTA]</a:t>
                    </a:fld>
                    <a:r>
                      <a:rPr lang="en-US"/>
                      <a:t> %</a:t>
                    </a:r>
                  </a:p>
                  <a:p>
                    <a:endParaRPr lang="cs-CZ"/>
                  </a:p>
                </c:rich>
              </c:tx>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3-9116-4766-8449-03212E981B08}"/>
                </c:ext>
              </c:extLst>
            </c:dLbl>
            <c:dLbl>
              <c:idx val="2"/>
              <c:layout/>
              <c:tx>
                <c:rich>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fld id="{5AD7DDF9-9FBE-473D-8DDA-6E82171D0B28}" type="VALUE">
                      <a:rPr lang="en-US" baseline="0">
                        <a:solidFill>
                          <a:sysClr val="windowText" lastClr="000000"/>
                        </a:solidFill>
                      </a:rPr>
                      <a:pPr>
                        <a:defRPr>
                          <a:solidFill>
                            <a:sysClr val="windowText" lastClr="000000"/>
                          </a:solidFill>
                        </a:defRPr>
                      </a:pPr>
                      <a:t>[HODNOTA]</a:t>
                    </a:fld>
                    <a:r>
                      <a:rPr lang="en-US" baseline="0">
                        <a:solidFill>
                          <a:sysClr val="windowText" lastClr="000000"/>
                        </a:solidFill>
                      </a:rPr>
                      <a:t> %</a:t>
                    </a:r>
                  </a:p>
                  <a:p>
                    <a:pPr>
                      <a:defRPr>
                        <a:solidFill>
                          <a:sysClr val="windowText" lastClr="000000"/>
                        </a:solidFill>
                      </a:defRPr>
                    </a:pPr>
                    <a:endParaRPr lang="cs-CZ"/>
                  </a:p>
                </c:rich>
              </c:tx>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cs-CZ"/>
                </a:p>
              </c:txPr>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5-9116-4766-8449-03212E981B08}"/>
                </c:ext>
              </c:extLst>
            </c:dLbl>
            <c:dLbl>
              <c:idx val="3"/>
              <c:layout/>
              <c:tx>
                <c:rich>
                  <a:bodyPr/>
                  <a:lstStyle/>
                  <a:p>
                    <a:r>
                      <a:rPr lang="en-US"/>
                      <a:t> 7,3 %</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9116-4766-8449-03212E981B08}"/>
                </c:ext>
              </c:extLst>
            </c:dLbl>
            <c:dLbl>
              <c:idx val="4"/>
              <c:layout/>
              <c:tx>
                <c:rich>
                  <a:bodyPr/>
                  <a:lstStyle/>
                  <a:p>
                    <a:fld id="{2DEB8D2A-3ADC-4681-8A16-3273611CEA70}" type="VALUE">
                      <a:rPr lang="en-US"/>
                      <a:pPr/>
                      <a:t>[HODNOTA]</a:t>
                    </a:fld>
                    <a:r>
                      <a:rPr lang="en-US"/>
                      <a:t> %</a:t>
                    </a:r>
                  </a:p>
                </c:rich>
              </c:tx>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9-9116-4766-8449-03212E981B08}"/>
                </c:ext>
              </c:extLst>
            </c:dLbl>
            <c:dLbl>
              <c:idx val="5"/>
              <c:layout/>
              <c:tx>
                <c:rich>
                  <a:bodyPr/>
                  <a:lstStyle/>
                  <a:p>
                    <a:fld id="{AA8EEA74-3524-4AC7-A11F-E565B704B959}" type="VALUE">
                      <a:rPr lang="en-US"/>
                      <a:pPr/>
                      <a:t>[HODNOTA]</a:t>
                    </a:fld>
                    <a:r>
                      <a:rPr lang="en-US"/>
                      <a:t> %</a:t>
                    </a:r>
                  </a:p>
                </c:rich>
              </c:tx>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B-9116-4766-8449-03212E981B08}"/>
                </c:ext>
              </c:extLst>
            </c:dLbl>
            <c:dLbl>
              <c:idx val="6"/>
              <c:layout/>
              <c:tx>
                <c:rich>
                  <a:bodyPr/>
                  <a:lstStyle/>
                  <a:p>
                    <a:r>
                      <a:rPr lang="en-US"/>
                      <a:t> 9,9</a:t>
                    </a:r>
                    <a:r>
                      <a:rPr lang="en-US" baseline="0"/>
                      <a:t> %</a:t>
                    </a:r>
                    <a:endParaRPr lang="en-US"/>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9116-4766-8449-03212E981B08}"/>
                </c:ext>
              </c:extLst>
            </c:dLbl>
            <c:dLbl>
              <c:idx val="7"/>
              <c:layout/>
              <c:tx>
                <c:rich>
                  <a:bodyPr/>
                  <a:lstStyle/>
                  <a:p>
                    <a:r>
                      <a:rPr lang="en-US"/>
                      <a:t>41,4 %</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9116-4766-8449-03212E981B0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cs-CZ"/>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List1!$C$23:$C$30</c:f>
              <c:strCache>
                <c:ptCount val="8"/>
                <c:pt idx="0">
                  <c:v>Rušení KU</c:v>
                </c:pt>
                <c:pt idx="1">
                  <c:v>Užitkovost</c:v>
                </c:pt>
                <c:pt idx="2">
                  <c:v>Vysoký věk</c:v>
                </c:pt>
                <c:pt idx="3">
                  <c:v>Ostatní zootechnické důvody</c:v>
                </c:pt>
                <c:pt idx="4">
                  <c:v>Onemocnění vemene</c:v>
                </c:pt>
                <c:pt idx="5">
                  <c:v>Plodnost</c:v>
                </c:pt>
                <c:pt idx="6">
                  <c:v>Těžký porod</c:v>
                </c:pt>
                <c:pt idx="7">
                  <c:v>Ostat. zdravotní důvody</c:v>
                </c:pt>
              </c:strCache>
            </c:strRef>
          </c:cat>
          <c:val>
            <c:numRef>
              <c:f>List1!$D$23:$D$30</c:f>
              <c:numCache>
                <c:formatCode>0.0</c:formatCode>
                <c:ptCount val="8"/>
                <c:pt idx="0">
                  <c:v>3.4555555555555548</c:v>
                </c:pt>
                <c:pt idx="1">
                  <c:v>8.2666666666666675</c:v>
                </c:pt>
                <c:pt idx="2">
                  <c:v>0.94444444444444442</c:v>
                </c:pt>
                <c:pt idx="3">
                  <c:v>7.344444444444445</c:v>
                </c:pt>
                <c:pt idx="4">
                  <c:v>9.3333333333333339</c:v>
                </c:pt>
                <c:pt idx="5">
                  <c:v>19.333333333333332</c:v>
                </c:pt>
                <c:pt idx="6">
                  <c:v>9.8666666666666654</c:v>
                </c:pt>
                <c:pt idx="7">
                  <c:v>41.422222222222217</c:v>
                </c:pt>
              </c:numCache>
            </c:numRef>
          </c:val>
          <c:extLst>
            <c:ext xmlns:c16="http://schemas.microsoft.com/office/drawing/2014/chart" uri="{C3380CC4-5D6E-409C-BE32-E72D297353CC}">
              <c16:uniqueId val="{00000010-9116-4766-8449-03212E981B08}"/>
            </c:ext>
          </c:extLst>
        </c:ser>
        <c:dLbls>
          <c:showLegendKey val="0"/>
          <c:showVal val="0"/>
          <c:showCatName val="0"/>
          <c:showSerName val="0"/>
          <c:showPercent val="0"/>
          <c:showBubbleSize val="0"/>
          <c:showLeaderLines val="1"/>
        </c:dLbls>
      </c:pie3DChart>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chemeClr val="dk1">
                    <a:lumMod val="65000"/>
                    <a:lumOff val="35000"/>
                  </a:schemeClr>
                </a:solidFill>
                <a:effectLst/>
                <a:latin typeface="Arial" panose="020B0604020202020204" pitchFamily="34" charset="0"/>
                <a:ea typeface="+mn-ea"/>
                <a:cs typeface="Arial" panose="020B0604020202020204" pitchFamily="34" charset="0"/>
              </a:defRPr>
            </a:pPr>
            <a:r>
              <a:rPr lang="cs-CZ" sz="1000" b="1">
                <a:latin typeface="Arial" panose="020B0604020202020204" pitchFamily="34" charset="0"/>
                <a:cs typeface="Arial" panose="020B0604020202020204" pitchFamily="34" charset="0"/>
              </a:rPr>
              <a:t>Celkem 60 % chovatelů označilo za nejčasteji se vyskytující onemocnění dojnic onemocnění mléčné žlázy </a:t>
            </a:r>
          </a:p>
          <a:p>
            <a:pPr>
              <a:defRPr sz="1000" b="1" i="0" u="none" strike="noStrike" kern="1200" baseline="0">
                <a:solidFill>
                  <a:schemeClr val="dk1">
                    <a:lumMod val="65000"/>
                    <a:lumOff val="35000"/>
                  </a:schemeClr>
                </a:solidFill>
                <a:effectLst/>
                <a:latin typeface="Arial" panose="020B0604020202020204" pitchFamily="34" charset="0"/>
                <a:ea typeface="+mn-ea"/>
                <a:cs typeface="Arial" panose="020B0604020202020204" pitchFamily="34" charset="0"/>
              </a:defRPr>
            </a:pPr>
            <a:r>
              <a:rPr lang="cs-CZ" sz="1000" b="1">
                <a:latin typeface="Arial" panose="020B0604020202020204" pitchFamily="34" charset="0"/>
                <a:cs typeface="Arial" panose="020B0604020202020204" pitchFamily="34" charset="0"/>
              </a:rPr>
              <a:t>Počet respondentů = 722</a:t>
            </a:r>
          </a:p>
        </c:rich>
      </c:tx>
      <c:layout/>
      <c:overlay val="0"/>
      <c:spPr>
        <a:noFill/>
        <a:ln>
          <a:noFill/>
        </a:ln>
        <a:effectLst/>
      </c:spPr>
    </c:title>
    <c:autoTitleDeleted val="0"/>
    <c:plotArea>
      <c:layout/>
      <c:barChart>
        <c:barDir val="col"/>
        <c:grouping val="clustered"/>
        <c:varyColors val="0"/>
        <c:ser>
          <c:idx val="0"/>
          <c:order val="0"/>
          <c:spPr>
            <a:solidFill>
              <a:srgbClr val="5B9BD5">
                <a:lumMod val="50000"/>
              </a:srgbClr>
            </a:solidFill>
            <a:ln>
              <a:noFill/>
            </a:ln>
            <a:effectLst>
              <a:outerShdw blurRad="76200" dir="18900000" sy="23000" kx="-1200000" algn="bl" rotWithShape="0">
                <a:prstClr val="black">
                  <a:alpha val="20000"/>
                </a:prstClr>
              </a:outerShdw>
            </a:effectLst>
          </c:spPr>
          <c:invertIfNegative val="0"/>
          <c:dLbls>
            <c:dLbl>
              <c:idx val="3"/>
              <c:layout>
                <c:manualLayout>
                  <c:x val="-2.3809523809523812E-3"/>
                  <c:y val="5.5415213860730752E-3"/>
                </c:manualLayout>
              </c:layout>
              <c:numFmt formatCode="#,##0.0" sourceLinked="0"/>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solidFill>
                      <a:latin typeface="+mn-lt"/>
                      <a:ea typeface="+mn-ea"/>
                      <a:cs typeface="+mn-cs"/>
                    </a:defRPr>
                  </a:pPr>
                  <a:endParaRPr lang="cs-CZ"/>
                </a:p>
              </c:txPr>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F37E-DD44-8941-DF73EA45F27D}"/>
                </c:ext>
              </c:extLst>
            </c:dLbl>
            <c:dLbl>
              <c:idx val="4"/>
              <c:numFmt formatCode="#,##0.0" sourceLinked="0"/>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solidFill>
                      <a:latin typeface="+mn-lt"/>
                      <a:ea typeface="+mn-ea"/>
                      <a:cs typeface="+mn-cs"/>
                    </a:defRPr>
                  </a:pPr>
                  <a:endParaRPr lang="cs-CZ"/>
                </a:p>
              </c:txPr>
              <c:dLblPos val="inEnd"/>
              <c:showLegendKey val="0"/>
              <c:showVal val="1"/>
              <c:showCatName val="0"/>
              <c:showSerName val="0"/>
              <c:showPercent val="0"/>
              <c:showBubbleSize val="0"/>
              <c:extLst>
                <c:ext xmlns:c16="http://schemas.microsoft.com/office/drawing/2014/chart" uri="{C3380CC4-5D6E-409C-BE32-E72D297353CC}">
                  <c16:uniqueId val="{00000001-F37E-DD44-8941-DF73EA45F27D}"/>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lt1"/>
                    </a:solidFill>
                    <a:latin typeface="+mn-lt"/>
                    <a:ea typeface="+mn-ea"/>
                    <a:cs typeface="+mn-cs"/>
                  </a:defRPr>
                </a:pPr>
                <a:endParaRPr lang="cs-CZ"/>
              </a:p>
            </c:txPr>
            <c:dLblPos val="in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dk1">
                          <a:lumMod val="50000"/>
                          <a:lumOff val="50000"/>
                        </a:schemeClr>
                      </a:solidFill>
                    </a:ln>
                    <a:effectLst/>
                  </c:spPr>
                </c15:leaderLines>
              </c:ext>
            </c:extLst>
          </c:dLbls>
          <c:cat>
            <c:strRef>
              <c:f>List1!$D$6:$D$10</c:f>
              <c:strCache>
                <c:ptCount val="5"/>
                <c:pt idx="0">
                  <c:v>Onemocnění mléčné žlázy</c:v>
                </c:pt>
                <c:pt idx="1">
                  <c:v>Poruchy reprodukce</c:v>
                </c:pt>
                <c:pt idx="2">
                  <c:v>Onemocnění končetin</c:v>
                </c:pt>
                <c:pt idx="3">
                  <c:v>Metabolické poruchy</c:v>
                </c:pt>
                <c:pt idx="4">
                  <c:v>Onemocnění trávicího traktu</c:v>
                </c:pt>
              </c:strCache>
            </c:strRef>
          </c:cat>
          <c:val>
            <c:numRef>
              <c:f>List1!$E$6:$E$10</c:f>
              <c:numCache>
                <c:formatCode>General</c:formatCode>
                <c:ptCount val="5"/>
                <c:pt idx="0">
                  <c:v>60</c:v>
                </c:pt>
                <c:pt idx="1">
                  <c:v>24.5</c:v>
                </c:pt>
                <c:pt idx="2">
                  <c:v>11.8</c:v>
                </c:pt>
                <c:pt idx="3">
                  <c:v>3.1</c:v>
                </c:pt>
                <c:pt idx="4">
                  <c:v>0.6</c:v>
                </c:pt>
              </c:numCache>
            </c:numRef>
          </c:val>
          <c:extLst>
            <c:ext xmlns:c16="http://schemas.microsoft.com/office/drawing/2014/chart" uri="{C3380CC4-5D6E-409C-BE32-E72D297353CC}">
              <c16:uniqueId val="{00000002-F37E-DD44-8941-DF73EA45F27D}"/>
            </c:ext>
          </c:extLst>
        </c:ser>
        <c:dLbls>
          <c:dLblPos val="inEnd"/>
          <c:showLegendKey val="0"/>
          <c:showVal val="1"/>
          <c:showCatName val="0"/>
          <c:showSerName val="0"/>
          <c:showPercent val="0"/>
          <c:showBubbleSize val="0"/>
        </c:dLbls>
        <c:gapWidth val="41"/>
        <c:axId val="118061120"/>
        <c:axId val="118061512"/>
      </c:barChart>
      <c:catAx>
        <c:axId val="118061120"/>
        <c:scaling>
          <c:orientation val="minMax"/>
        </c:scaling>
        <c:delete val="0"/>
        <c:axPos val="b"/>
        <c:numFmt formatCode="General" sourceLinked="1"/>
        <c:majorTickMark val="none"/>
        <c:minorTickMark val="none"/>
        <c:tickLblPos val="nextTo"/>
        <c:spPr>
          <a:noFill/>
          <a:ln>
            <a:solidFill>
              <a:sysClr val="windowText" lastClr="000000"/>
            </a:solid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effectLst/>
                <a:latin typeface="Arial" panose="020B0604020202020204" pitchFamily="34" charset="0"/>
                <a:ea typeface="+mn-ea"/>
                <a:cs typeface="Arial" panose="020B0604020202020204" pitchFamily="34" charset="0"/>
              </a:defRPr>
            </a:pPr>
            <a:endParaRPr lang="cs-CZ"/>
          </a:p>
        </c:txPr>
        <c:crossAx val="118061512"/>
        <c:crosses val="autoZero"/>
        <c:auto val="1"/>
        <c:lblAlgn val="ctr"/>
        <c:lblOffset val="100"/>
        <c:noMultiLvlLbl val="0"/>
      </c:catAx>
      <c:valAx>
        <c:axId val="118061512"/>
        <c:scaling>
          <c:orientation val="minMax"/>
        </c:scaling>
        <c:delete val="1"/>
        <c:axPos val="l"/>
        <c:numFmt formatCode="General" sourceLinked="1"/>
        <c:majorTickMark val="none"/>
        <c:minorTickMark val="none"/>
        <c:tickLblPos val="nextTo"/>
        <c:crossAx val="11806112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gradFill flip="none" rotWithShape="1">
      <a:gsLst>
        <a:gs pos="0">
          <a:schemeClr val="lt1"/>
        </a:gs>
        <a:gs pos="68000">
          <a:schemeClr val="lt1">
            <a:lumMod val="85000"/>
          </a:schemeClr>
        </a:gs>
        <a:gs pos="100000">
          <a:schemeClr val="lt1"/>
        </a:gs>
      </a:gsLst>
      <a:lin ang="5400000" scaled="1"/>
      <a:tileRect/>
    </a:gradFill>
    <a:ln w="9525" cap="flat" cmpd="sng" algn="ctr">
      <a:solidFill>
        <a:sysClr val="windowText" lastClr="000000"/>
      </a:solidFill>
      <a:round/>
    </a:ln>
    <a:effectLst/>
  </c:spPr>
  <c:txPr>
    <a:bodyPr/>
    <a:lstStyle/>
    <a:p>
      <a:pPr>
        <a:defRPr/>
      </a:pPr>
      <a:endParaRPr lang="cs-CZ"/>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cs-CZ" sz="1000" b="1" i="0" baseline="0">
                <a:effectLst/>
                <a:latin typeface="Arial" panose="020B0604020202020204" pitchFamily="34" charset="0"/>
                <a:cs typeface="Arial" panose="020B0604020202020204" pitchFamily="34" charset="0"/>
              </a:rPr>
              <a:t>POčet respondentů = 722</a:t>
            </a:r>
            <a:endParaRPr lang="cs-CZ" sz="1000" b="1">
              <a:effectLst/>
              <a:latin typeface="Arial" panose="020B0604020202020204" pitchFamily="34" charset="0"/>
              <a:cs typeface="Arial" panose="020B0604020202020204" pitchFamily="34" charset="0"/>
            </a:endParaRPr>
          </a:p>
        </c:rich>
      </c:tx>
      <c:layout>
        <c:manualLayout>
          <c:xMode val="edge"/>
          <c:yMode val="edge"/>
          <c:x val="0.23356357894287605"/>
          <c:y val="2.8717948717948718E-2"/>
        </c:manualLayout>
      </c:layout>
      <c:overlay val="0"/>
      <c:spPr>
        <a:noFill/>
        <a:ln>
          <a:noFill/>
        </a:ln>
        <a:effectLst/>
      </c:sp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explosion val="4"/>
            <c:spPr>
              <a:solidFill>
                <a:srgbClr val="92D050"/>
              </a:solidFill>
              <a:ln w="25400">
                <a:solidFill>
                  <a:schemeClr val="lt1"/>
                </a:solidFill>
              </a:ln>
              <a:effectLst/>
              <a:sp3d contourW="25400">
                <a:contourClr>
                  <a:schemeClr val="lt1"/>
                </a:contourClr>
              </a:sp3d>
            </c:spPr>
            <c:extLst>
              <c:ext xmlns:c16="http://schemas.microsoft.com/office/drawing/2014/chart" uri="{C3380CC4-5D6E-409C-BE32-E72D297353CC}">
                <c16:uniqueId val="{00000001-F009-8F40-8FB8-D3328FEBAABC}"/>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F009-8F40-8FB8-D3328FEBAABC}"/>
              </c:ext>
            </c:extLst>
          </c:dPt>
          <c:dPt>
            <c:idx val="2"/>
            <c:bubble3D val="0"/>
            <c:spPr>
              <a:solidFill>
                <a:srgbClr val="7030A0"/>
              </a:solidFill>
              <a:ln w="25400">
                <a:solidFill>
                  <a:schemeClr val="lt1"/>
                </a:solidFill>
              </a:ln>
              <a:effectLst/>
              <a:sp3d contourW="25400">
                <a:contourClr>
                  <a:schemeClr val="lt1"/>
                </a:contourClr>
              </a:sp3d>
            </c:spPr>
            <c:extLst>
              <c:ext xmlns:c16="http://schemas.microsoft.com/office/drawing/2014/chart" uri="{C3380CC4-5D6E-409C-BE32-E72D297353CC}">
                <c16:uniqueId val="{00000005-F009-8F40-8FB8-D3328FEBAABC}"/>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F009-8F40-8FB8-D3328FEBAABC}"/>
              </c:ext>
            </c:extLst>
          </c:dPt>
          <c:dLbls>
            <c:dLbl>
              <c:idx val="0"/>
              <c:layout>
                <c:manualLayout>
                  <c:x val="-0.16666666666666666"/>
                  <c:y val="1.7143482064741908E-2"/>
                </c:manualLayout>
              </c:layout>
              <c:numFmt formatCode="0.0%" sourceLinked="0"/>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cs-CZ"/>
                </a:p>
              </c:txPr>
              <c:showLegendKey val="0"/>
              <c:showVal val="0"/>
              <c:showCatName val="1"/>
              <c:showSerName val="0"/>
              <c:showPercent val="1"/>
              <c:showBubbleSize val="0"/>
              <c:extLst>
                <c:ext xmlns:c15="http://schemas.microsoft.com/office/drawing/2012/chart" uri="{CE6537A1-D6FC-4f65-9D91-7224C49458BB}">
                  <c15:layout>
                    <c:manualLayout>
                      <c:w val="0.3034722222222222"/>
                      <c:h val="0.15393518518518517"/>
                    </c:manualLayout>
                  </c15:layout>
                </c:ext>
                <c:ext xmlns:c16="http://schemas.microsoft.com/office/drawing/2014/chart" uri="{C3380CC4-5D6E-409C-BE32-E72D297353CC}">
                  <c16:uniqueId val="{00000001-F009-8F40-8FB8-D3328FEBAABC}"/>
                </c:ext>
              </c:extLst>
            </c:dLbl>
            <c:dLbl>
              <c:idx val="1"/>
              <c:layout>
                <c:manualLayout>
                  <c:x val="0.12763145231846018"/>
                  <c:y val="6.3815981335666374E-3"/>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F009-8F40-8FB8-D3328FEBAABC}"/>
                </c:ext>
              </c:extLst>
            </c:dLbl>
            <c:dLbl>
              <c:idx val="2"/>
              <c:layout>
                <c:manualLayout>
                  <c:x val="-0.34982600612423448"/>
                  <c:y val="-1.328685476815398E-2"/>
                </c:manualLayout>
              </c:layout>
              <c:numFmt formatCode="0.0%" sourceLinked="0"/>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cs-CZ"/>
                </a:p>
              </c:txPr>
              <c:showLegendKey val="0"/>
              <c:showVal val="0"/>
              <c:showCatName val="1"/>
              <c:showSerName val="0"/>
              <c:showPercent val="1"/>
              <c:showBubbleSize val="0"/>
              <c:extLst>
                <c:ext xmlns:c15="http://schemas.microsoft.com/office/drawing/2012/chart" uri="{CE6537A1-D6FC-4f65-9D91-7224C49458BB}">
                  <c15:layout>
                    <c:manualLayout>
                      <c:w val="0.37787510936132979"/>
                      <c:h val="0.18231481481481476"/>
                    </c:manualLayout>
                  </c15:layout>
                </c:ext>
                <c:ext xmlns:c16="http://schemas.microsoft.com/office/drawing/2014/chart" uri="{C3380CC4-5D6E-409C-BE32-E72D297353CC}">
                  <c16:uniqueId val="{00000005-F009-8F40-8FB8-D3328FEBAABC}"/>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cs-CZ"/>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List1!$D$38:$D$41</c:f>
              <c:strCache>
                <c:ptCount val="4"/>
                <c:pt idx="0">
                  <c:v>Mastitida klinická</c:v>
                </c:pt>
                <c:pt idx="1">
                  <c:v>Jiná mastitida</c:v>
                </c:pt>
                <c:pt idx="2">
                  <c:v>Jiné onemocnění/poranění</c:v>
                </c:pt>
                <c:pt idx="3">
                  <c:v>Zaprahování s ATB</c:v>
                </c:pt>
              </c:strCache>
            </c:strRef>
          </c:cat>
          <c:val>
            <c:numRef>
              <c:f>List1!$E$38:$E$41</c:f>
              <c:numCache>
                <c:formatCode>General</c:formatCode>
                <c:ptCount val="4"/>
                <c:pt idx="0">
                  <c:v>104538</c:v>
                </c:pt>
                <c:pt idx="1">
                  <c:v>4937</c:v>
                </c:pt>
                <c:pt idx="2">
                  <c:v>1676</c:v>
                </c:pt>
                <c:pt idx="3">
                  <c:v>112288</c:v>
                </c:pt>
              </c:numCache>
            </c:numRef>
          </c:val>
          <c:extLst>
            <c:ext xmlns:c16="http://schemas.microsoft.com/office/drawing/2014/chart" uri="{C3380CC4-5D6E-409C-BE32-E72D297353CC}">
              <c16:uniqueId val="{00000008-F009-8F40-8FB8-D3328FEBAABC}"/>
            </c:ext>
          </c:extLst>
        </c:ser>
        <c:dLbls>
          <c:showLegendKey val="0"/>
          <c:showVal val="0"/>
          <c:showCatName val="0"/>
          <c:showSerName val="0"/>
          <c:showPercent val="0"/>
          <c:showBubbleSize val="0"/>
          <c:showLeaderLines val="1"/>
        </c:dLbls>
      </c:pie3D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pPr>
      <a:endParaRPr lang="cs-CZ"/>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percentStacked"/>
        <c:varyColors val="0"/>
        <c:ser>
          <c:idx val="0"/>
          <c:order val="0"/>
          <c:tx>
            <c:strRef>
              <c:f>'graf_EU_2019 (2)'!$C$1</c:f>
              <c:strCache>
                <c:ptCount val="1"/>
                <c:pt idx="0">
                  <c:v>Obohacené klece</c:v>
                </c:pt>
              </c:strCache>
            </c:strRef>
          </c:tx>
          <c:spPr>
            <a:solidFill>
              <a:schemeClr val="accent2">
                <a:lumMod val="75000"/>
              </a:schemeClr>
            </a:solidFill>
            <a:ln>
              <a:solidFill>
                <a:schemeClr val="accent5">
                  <a:lumMod val="50000"/>
                </a:schemeClr>
              </a:solidFill>
            </a:ln>
            <a:effectLst/>
          </c:spPr>
          <c:invertIfNegative val="0"/>
          <c:dPt>
            <c:idx val="15"/>
            <c:invertIfNegative val="0"/>
            <c:bubble3D val="0"/>
            <c:spPr>
              <a:solidFill>
                <a:schemeClr val="accent2">
                  <a:lumMod val="75000"/>
                </a:schemeClr>
              </a:solidFill>
              <a:ln>
                <a:solidFill>
                  <a:schemeClr val="accent5">
                    <a:lumMod val="50000"/>
                  </a:schemeClr>
                </a:solidFill>
              </a:ln>
              <a:effectLst/>
            </c:spPr>
            <c:extLst>
              <c:ext xmlns:c16="http://schemas.microsoft.com/office/drawing/2014/chart" uri="{C3380CC4-5D6E-409C-BE32-E72D297353CC}">
                <c16:uniqueId val="{00000001-5C6E-1641-A6BC-8C9182FB8FCD}"/>
              </c:ext>
            </c:extLst>
          </c:dPt>
          <c:cat>
            <c:strRef>
              <c:f>'graf_EU_2019 (2)'!$B$2:$B$25</c:f>
              <c:strCache>
                <c:ptCount val="24"/>
                <c:pt idx="0">
                  <c:v>AT</c:v>
                </c:pt>
                <c:pt idx="1">
                  <c:v>DE</c:v>
                </c:pt>
                <c:pt idx="2">
                  <c:v>SE</c:v>
                </c:pt>
                <c:pt idx="3">
                  <c:v>DK</c:v>
                </c:pt>
                <c:pt idx="4">
                  <c:v>NL</c:v>
                </c:pt>
                <c:pt idx="5">
                  <c:v>UK</c:v>
                </c:pt>
                <c:pt idx="6">
                  <c:v>BE</c:v>
                </c:pt>
                <c:pt idx="7">
                  <c:v>SI</c:v>
                </c:pt>
                <c:pt idx="8">
                  <c:v>IT</c:v>
                </c:pt>
                <c:pt idx="9">
                  <c:v>IE</c:v>
                </c:pt>
                <c:pt idx="10">
                  <c:v>FR</c:v>
                </c:pt>
                <c:pt idx="11">
                  <c:v>RO</c:v>
                </c:pt>
                <c:pt idx="12">
                  <c:v>HR</c:v>
                </c:pt>
                <c:pt idx="13">
                  <c:v>BG</c:v>
                </c:pt>
                <c:pt idx="14">
                  <c:v>HU</c:v>
                </c:pt>
                <c:pt idx="15">
                  <c:v>CZ</c:v>
                </c:pt>
                <c:pt idx="16">
                  <c:v>ES</c:v>
                </c:pt>
                <c:pt idx="17">
                  <c:v>EE</c:v>
                </c:pt>
                <c:pt idx="18">
                  <c:v>LV</c:v>
                </c:pt>
                <c:pt idx="19">
                  <c:v>PL</c:v>
                </c:pt>
                <c:pt idx="20">
                  <c:v>SK</c:v>
                </c:pt>
                <c:pt idx="21">
                  <c:v>LT</c:v>
                </c:pt>
                <c:pt idx="23">
                  <c:v>EU28</c:v>
                </c:pt>
              </c:strCache>
            </c:strRef>
          </c:cat>
          <c:val>
            <c:numRef>
              <c:f>'graf_EU_2019 (2)'!$C$2:$C$25</c:f>
              <c:numCache>
                <c:formatCode>0.0</c:formatCode>
                <c:ptCount val="24"/>
                <c:pt idx="0" formatCode="General">
                  <c:v>0.2</c:v>
                </c:pt>
                <c:pt idx="1">
                  <c:v>6</c:v>
                </c:pt>
                <c:pt idx="2" formatCode="General">
                  <c:v>8.4</c:v>
                </c:pt>
                <c:pt idx="3">
                  <c:v>13</c:v>
                </c:pt>
                <c:pt idx="4" formatCode="General">
                  <c:v>14.1</c:v>
                </c:pt>
                <c:pt idx="5" formatCode="General">
                  <c:v>34.299999999999997</c:v>
                </c:pt>
                <c:pt idx="6" formatCode="General">
                  <c:v>37.200000000000003</c:v>
                </c:pt>
                <c:pt idx="7" formatCode="General">
                  <c:v>39.299999999999997</c:v>
                </c:pt>
                <c:pt idx="8" formatCode="General">
                  <c:v>49.4</c:v>
                </c:pt>
                <c:pt idx="9" formatCode="General">
                  <c:v>51.5</c:v>
                </c:pt>
                <c:pt idx="10" formatCode="General">
                  <c:v>54.1</c:v>
                </c:pt>
                <c:pt idx="11" formatCode="General">
                  <c:v>62.6</c:v>
                </c:pt>
                <c:pt idx="12" formatCode="General">
                  <c:v>67.3</c:v>
                </c:pt>
                <c:pt idx="13" formatCode="General">
                  <c:v>67.3</c:v>
                </c:pt>
                <c:pt idx="14" formatCode="General">
                  <c:v>70.3</c:v>
                </c:pt>
                <c:pt idx="15">
                  <c:v>74</c:v>
                </c:pt>
                <c:pt idx="16" formatCode="General">
                  <c:v>76.8</c:v>
                </c:pt>
                <c:pt idx="17" formatCode="General">
                  <c:v>78.7</c:v>
                </c:pt>
                <c:pt idx="18" formatCode="General">
                  <c:v>81.7</c:v>
                </c:pt>
                <c:pt idx="19" formatCode="General">
                  <c:v>82.1</c:v>
                </c:pt>
                <c:pt idx="20" formatCode="General">
                  <c:v>83.3</c:v>
                </c:pt>
                <c:pt idx="21" formatCode="General">
                  <c:v>88.9</c:v>
                </c:pt>
                <c:pt idx="23" formatCode="General">
                  <c:v>47.8</c:v>
                </c:pt>
              </c:numCache>
            </c:numRef>
          </c:val>
          <c:extLst>
            <c:ext xmlns:c16="http://schemas.microsoft.com/office/drawing/2014/chart" uri="{C3380CC4-5D6E-409C-BE32-E72D297353CC}">
              <c16:uniqueId val="{00000002-5C6E-1641-A6BC-8C9182FB8FCD}"/>
            </c:ext>
          </c:extLst>
        </c:ser>
        <c:ser>
          <c:idx val="1"/>
          <c:order val="1"/>
          <c:tx>
            <c:strRef>
              <c:f>'graf_EU_2019 (2)'!$D$1</c:f>
              <c:strCache>
                <c:ptCount val="1"/>
                <c:pt idx="0">
                  <c:v>Voliéry a podlahové chovy</c:v>
                </c:pt>
              </c:strCache>
            </c:strRef>
          </c:tx>
          <c:spPr>
            <a:solidFill>
              <a:schemeClr val="accent2">
                <a:lumMod val="40000"/>
                <a:lumOff val="60000"/>
              </a:schemeClr>
            </a:solidFill>
            <a:ln>
              <a:solidFill>
                <a:schemeClr val="tx1">
                  <a:lumMod val="50000"/>
                  <a:lumOff val="50000"/>
                </a:schemeClr>
              </a:solidFill>
            </a:ln>
            <a:effectLst/>
          </c:spPr>
          <c:invertIfNegative val="0"/>
          <c:dPt>
            <c:idx val="15"/>
            <c:invertIfNegative val="0"/>
            <c:bubble3D val="0"/>
            <c:spPr>
              <a:solidFill>
                <a:schemeClr val="accent2">
                  <a:lumMod val="40000"/>
                  <a:lumOff val="60000"/>
                </a:schemeClr>
              </a:solidFill>
              <a:ln>
                <a:solidFill>
                  <a:schemeClr val="tx1">
                    <a:lumMod val="50000"/>
                    <a:lumOff val="50000"/>
                  </a:schemeClr>
                </a:solidFill>
              </a:ln>
              <a:effectLst/>
            </c:spPr>
            <c:extLst>
              <c:ext xmlns:c16="http://schemas.microsoft.com/office/drawing/2014/chart" uri="{C3380CC4-5D6E-409C-BE32-E72D297353CC}">
                <c16:uniqueId val="{00000004-5C6E-1641-A6BC-8C9182FB8FCD}"/>
              </c:ext>
            </c:extLst>
          </c:dPt>
          <c:cat>
            <c:strRef>
              <c:f>'graf_EU_2019 (2)'!$B$2:$B$25</c:f>
              <c:strCache>
                <c:ptCount val="24"/>
                <c:pt idx="0">
                  <c:v>AT</c:v>
                </c:pt>
                <c:pt idx="1">
                  <c:v>DE</c:v>
                </c:pt>
                <c:pt idx="2">
                  <c:v>SE</c:v>
                </c:pt>
                <c:pt idx="3">
                  <c:v>DK</c:v>
                </c:pt>
                <c:pt idx="4">
                  <c:v>NL</c:v>
                </c:pt>
                <c:pt idx="5">
                  <c:v>UK</c:v>
                </c:pt>
                <c:pt idx="6">
                  <c:v>BE</c:v>
                </c:pt>
                <c:pt idx="7">
                  <c:v>SI</c:v>
                </c:pt>
                <c:pt idx="8">
                  <c:v>IT</c:v>
                </c:pt>
                <c:pt idx="9">
                  <c:v>IE</c:v>
                </c:pt>
                <c:pt idx="10">
                  <c:v>FR</c:v>
                </c:pt>
                <c:pt idx="11">
                  <c:v>RO</c:v>
                </c:pt>
                <c:pt idx="12">
                  <c:v>HR</c:v>
                </c:pt>
                <c:pt idx="13">
                  <c:v>BG</c:v>
                </c:pt>
                <c:pt idx="14">
                  <c:v>HU</c:v>
                </c:pt>
                <c:pt idx="15">
                  <c:v>CZ</c:v>
                </c:pt>
                <c:pt idx="16">
                  <c:v>ES</c:v>
                </c:pt>
                <c:pt idx="17">
                  <c:v>EE</c:v>
                </c:pt>
                <c:pt idx="18">
                  <c:v>LV</c:v>
                </c:pt>
                <c:pt idx="19">
                  <c:v>PL</c:v>
                </c:pt>
                <c:pt idx="20">
                  <c:v>SK</c:v>
                </c:pt>
                <c:pt idx="21">
                  <c:v>LT</c:v>
                </c:pt>
                <c:pt idx="23">
                  <c:v>EU28</c:v>
                </c:pt>
              </c:strCache>
            </c:strRef>
          </c:cat>
          <c:val>
            <c:numRef>
              <c:f>'graf_EU_2019 (2)'!$D$2:$D$25</c:f>
              <c:numCache>
                <c:formatCode>General</c:formatCode>
                <c:ptCount val="24"/>
                <c:pt idx="0">
                  <c:v>62.6</c:v>
                </c:pt>
                <c:pt idx="1">
                  <c:v>61</c:v>
                </c:pt>
                <c:pt idx="2">
                  <c:v>72.400000000000006</c:v>
                </c:pt>
                <c:pt idx="3">
                  <c:v>46.6</c:v>
                </c:pt>
                <c:pt idx="4">
                  <c:v>61.3</c:v>
                </c:pt>
                <c:pt idx="5">
                  <c:v>5.0999999999999996</c:v>
                </c:pt>
                <c:pt idx="6">
                  <c:v>44.1</c:v>
                </c:pt>
                <c:pt idx="7">
                  <c:v>53</c:v>
                </c:pt>
                <c:pt idx="8">
                  <c:v>40.200000000000003</c:v>
                </c:pt>
                <c:pt idx="9">
                  <c:v>1.1000000000000001</c:v>
                </c:pt>
                <c:pt idx="10">
                  <c:v>11.7</c:v>
                </c:pt>
                <c:pt idx="11">
                  <c:v>32.9</c:v>
                </c:pt>
                <c:pt idx="12">
                  <c:v>29.9</c:v>
                </c:pt>
                <c:pt idx="13">
                  <c:v>28.9</c:v>
                </c:pt>
                <c:pt idx="14">
                  <c:v>28.7</c:v>
                </c:pt>
                <c:pt idx="15">
                  <c:v>25</c:v>
                </c:pt>
                <c:pt idx="16">
                  <c:v>12.7</c:v>
                </c:pt>
                <c:pt idx="17">
                  <c:v>12.8</c:v>
                </c:pt>
                <c:pt idx="18">
                  <c:v>15.5</c:v>
                </c:pt>
                <c:pt idx="19">
                  <c:v>13.4</c:v>
                </c:pt>
                <c:pt idx="20">
                  <c:v>15.5</c:v>
                </c:pt>
                <c:pt idx="21">
                  <c:v>10.5</c:v>
                </c:pt>
                <c:pt idx="23">
                  <c:v>29.3</c:v>
                </c:pt>
              </c:numCache>
            </c:numRef>
          </c:val>
          <c:extLst>
            <c:ext xmlns:c16="http://schemas.microsoft.com/office/drawing/2014/chart" uri="{C3380CC4-5D6E-409C-BE32-E72D297353CC}">
              <c16:uniqueId val="{00000005-5C6E-1641-A6BC-8C9182FB8FCD}"/>
            </c:ext>
          </c:extLst>
        </c:ser>
        <c:ser>
          <c:idx val="2"/>
          <c:order val="2"/>
          <c:tx>
            <c:strRef>
              <c:f>'graf_EU_2019 (2)'!$E$1</c:f>
              <c:strCache>
                <c:ptCount val="1"/>
                <c:pt idx="0">
                  <c:v>Chovy s venkovním výběhem</c:v>
                </c:pt>
              </c:strCache>
            </c:strRef>
          </c:tx>
          <c:spPr>
            <a:solidFill>
              <a:srgbClr val="92D050"/>
            </a:solidFill>
            <a:ln>
              <a:solidFill>
                <a:schemeClr val="tx1">
                  <a:lumMod val="50000"/>
                  <a:lumOff val="50000"/>
                </a:schemeClr>
              </a:solidFill>
            </a:ln>
            <a:effectLst/>
          </c:spPr>
          <c:invertIfNegative val="0"/>
          <c:cat>
            <c:strRef>
              <c:f>'graf_EU_2019 (2)'!$B$2:$B$25</c:f>
              <c:strCache>
                <c:ptCount val="24"/>
                <c:pt idx="0">
                  <c:v>AT</c:v>
                </c:pt>
                <c:pt idx="1">
                  <c:v>DE</c:v>
                </c:pt>
                <c:pt idx="2">
                  <c:v>SE</c:v>
                </c:pt>
                <c:pt idx="3">
                  <c:v>DK</c:v>
                </c:pt>
                <c:pt idx="4">
                  <c:v>NL</c:v>
                </c:pt>
                <c:pt idx="5">
                  <c:v>UK</c:v>
                </c:pt>
                <c:pt idx="6">
                  <c:v>BE</c:v>
                </c:pt>
                <c:pt idx="7">
                  <c:v>SI</c:v>
                </c:pt>
                <c:pt idx="8">
                  <c:v>IT</c:v>
                </c:pt>
                <c:pt idx="9">
                  <c:v>IE</c:v>
                </c:pt>
                <c:pt idx="10">
                  <c:v>FR</c:v>
                </c:pt>
                <c:pt idx="11">
                  <c:v>RO</c:v>
                </c:pt>
                <c:pt idx="12">
                  <c:v>HR</c:v>
                </c:pt>
                <c:pt idx="13">
                  <c:v>BG</c:v>
                </c:pt>
                <c:pt idx="14">
                  <c:v>HU</c:v>
                </c:pt>
                <c:pt idx="15">
                  <c:v>CZ</c:v>
                </c:pt>
                <c:pt idx="16">
                  <c:v>ES</c:v>
                </c:pt>
                <c:pt idx="17">
                  <c:v>EE</c:v>
                </c:pt>
                <c:pt idx="18">
                  <c:v>LV</c:v>
                </c:pt>
                <c:pt idx="19">
                  <c:v>PL</c:v>
                </c:pt>
                <c:pt idx="20">
                  <c:v>SK</c:v>
                </c:pt>
                <c:pt idx="21">
                  <c:v>LT</c:v>
                </c:pt>
                <c:pt idx="23">
                  <c:v>EU28</c:v>
                </c:pt>
              </c:strCache>
            </c:strRef>
          </c:cat>
          <c:val>
            <c:numRef>
              <c:f>'graf_EU_2019 (2)'!$E$2:$E$25</c:f>
              <c:numCache>
                <c:formatCode>General</c:formatCode>
                <c:ptCount val="24"/>
                <c:pt idx="0">
                  <c:v>25</c:v>
                </c:pt>
                <c:pt idx="1">
                  <c:v>20.8</c:v>
                </c:pt>
                <c:pt idx="2">
                  <c:v>3</c:v>
                </c:pt>
                <c:pt idx="3">
                  <c:v>8.3000000000000007</c:v>
                </c:pt>
                <c:pt idx="4">
                  <c:v>18</c:v>
                </c:pt>
                <c:pt idx="5">
                  <c:v>57.5</c:v>
                </c:pt>
                <c:pt idx="6">
                  <c:v>12.8</c:v>
                </c:pt>
                <c:pt idx="7">
                  <c:v>4.5</c:v>
                </c:pt>
                <c:pt idx="8">
                  <c:v>4.9000000000000004</c:v>
                </c:pt>
                <c:pt idx="9">
                  <c:v>43.8</c:v>
                </c:pt>
                <c:pt idx="10">
                  <c:v>23</c:v>
                </c:pt>
                <c:pt idx="11">
                  <c:v>3</c:v>
                </c:pt>
                <c:pt idx="12">
                  <c:v>2.6</c:v>
                </c:pt>
                <c:pt idx="13">
                  <c:v>3.7</c:v>
                </c:pt>
                <c:pt idx="14">
                  <c:v>0.6</c:v>
                </c:pt>
                <c:pt idx="15">
                  <c:v>0.8</c:v>
                </c:pt>
                <c:pt idx="16">
                  <c:v>9.1</c:v>
                </c:pt>
                <c:pt idx="17">
                  <c:v>4</c:v>
                </c:pt>
                <c:pt idx="18">
                  <c:v>2.7</c:v>
                </c:pt>
                <c:pt idx="19">
                  <c:v>3.7</c:v>
                </c:pt>
                <c:pt idx="20">
                  <c:v>1.1000000000000001</c:v>
                </c:pt>
                <c:pt idx="21">
                  <c:v>0.2</c:v>
                </c:pt>
                <c:pt idx="23">
                  <c:v>17</c:v>
                </c:pt>
              </c:numCache>
            </c:numRef>
          </c:val>
          <c:extLst>
            <c:ext xmlns:c16="http://schemas.microsoft.com/office/drawing/2014/chart" uri="{C3380CC4-5D6E-409C-BE32-E72D297353CC}">
              <c16:uniqueId val="{00000006-5C6E-1641-A6BC-8C9182FB8FCD}"/>
            </c:ext>
          </c:extLst>
        </c:ser>
        <c:ser>
          <c:idx val="3"/>
          <c:order val="3"/>
          <c:tx>
            <c:strRef>
              <c:f>'graf_EU_2019 (2)'!$F$1</c:f>
              <c:strCache>
                <c:ptCount val="1"/>
                <c:pt idx="0">
                  <c:v>Ekologické chovy</c:v>
                </c:pt>
              </c:strCache>
            </c:strRef>
          </c:tx>
          <c:spPr>
            <a:solidFill>
              <a:srgbClr val="00B050"/>
            </a:solidFill>
            <a:ln>
              <a:solidFill>
                <a:schemeClr val="tx1">
                  <a:lumMod val="50000"/>
                  <a:lumOff val="50000"/>
                </a:schemeClr>
              </a:solidFill>
            </a:ln>
            <a:effectLst/>
          </c:spPr>
          <c:invertIfNegative val="0"/>
          <c:cat>
            <c:strRef>
              <c:f>'graf_EU_2019 (2)'!$B$2:$B$25</c:f>
              <c:strCache>
                <c:ptCount val="24"/>
                <c:pt idx="0">
                  <c:v>AT</c:v>
                </c:pt>
                <c:pt idx="1">
                  <c:v>DE</c:v>
                </c:pt>
                <c:pt idx="2">
                  <c:v>SE</c:v>
                </c:pt>
                <c:pt idx="3">
                  <c:v>DK</c:v>
                </c:pt>
                <c:pt idx="4">
                  <c:v>NL</c:v>
                </c:pt>
                <c:pt idx="5">
                  <c:v>UK</c:v>
                </c:pt>
                <c:pt idx="6">
                  <c:v>BE</c:v>
                </c:pt>
                <c:pt idx="7">
                  <c:v>SI</c:v>
                </c:pt>
                <c:pt idx="8">
                  <c:v>IT</c:v>
                </c:pt>
                <c:pt idx="9">
                  <c:v>IE</c:v>
                </c:pt>
                <c:pt idx="10">
                  <c:v>FR</c:v>
                </c:pt>
                <c:pt idx="11">
                  <c:v>RO</c:v>
                </c:pt>
                <c:pt idx="12">
                  <c:v>HR</c:v>
                </c:pt>
                <c:pt idx="13">
                  <c:v>BG</c:v>
                </c:pt>
                <c:pt idx="14">
                  <c:v>HU</c:v>
                </c:pt>
                <c:pt idx="15">
                  <c:v>CZ</c:v>
                </c:pt>
                <c:pt idx="16">
                  <c:v>ES</c:v>
                </c:pt>
                <c:pt idx="17">
                  <c:v>EE</c:v>
                </c:pt>
                <c:pt idx="18">
                  <c:v>LV</c:v>
                </c:pt>
                <c:pt idx="19">
                  <c:v>PL</c:v>
                </c:pt>
                <c:pt idx="20">
                  <c:v>SK</c:v>
                </c:pt>
                <c:pt idx="21">
                  <c:v>LT</c:v>
                </c:pt>
                <c:pt idx="23">
                  <c:v>EU28</c:v>
                </c:pt>
              </c:strCache>
            </c:strRef>
          </c:cat>
          <c:val>
            <c:numRef>
              <c:f>'graf_EU_2019 (2)'!$F$2:$F$25</c:f>
              <c:numCache>
                <c:formatCode>General</c:formatCode>
                <c:ptCount val="24"/>
                <c:pt idx="0">
                  <c:v>12.2</c:v>
                </c:pt>
                <c:pt idx="1">
                  <c:v>12.2</c:v>
                </c:pt>
                <c:pt idx="2">
                  <c:v>16.2</c:v>
                </c:pt>
                <c:pt idx="3">
                  <c:v>32.1</c:v>
                </c:pt>
                <c:pt idx="4">
                  <c:v>6.6</c:v>
                </c:pt>
                <c:pt idx="5">
                  <c:v>3.1</c:v>
                </c:pt>
                <c:pt idx="6">
                  <c:v>6</c:v>
                </c:pt>
                <c:pt idx="7">
                  <c:v>3.2</c:v>
                </c:pt>
                <c:pt idx="8">
                  <c:v>5.5</c:v>
                </c:pt>
                <c:pt idx="9">
                  <c:v>3.7</c:v>
                </c:pt>
                <c:pt idx="10">
                  <c:v>11.2</c:v>
                </c:pt>
                <c:pt idx="11">
                  <c:v>1.4</c:v>
                </c:pt>
                <c:pt idx="12">
                  <c:v>0.2</c:v>
                </c:pt>
                <c:pt idx="13">
                  <c:v>0</c:v>
                </c:pt>
                <c:pt idx="14">
                  <c:v>0.4</c:v>
                </c:pt>
                <c:pt idx="15">
                  <c:v>0.2</c:v>
                </c:pt>
                <c:pt idx="16">
                  <c:v>1.4</c:v>
                </c:pt>
                <c:pt idx="17">
                  <c:v>4.5999999999999996</c:v>
                </c:pt>
                <c:pt idx="18">
                  <c:v>0.1</c:v>
                </c:pt>
                <c:pt idx="19">
                  <c:v>0.8</c:v>
                </c:pt>
                <c:pt idx="20">
                  <c:v>0.2</c:v>
                </c:pt>
                <c:pt idx="21">
                  <c:v>0.5</c:v>
                </c:pt>
                <c:pt idx="23">
                  <c:v>5.9</c:v>
                </c:pt>
              </c:numCache>
            </c:numRef>
          </c:val>
          <c:extLst>
            <c:ext xmlns:c16="http://schemas.microsoft.com/office/drawing/2014/chart" uri="{C3380CC4-5D6E-409C-BE32-E72D297353CC}">
              <c16:uniqueId val="{00000007-5C6E-1641-A6BC-8C9182FB8FCD}"/>
            </c:ext>
          </c:extLst>
        </c:ser>
        <c:dLbls>
          <c:showLegendKey val="0"/>
          <c:showVal val="0"/>
          <c:showCatName val="0"/>
          <c:showSerName val="0"/>
          <c:showPercent val="0"/>
          <c:showBubbleSize val="0"/>
        </c:dLbls>
        <c:gapWidth val="53"/>
        <c:overlap val="100"/>
        <c:axId val="571597208"/>
        <c:axId val="571595240"/>
      </c:barChart>
      <c:catAx>
        <c:axId val="571597208"/>
        <c:scaling>
          <c:orientation val="minMax"/>
        </c:scaling>
        <c:delete val="0"/>
        <c:axPos val="b"/>
        <c:numFmt formatCode="General" sourceLinked="1"/>
        <c:majorTickMark val="none"/>
        <c:minorTickMark val="none"/>
        <c:tickLblPos val="nextTo"/>
        <c:spPr>
          <a:noFill/>
          <a:ln w="9525" cap="flat" cmpd="sng" algn="ctr">
            <a:solidFill>
              <a:schemeClr val="bg2">
                <a:lumMod val="75000"/>
              </a:schemeClr>
            </a:solidFill>
            <a:round/>
          </a:ln>
          <a:effectLst/>
        </c:spPr>
        <c:txPr>
          <a:bodyPr rot="-5400000" spcFirstLastPara="1" vertOverflow="ellipsis" wrap="square" anchor="ctr" anchorCtr="1"/>
          <a:lstStyle/>
          <a:p>
            <a:pPr>
              <a:defRPr sz="1050" b="0" i="0" u="none" strike="noStrike" kern="1200" baseline="0">
                <a:solidFill>
                  <a:schemeClr val="tx1">
                    <a:lumMod val="65000"/>
                    <a:lumOff val="35000"/>
                  </a:schemeClr>
                </a:solidFill>
                <a:latin typeface="+mn-lt"/>
                <a:ea typeface="+mn-ea"/>
                <a:cs typeface="+mn-cs"/>
              </a:defRPr>
            </a:pPr>
            <a:endParaRPr lang="cs-CZ"/>
          </a:p>
        </c:txPr>
        <c:crossAx val="571595240"/>
        <c:crosses val="autoZero"/>
        <c:auto val="1"/>
        <c:lblAlgn val="ctr"/>
        <c:lblOffset val="100"/>
        <c:noMultiLvlLbl val="0"/>
      </c:catAx>
      <c:valAx>
        <c:axId val="571595240"/>
        <c:scaling>
          <c:orientation val="minMax"/>
        </c:scaling>
        <c:delete val="0"/>
        <c:axPos val="l"/>
        <c:majorGridlines>
          <c:spPr>
            <a:ln w="9525" cap="flat" cmpd="sng" algn="ctr">
              <a:solidFill>
                <a:schemeClr val="tx1">
                  <a:lumMod val="50000"/>
                  <a:lumOff val="50000"/>
                </a:schemeClr>
              </a:solidFill>
              <a:round/>
            </a:ln>
            <a:effectLst/>
          </c:spPr>
        </c:majorGridlines>
        <c:numFmt formatCode="0%" sourceLinked="1"/>
        <c:majorTickMark val="none"/>
        <c:minorTickMark val="none"/>
        <c:tickLblPos val="nextTo"/>
        <c:spPr>
          <a:noFill/>
          <a:ln>
            <a:solidFill>
              <a:schemeClr val="tx1">
                <a:lumMod val="50000"/>
                <a:lumOff val="50000"/>
              </a:scheme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57159720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a:outerShdw blurRad="50800" dist="38100" dir="2700000" algn="tl" rotWithShape="0">
        <a:prstClr val="black">
          <a:alpha val="40000"/>
        </a:prstClr>
      </a:outerShdw>
    </a:effectLst>
  </c:spPr>
  <c:txPr>
    <a:bodyPr/>
    <a:lstStyle/>
    <a:p>
      <a:pPr>
        <a:defRPr/>
      </a:pPr>
      <a:endParaRPr lang="cs-CZ"/>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List2!$C$2</c:f>
              <c:strCache>
                <c:ptCount val="1"/>
                <c:pt idx="0">
                  <c:v>2015</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List2!$B$3:$B$5</c:f>
              <c:strCache>
                <c:ptCount val="3"/>
                <c:pt idx="0">
                  <c:v>Lehací prostor</c:v>
                </c:pt>
                <c:pt idx="1">
                  <c:v>Stájové prostředí</c:v>
                </c:pt>
                <c:pt idx="2">
                  <c:v>Přístup do výběhu</c:v>
                </c:pt>
              </c:strCache>
            </c:strRef>
          </c:cat>
          <c:val>
            <c:numRef>
              <c:f>List2!$C$3:$C$5</c:f>
              <c:numCache>
                <c:formatCode>General</c:formatCode>
                <c:ptCount val="3"/>
                <c:pt idx="0">
                  <c:v>407</c:v>
                </c:pt>
                <c:pt idx="1">
                  <c:v>630</c:v>
                </c:pt>
                <c:pt idx="2">
                  <c:v>359</c:v>
                </c:pt>
              </c:numCache>
            </c:numRef>
          </c:val>
          <c:extLst>
            <c:ext xmlns:c16="http://schemas.microsoft.com/office/drawing/2014/chart" uri="{C3380CC4-5D6E-409C-BE32-E72D297353CC}">
              <c16:uniqueId val="{00000000-42DF-4EB7-A4C9-873BC17D6C65}"/>
            </c:ext>
          </c:extLst>
        </c:ser>
        <c:ser>
          <c:idx val="1"/>
          <c:order val="1"/>
          <c:tx>
            <c:strRef>
              <c:f>List2!$D$2</c:f>
              <c:strCache>
                <c:ptCount val="1"/>
                <c:pt idx="0">
                  <c:v>2016</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List2!$B$3:$B$5</c:f>
              <c:strCache>
                <c:ptCount val="3"/>
                <c:pt idx="0">
                  <c:v>Lehací prostor</c:v>
                </c:pt>
                <c:pt idx="1">
                  <c:v>Stájové prostředí</c:v>
                </c:pt>
                <c:pt idx="2">
                  <c:v>Přístup do výběhu</c:v>
                </c:pt>
              </c:strCache>
            </c:strRef>
          </c:cat>
          <c:val>
            <c:numRef>
              <c:f>List2!$D$3:$D$5</c:f>
              <c:numCache>
                <c:formatCode>General</c:formatCode>
                <c:ptCount val="3"/>
                <c:pt idx="0">
                  <c:v>521</c:v>
                </c:pt>
                <c:pt idx="1">
                  <c:v>748</c:v>
                </c:pt>
                <c:pt idx="2">
                  <c:v>465</c:v>
                </c:pt>
              </c:numCache>
            </c:numRef>
          </c:val>
          <c:extLst>
            <c:ext xmlns:c16="http://schemas.microsoft.com/office/drawing/2014/chart" uri="{C3380CC4-5D6E-409C-BE32-E72D297353CC}">
              <c16:uniqueId val="{00000001-42DF-4EB7-A4C9-873BC17D6C65}"/>
            </c:ext>
          </c:extLst>
        </c:ser>
        <c:ser>
          <c:idx val="2"/>
          <c:order val="2"/>
          <c:tx>
            <c:strRef>
              <c:f>List2!$E$2</c:f>
              <c:strCache>
                <c:ptCount val="1"/>
                <c:pt idx="0">
                  <c:v>2017</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List2!$B$3:$B$5</c:f>
              <c:strCache>
                <c:ptCount val="3"/>
                <c:pt idx="0">
                  <c:v>Lehací prostor</c:v>
                </c:pt>
                <c:pt idx="1">
                  <c:v>Stájové prostředí</c:v>
                </c:pt>
                <c:pt idx="2">
                  <c:v>Přístup do výběhu</c:v>
                </c:pt>
              </c:strCache>
            </c:strRef>
          </c:cat>
          <c:val>
            <c:numRef>
              <c:f>List2!$E$3:$E$5</c:f>
              <c:numCache>
                <c:formatCode>General</c:formatCode>
                <c:ptCount val="3"/>
                <c:pt idx="0">
                  <c:v>502</c:v>
                </c:pt>
                <c:pt idx="1">
                  <c:v>746</c:v>
                </c:pt>
                <c:pt idx="2">
                  <c:v>460</c:v>
                </c:pt>
              </c:numCache>
            </c:numRef>
          </c:val>
          <c:extLst>
            <c:ext xmlns:c16="http://schemas.microsoft.com/office/drawing/2014/chart" uri="{C3380CC4-5D6E-409C-BE32-E72D297353CC}">
              <c16:uniqueId val="{00000002-42DF-4EB7-A4C9-873BC17D6C65}"/>
            </c:ext>
          </c:extLst>
        </c:ser>
        <c:ser>
          <c:idx val="3"/>
          <c:order val="3"/>
          <c:tx>
            <c:strRef>
              <c:f>List2!$F$2</c:f>
              <c:strCache>
                <c:ptCount val="1"/>
                <c:pt idx="0">
                  <c:v>2018</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List2!$B$3:$B$5</c:f>
              <c:strCache>
                <c:ptCount val="3"/>
                <c:pt idx="0">
                  <c:v>Lehací prostor</c:v>
                </c:pt>
                <c:pt idx="1">
                  <c:v>Stájové prostředí</c:v>
                </c:pt>
                <c:pt idx="2">
                  <c:v>Přístup do výběhu</c:v>
                </c:pt>
              </c:strCache>
            </c:strRef>
          </c:cat>
          <c:val>
            <c:numRef>
              <c:f>List2!$F$3:$F$5</c:f>
              <c:numCache>
                <c:formatCode>General</c:formatCode>
                <c:ptCount val="3"/>
                <c:pt idx="0">
                  <c:v>518</c:v>
                </c:pt>
                <c:pt idx="1">
                  <c:v>754</c:v>
                </c:pt>
                <c:pt idx="2">
                  <c:v>457</c:v>
                </c:pt>
              </c:numCache>
            </c:numRef>
          </c:val>
          <c:extLst>
            <c:ext xmlns:c16="http://schemas.microsoft.com/office/drawing/2014/chart" uri="{C3380CC4-5D6E-409C-BE32-E72D297353CC}">
              <c16:uniqueId val="{00000003-42DF-4EB7-A4C9-873BC17D6C65}"/>
            </c:ext>
          </c:extLst>
        </c:ser>
        <c:ser>
          <c:idx val="4"/>
          <c:order val="4"/>
          <c:tx>
            <c:strRef>
              <c:f>List2!$G$2</c:f>
              <c:strCache>
                <c:ptCount val="1"/>
                <c:pt idx="0">
                  <c:v>2019</c:v>
                </c:pt>
              </c:strCache>
            </c:strRef>
          </c:tx>
          <c:spPr>
            <a:solidFill>
              <a:schemeClr val="accent5"/>
            </a:solidFill>
            <a:ln>
              <a:noFill/>
            </a:ln>
            <a:effectLst/>
          </c:spPr>
          <c:invertIfNegative val="0"/>
          <c:dLbls>
            <c:dLbl>
              <c:idx val="0"/>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42DF-4EB7-A4C9-873BC17D6C65}"/>
                </c:ext>
              </c:extLst>
            </c:dLbl>
            <c:dLbl>
              <c:idx val="1"/>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42DF-4EB7-A4C9-873BC17D6C65}"/>
                </c:ext>
              </c:extLst>
            </c:dLbl>
            <c:dLbl>
              <c:idx val="2"/>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42DF-4EB7-A4C9-873BC17D6C6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List2!$B$3:$B$5</c:f>
              <c:strCache>
                <c:ptCount val="3"/>
                <c:pt idx="0">
                  <c:v>Lehací prostor</c:v>
                </c:pt>
                <c:pt idx="1">
                  <c:v>Stájové prostředí</c:v>
                </c:pt>
                <c:pt idx="2">
                  <c:v>Přístup do výběhu</c:v>
                </c:pt>
              </c:strCache>
            </c:strRef>
          </c:cat>
          <c:val>
            <c:numRef>
              <c:f>List2!$G$3:$G$5</c:f>
              <c:numCache>
                <c:formatCode>General</c:formatCode>
                <c:ptCount val="3"/>
                <c:pt idx="0">
                  <c:v>525</c:v>
                </c:pt>
                <c:pt idx="1">
                  <c:v>752</c:v>
                </c:pt>
                <c:pt idx="2">
                  <c:v>459</c:v>
                </c:pt>
              </c:numCache>
            </c:numRef>
          </c:val>
          <c:extLst>
            <c:ext xmlns:c16="http://schemas.microsoft.com/office/drawing/2014/chart" uri="{C3380CC4-5D6E-409C-BE32-E72D297353CC}">
              <c16:uniqueId val="{00000007-42DF-4EB7-A4C9-873BC17D6C65}"/>
            </c:ext>
          </c:extLst>
        </c:ser>
        <c:ser>
          <c:idx val="5"/>
          <c:order val="5"/>
          <c:tx>
            <c:strRef>
              <c:f>List2!$H$2</c:f>
              <c:strCache>
                <c:ptCount val="1"/>
                <c:pt idx="0">
                  <c:v>2020</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List2!$B$3:$B$5</c:f>
              <c:strCache>
                <c:ptCount val="3"/>
                <c:pt idx="0">
                  <c:v>Lehací prostor</c:v>
                </c:pt>
                <c:pt idx="1">
                  <c:v>Stájové prostředí</c:v>
                </c:pt>
                <c:pt idx="2">
                  <c:v>Přístup do výběhu</c:v>
                </c:pt>
              </c:strCache>
            </c:strRef>
          </c:cat>
          <c:val>
            <c:numRef>
              <c:f>List2!$H$3:$H$5</c:f>
              <c:numCache>
                <c:formatCode>General</c:formatCode>
                <c:ptCount val="3"/>
                <c:pt idx="0">
                  <c:v>529</c:v>
                </c:pt>
                <c:pt idx="1">
                  <c:v>756</c:v>
                </c:pt>
                <c:pt idx="2">
                  <c:v>460</c:v>
                </c:pt>
              </c:numCache>
            </c:numRef>
          </c:val>
          <c:extLst>
            <c:ext xmlns:c16="http://schemas.microsoft.com/office/drawing/2014/chart" uri="{C3380CC4-5D6E-409C-BE32-E72D297353CC}">
              <c16:uniqueId val="{00000008-42DF-4EB7-A4C9-873BC17D6C65}"/>
            </c:ext>
          </c:extLst>
        </c:ser>
        <c:dLbls>
          <c:showLegendKey val="0"/>
          <c:showVal val="0"/>
          <c:showCatName val="0"/>
          <c:showSerName val="0"/>
          <c:showPercent val="0"/>
          <c:showBubbleSize val="0"/>
        </c:dLbls>
        <c:gapWidth val="219"/>
        <c:overlap val="-27"/>
        <c:axId val="587854544"/>
        <c:axId val="587854872"/>
      </c:barChart>
      <c:catAx>
        <c:axId val="5878545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587854872"/>
        <c:crosses val="autoZero"/>
        <c:auto val="1"/>
        <c:lblAlgn val="ctr"/>
        <c:lblOffset val="100"/>
        <c:noMultiLvlLbl val="0"/>
      </c:catAx>
      <c:valAx>
        <c:axId val="5878548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58785454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List2!$C$14</c:f>
              <c:strCache>
                <c:ptCount val="1"/>
                <c:pt idx="0">
                  <c:v>2015</c:v>
                </c:pt>
              </c:strCache>
            </c:strRef>
          </c:tx>
          <c:spPr>
            <a:solidFill>
              <a:schemeClr val="accent1"/>
            </a:solidFill>
            <a:ln>
              <a:noFill/>
            </a:ln>
            <a:effectLst/>
          </c:spPr>
          <c:invertIfNegative val="0"/>
          <c:cat>
            <c:strRef>
              <c:f>List2!$B$15:$B$16</c:f>
              <c:strCache>
                <c:ptCount val="2"/>
                <c:pt idx="0">
                  <c:v>Lehací prostor</c:v>
                </c:pt>
                <c:pt idx="1">
                  <c:v>Stájové prostředí</c:v>
                </c:pt>
              </c:strCache>
            </c:strRef>
          </c:cat>
          <c:val>
            <c:numRef>
              <c:f>List2!$C$15:$C$16</c:f>
              <c:numCache>
                <c:formatCode>#,##0</c:formatCode>
                <c:ptCount val="2"/>
                <c:pt idx="0">
                  <c:v>145823</c:v>
                </c:pt>
                <c:pt idx="1">
                  <c:v>236959</c:v>
                </c:pt>
              </c:numCache>
            </c:numRef>
          </c:val>
          <c:extLst>
            <c:ext xmlns:c16="http://schemas.microsoft.com/office/drawing/2014/chart" uri="{C3380CC4-5D6E-409C-BE32-E72D297353CC}">
              <c16:uniqueId val="{00000000-74C6-444A-A778-64B32D2C2324}"/>
            </c:ext>
          </c:extLst>
        </c:ser>
        <c:ser>
          <c:idx val="1"/>
          <c:order val="1"/>
          <c:tx>
            <c:strRef>
              <c:f>List2!$D$14</c:f>
              <c:strCache>
                <c:ptCount val="1"/>
                <c:pt idx="0">
                  <c:v>2016</c:v>
                </c:pt>
              </c:strCache>
            </c:strRef>
          </c:tx>
          <c:spPr>
            <a:solidFill>
              <a:schemeClr val="accent2"/>
            </a:solidFill>
            <a:ln>
              <a:noFill/>
            </a:ln>
            <a:effectLst/>
          </c:spPr>
          <c:invertIfNegative val="0"/>
          <c:cat>
            <c:strRef>
              <c:f>List2!$B$15:$B$16</c:f>
              <c:strCache>
                <c:ptCount val="2"/>
                <c:pt idx="0">
                  <c:v>Lehací prostor</c:v>
                </c:pt>
                <c:pt idx="1">
                  <c:v>Stájové prostředí</c:v>
                </c:pt>
              </c:strCache>
            </c:strRef>
          </c:cat>
          <c:val>
            <c:numRef>
              <c:f>List2!$D$15:$D$16</c:f>
              <c:numCache>
                <c:formatCode>#,##0</c:formatCode>
                <c:ptCount val="2"/>
                <c:pt idx="0">
                  <c:v>187316</c:v>
                </c:pt>
                <c:pt idx="1">
                  <c:v>270962</c:v>
                </c:pt>
              </c:numCache>
            </c:numRef>
          </c:val>
          <c:extLst>
            <c:ext xmlns:c16="http://schemas.microsoft.com/office/drawing/2014/chart" uri="{C3380CC4-5D6E-409C-BE32-E72D297353CC}">
              <c16:uniqueId val="{00000001-74C6-444A-A778-64B32D2C2324}"/>
            </c:ext>
          </c:extLst>
        </c:ser>
        <c:ser>
          <c:idx val="2"/>
          <c:order val="2"/>
          <c:tx>
            <c:strRef>
              <c:f>List2!$E$14</c:f>
              <c:strCache>
                <c:ptCount val="1"/>
                <c:pt idx="0">
                  <c:v>2017</c:v>
                </c:pt>
              </c:strCache>
            </c:strRef>
          </c:tx>
          <c:spPr>
            <a:solidFill>
              <a:schemeClr val="accent3"/>
            </a:solidFill>
            <a:ln>
              <a:noFill/>
            </a:ln>
            <a:effectLst/>
          </c:spPr>
          <c:invertIfNegative val="0"/>
          <c:cat>
            <c:strRef>
              <c:f>List2!$B$15:$B$16</c:f>
              <c:strCache>
                <c:ptCount val="2"/>
                <c:pt idx="0">
                  <c:v>Lehací prostor</c:v>
                </c:pt>
                <c:pt idx="1">
                  <c:v>Stájové prostředí</c:v>
                </c:pt>
              </c:strCache>
            </c:strRef>
          </c:cat>
          <c:val>
            <c:numRef>
              <c:f>List2!$E$15:$E$16</c:f>
              <c:numCache>
                <c:formatCode>#,##0</c:formatCode>
                <c:ptCount val="2"/>
                <c:pt idx="0">
                  <c:v>191536</c:v>
                </c:pt>
                <c:pt idx="1">
                  <c:v>281939</c:v>
                </c:pt>
              </c:numCache>
            </c:numRef>
          </c:val>
          <c:extLst>
            <c:ext xmlns:c16="http://schemas.microsoft.com/office/drawing/2014/chart" uri="{C3380CC4-5D6E-409C-BE32-E72D297353CC}">
              <c16:uniqueId val="{00000002-74C6-444A-A778-64B32D2C2324}"/>
            </c:ext>
          </c:extLst>
        </c:ser>
        <c:ser>
          <c:idx val="3"/>
          <c:order val="3"/>
          <c:tx>
            <c:strRef>
              <c:f>List2!$F$14</c:f>
              <c:strCache>
                <c:ptCount val="1"/>
                <c:pt idx="0">
                  <c:v>2018</c:v>
                </c:pt>
              </c:strCache>
            </c:strRef>
          </c:tx>
          <c:spPr>
            <a:solidFill>
              <a:schemeClr val="accent4"/>
            </a:solidFill>
            <a:ln>
              <a:noFill/>
            </a:ln>
            <a:effectLst/>
          </c:spPr>
          <c:invertIfNegative val="0"/>
          <c:cat>
            <c:strRef>
              <c:f>List2!$B$15:$B$16</c:f>
              <c:strCache>
                <c:ptCount val="2"/>
                <c:pt idx="0">
                  <c:v>Lehací prostor</c:v>
                </c:pt>
                <c:pt idx="1">
                  <c:v>Stájové prostředí</c:v>
                </c:pt>
              </c:strCache>
            </c:strRef>
          </c:cat>
          <c:val>
            <c:numRef>
              <c:f>List2!$F$15:$F$16</c:f>
              <c:numCache>
                <c:formatCode>#,##0</c:formatCode>
                <c:ptCount val="2"/>
                <c:pt idx="0">
                  <c:v>188434</c:v>
                </c:pt>
                <c:pt idx="1">
                  <c:v>269456</c:v>
                </c:pt>
              </c:numCache>
            </c:numRef>
          </c:val>
          <c:extLst>
            <c:ext xmlns:c16="http://schemas.microsoft.com/office/drawing/2014/chart" uri="{C3380CC4-5D6E-409C-BE32-E72D297353CC}">
              <c16:uniqueId val="{00000003-74C6-444A-A778-64B32D2C2324}"/>
            </c:ext>
          </c:extLst>
        </c:ser>
        <c:ser>
          <c:idx val="4"/>
          <c:order val="4"/>
          <c:tx>
            <c:strRef>
              <c:f>List2!$G$14</c:f>
              <c:strCache>
                <c:ptCount val="1"/>
                <c:pt idx="0">
                  <c:v>2019</c:v>
                </c:pt>
              </c:strCache>
            </c:strRef>
          </c:tx>
          <c:spPr>
            <a:solidFill>
              <a:schemeClr val="accent5"/>
            </a:solidFill>
            <a:ln>
              <a:noFill/>
            </a:ln>
            <a:effectLst/>
          </c:spPr>
          <c:invertIfNegative val="0"/>
          <c:cat>
            <c:strRef>
              <c:f>List2!$B$15:$B$16</c:f>
              <c:strCache>
                <c:ptCount val="2"/>
                <c:pt idx="0">
                  <c:v>Lehací prostor</c:v>
                </c:pt>
                <c:pt idx="1">
                  <c:v>Stájové prostředí</c:v>
                </c:pt>
              </c:strCache>
            </c:strRef>
          </c:cat>
          <c:val>
            <c:numRef>
              <c:f>List2!$G$15:$G$16</c:f>
              <c:numCache>
                <c:formatCode>#,##0</c:formatCode>
                <c:ptCount val="2"/>
                <c:pt idx="0">
                  <c:v>192554</c:v>
                </c:pt>
                <c:pt idx="1">
                  <c:v>267995</c:v>
                </c:pt>
              </c:numCache>
            </c:numRef>
          </c:val>
          <c:extLst>
            <c:ext xmlns:c16="http://schemas.microsoft.com/office/drawing/2014/chart" uri="{C3380CC4-5D6E-409C-BE32-E72D297353CC}">
              <c16:uniqueId val="{00000004-74C6-444A-A778-64B32D2C2324}"/>
            </c:ext>
          </c:extLst>
        </c:ser>
        <c:ser>
          <c:idx val="5"/>
          <c:order val="5"/>
          <c:tx>
            <c:strRef>
              <c:f>List2!$H$14</c:f>
              <c:strCache>
                <c:ptCount val="1"/>
                <c:pt idx="0">
                  <c:v>2020</c:v>
                </c:pt>
              </c:strCache>
            </c:strRef>
          </c:tx>
          <c:spPr>
            <a:solidFill>
              <a:schemeClr val="accent6"/>
            </a:solidFill>
            <a:ln>
              <a:noFill/>
            </a:ln>
            <a:effectLst/>
          </c:spPr>
          <c:invertIfNegative val="0"/>
          <c:cat>
            <c:strRef>
              <c:f>List2!$B$15:$B$16</c:f>
              <c:strCache>
                <c:ptCount val="2"/>
                <c:pt idx="0">
                  <c:v>Lehací prostor</c:v>
                </c:pt>
                <c:pt idx="1">
                  <c:v>Stájové prostředí</c:v>
                </c:pt>
              </c:strCache>
            </c:strRef>
          </c:cat>
          <c:val>
            <c:numRef>
              <c:f>List2!$H$15:$H$16</c:f>
              <c:numCache>
                <c:formatCode>#,##0</c:formatCode>
                <c:ptCount val="2"/>
                <c:pt idx="0">
                  <c:v>199424</c:v>
                </c:pt>
                <c:pt idx="1">
                  <c:v>276983</c:v>
                </c:pt>
              </c:numCache>
            </c:numRef>
          </c:val>
          <c:extLst>
            <c:ext xmlns:c16="http://schemas.microsoft.com/office/drawing/2014/chart" uri="{C3380CC4-5D6E-409C-BE32-E72D297353CC}">
              <c16:uniqueId val="{00000005-74C6-444A-A778-64B32D2C2324}"/>
            </c:ext>
          </c:extLst>
        </c:ser>
        <c:dLbls>
          <c:showLegendKey val="0"/>
          <c:showVal val="0"/>
          <c:showCatName val="0"/>
          <c:showSerName val="0"/>
          <c:showPercent val="0"/>
          <c:showBubbleSize val="0"/>
        </c:dLbls>
        <c:gapWidth val="219"/>
        <c:overlap val="-27"/>
        <c:axId val="586617184"/>
        <c:axId val="586620792"/>
      </c:barChart>
      <c:catAx>
        <c:axId val="5866171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586620792"/>
        <c:crosses val="autoZero"/>
        <c:auto val="1"/>
        <c:lblAlgn val="ctr"/>
        <c:lblOffset val="100"/>
        <c:noMultiLvlLbl val="0"/>
      </c:catAx>
      <c:valAx>
        <c:axId val="58662079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58661718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List2!$C$49</c:f>
              <c:strCache>
                <c:ptCount val="1"/>
                <c:pt idx="0">
                  <c:v>2015</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List2!$B$50:$B$52</c:f>
              <c:strCache>
                <c:ptCount val="3"/>
                <c:pt idx="0">
                  <c:v>Životní podmínky prasnic</c:v>
                </c:pt>
                <c:pt idx="1">
                  <c:v>Životní podmínky prasniček</c:v>
                </c:pt>
                <c:pt idx="2">
                  <c:v>Zvětšení prostoru pro selata</c:v>
                </c:pt>
              </c:strCache>
            </c:strRef>
          </c:cat>
          <c:val>
            <c:numRef>
              <c:f>List2!$C$50:$C$52</c:f>
              <c:numCache>
                <c:formatCode>General</c:formatCode>
                <c:ptCount val="3"/>
                <c:pt idx="0">
                  <c:v>194</c:v>
                </c:pt>
                <c:pt idx="1">
                  <c:v>183</c:v>
                </c:pt>
                <c:pt idx="2">
                  <c:v>105</c:v>
                </c:pt>
              </c:numCache>
            </c:numRef>
          </c:val>
          <c:extLst>
            <c:ext xmlns:c16="http://schemas.microsoft.com/office/drawing/2014/chart" uri="{C3380CC4-5D6E-409C-BE32-E72D297353CC}">
              <c16:uniqueId val="{00000000-33C8-4464-870E-2114F644B8D7}"/>
            </c:ext>
          </c:extLst>
        </c:ser>
        <c:ser>
          <c:idx val="1"/>
          <c:order val="1"/>
          <c:tx>
            <c:strRef>
              <c:f>List2!$D$49</c:f>
              <c:strCache>
                <c:ptCount val="1"/>
                <c:pt idx="0">
                  <c:v>2016</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List2!$B$50:$B$52</c:f>
              <c:strCache>
                <c:ptCount val="3"/>
                <c:pt idx="0">
                  <c:v>Životní podmínky prasnic</c:v>
                </c:pt>
                <c:pt idx="1">
                  <c:v>Životní podmínky prasniček</c:v>
                </c:pt>
                <c:pt idx="2">
                  <c:v>Zvětšení prostoru pro selata</c:v>
                </c:pt>
              </c:strCache>
            </c:strRef>
          </c:cat>
          <c:val>
            <c:numRef>
              <c:f>List2!$D$50:$D$52</c:f>
              <c:numCache>
                <c:formatCode>General</c:formatCode>
                <c:ptCount val="3"/>
                <c:pt idx="0">
                  <c:v>180</c:v>
                </c:pt>
                <c:pt idx="1">
                  <c:v>172</c:v>
                </c:pt>
                <c:pt idx="2">
                  <c:v>116</c:v>
                </c:pt>
              </c:numCache>
            </c:numRef>
          </c:val>
          <c:extLst>
            <c:ext xmlns:c16="http://schemas.microsoft.com/office/drawing/2014/chart" uri="{C3380CC4-5D6E-409C-BE32-E72D297353CC}">
              <c16:uniqueId val="{00000001-33C8-4464-870E-2114F644B8D7}"/>
            </c:ext>
          </c:extLst>
        </c:ser>
        <c:ser>
          <c:idx val="2"/>
          <c:order val="2"/>
          <c:tx>
            <c:strRef>
              <c:f>List2!$E$49</c:f>
              <c:strCache>
                <c:ptCount val="1"/>
                <c:pt idx="0">
                  <c:v>2017</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List2!$B$50:$B$52</c:f>
              <c:strCache>
                <c:ptCount val="3"/>
                <c:pt idx="0">
                  <c:v>Životní podmínky prasnic</c:v>
                </c:pt>
                <c:pt idx="1">
                  <c:v>Životní podmínky prasniček</c:v>
                </c:pt>
                <c:pt idx="2">
                  <c:v>Zvětšení prostoru pro selata</c:v>
                </c:pt>
              </c:strCache>
            </c:strRef>
          </c:cat>
          <c:val>
            <c:numRef>
              <c:f>List2!$E$50:$E$52</c:f>
              <c:numCache>
                <c:formatCode>General</c:formatCode>
                <c:ptCount val="3"/>
                <c:pt idx="0">
                  <c:v>179</c:v>
                </c:pt>
                <c:pt idx="1">
                  <c:v>172</c:v>
                </c:pt>
                <c:pt idx="2">
                  <c:v>104</c:v>
                </c:pt>
              </c:numCache>
            </c:numRef>
          </c:val>
          <c:extLst>
            <c:ext xmlns:c16="http://schemas.microsoft.com/office/drawing/2014/chart" uri="{C3380CC4-5D6E-409C-BE32-E72D297353CC}">
              <c16:uniqueId val="{00000002-33C8-4464-870E-2114F644B8D7}"/>
            </c:ext>
          </c:extLst>
        </c:ser>
        <c:ser>
          <c:idx val="3"/>
          <c:order val="3"/>
          <c:tx>
            <c:strRef>
              <c:f>List2!$F$49</c:f>
              <c:strCache>
                <c:ptCount val="1"/>
                <c:pt idx="0">
                  <c:v>2018</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List2!$B$50:$B$52</c:f>
              <c:strCache>
                <c:ptCount val="3"/>
                <c:pt idx="0">
                  <c:v>Životní podmínky prasnic</c:v>
                </c:pt>
                <c:pt idx="1">
                  <c:v>Životní podmínky prasniček</c:v>
                </c:pt>
                <c:pt idx="2">
                  <c:v>Zvětšení prostoru pro selata</c:v>
                </c:pt>
              </c:strCache>
            </c:strRef>
          </c:cat>
          <c:val>
            <c:numRef>
              <c:f>List2!$F$50:$F$52</c:f>
              <c:numCache>
                <c:formatCode>General</c:formatCode>
                <c:ptCount val="3"/>
                <c:pt idx="0">
                  <c:v>180</c:v>
                </c:pt>
                <c:pt idx="1">
                  <c:v>174</c:v>
                </c:pt>
                <c:pt idx="2">
                  <c:v>112</c:v>
                </c:pt>
              </c:numCache>
            </c:numRef>
          </c:val>
          <c:extLst>
            <c:ext xmlns:c16="http://schemas.microsoft.com/office/drawing/2014/chart" uri="{C3380CC4-5D6E-409C-BE32-E72D297353CC}">
              <c16:uniqueId val="{00000003-33C8-4464-870E-2114F644B8D7}"/>
            </c:ext>
          </c:extLst>
        </c:ser>
        <c:ser>
          <c:idx val="4"/>
          <c:order val="4"/>
          <c:tx>
            <c:strRef>
              <c:f>List2!$G$49</c:f>
              <c:strCache>
                <c:ptCount val="1"/>
                <c:pt idx="0">
                  <c:v>2019</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List2!$B$50:$B$52</c:f>
              <c:strCache>
                <c:ptCount val="3"/>
                <c:pt idx="0">
                  <c:v>Životní podmínky prasnic</c:v>
                </c:pt>
                <c:pt idx="1">
                  <c:v>Životní podmínky prasniček</c:v>
                </c:pt>
                <c:pt idx="2">
                  <c:v>Zvětšení prostoru pro selata</c:v>
                </c:pt>
              </c:strCache>
            </c:strRef>
          </c:cat>
          <c:val>
            <c:numRef>
              <c:f>List2!$G$50:$G$52</c:f>
              <c:numCache>
                <c:formatCode>General</c:formatCode>
                <c:ptCount val="3"/>
                <c:pt idx="0">
                  <c:v>161</c:v>
                </c:pt>
                <c:pt idx="1">
                  <c:v>164</c:v>
                </c:pt>
                <c:pt idx="2">
                  <c:v>103</c:v>
                </c:pt>
              </c:numCache>
            </c:numRef>
          </c:val>
          <c:extLst>
            <c:ext xmlns:c16="http://schemas.microsoft.com/office/drawing/2014/chart" uri="{C3380CC4-5D6E-409C-BE32-E72D297353CC}">
              <c16:uniqueId val="{00000004-33C8-4464-870E-2114F644B8D7}"/>
            </c:ext>
          </c:extLst>
        </c:ser>
        <c:ser>
          <c:idx val="5"/>
          <c:order val="5"/>
          <c:tx>
            <c:strRef>
              <c:f>List2!$H$49</c:f>
              <c:strCache>
                <c:ptCount val="1"/>
                <c:pt idx="0">
                  <c:v>2020</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List2!$B$50:$B$52</c:f>
              <c:strCache>
                <c:ptCount val="3"/>
                <c:pt idx="0">
                  <c:v>Životní podmínky prasnic</c:v>
                </c:pt>
                <c:pt idx="1">
                  <c:v>Životní podmínky prasniček</c:v>
                </c:pt>
                <c:pt idx="2">
                  <c:v>Zvětšení prostoru pro selata</c:v>
                </c:pt>
              </c:strCache>
            </c:strRef>
          </c:cat>
          <c:val>
            <c:numRef>
              <c:f>List2!$H$50:$H$52</c:f>
              <c:numCache>
                <c:formatCode>General</c:formatCode>
                <c:ptCount val="3"/>
                <c:pt idx="0">
                  <c:v>169</c:v>
                </c:pt>
                <c:pt idx="1">
                  <c:v>168</c:v>
                </c:pt>
                <c:pt idx="2">
                  <c:v>106</c:v>
                </c:pt>
              </c:numCache>
            </c:numRef>
          </c:val>
          <c:extLst>
            <c:ext xmlns:c16="http://schemas.microsoft.com/office/drawing/2014/chart" uri="{C3380CC4-5D6E-409C-BE32-E72D297353CC}">
              <c16:uniqueId val="{00000005-33C8-4464-870E-2114F644B8D7}"/>
            </c:ext>
          </c:extLst>
        </c:ser>
        <c:dLbls>
          <c:showLegendKey val="0"/>
          <c:showVal val="0"/>
          <c:showCatName val="0"/>
          <c:showSerName val="0"/>
          <c:showPercent val="0"/>
          <c:showBubbleSize val="0"/>
        </c:dLbls>
        <c:gapWidth val="219"/>
        <c:overlap val="-27"/>
        <c:axId val="957264328"/>
        <c:axId val="957264656"/>
      </c:barChart>
      <c:catAx>
        <c:axId val="9572643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957264656"/>
        <c:crosses val="autoZero"/>
        <c:auto val="1"/>
        <c:lblAlgn val="ctr"/>
        <c:lblOffset val="100"/>
        <c:noMultiLvlLbl val="0"/>
      </c:catAx>
      <c:valAx>
        <c:axId val="9572646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95726432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'POR _celkem'!$B$17</c:f>
              <c:strCache>
                <c:ptCount val="1"/>
                <c:pt idx="0">
                  <c:v>zoocidy, mořidla</c:v>
                </c:pt>
              </c:strCache>
            </c:strRef>
          </c:tx>
          <c:spPr>
            <a:solidFill>
              <a:schemeClr val="accent1"/>
            </a:solidFill>
            <a:ln>
              <a:noFill/>
            </a:ln>
            <a:effectLst/>
          </c:spPr>
          <c:invertIfNegative val="0"/>
          <c:cat>
            <c:numRef>
              <c:f>'POR _celkem'!$D$16:$M$16</c:f>
              <c:numCache>
                <c:formatCode>General</c:formatCode>
                <c:ptCount val="10"/>
                <c:pt idx="0">
                  <c:v>2010</c:v>
                </c:pt>
                <c:pt idx="1">
                  <c:v>2011</c:v>
                </c:pt>
                <c:pt idx="2">
                  <c:v>2012</c:v>
                </c:pt>
                <c:pt idx="3">
                  <c:v>2013</c:v>
                </c:pt>
                <c:pt idx="4">
                  <c:v>2014</c:v>
                </c:pt>
                <c:pt idx="5">
                  <c:v>2015</c:v>
                </c:pt>
                <c:pt idx="6">
                  <c:v>2016</c:v>
                </c:pt>
                <c:pt idx="7">
                  <c:v>2017</c:v>
                </c:pt>
                <c:pt idx="8">
                  <c:v>2018</c:v>
                </c:pt>
                <c:pt idx="9">
                  <c:v>2019</c:v>
                </c:pt>
              </c:numCache>
            </c:numRef>
          </c:cat>
          <c:val>
            <c:numRef>
              <c:f>'POR _celkem'!$D$17:$M$17</c:f>
              <c:numCache>
                <c:formatCode>#,##0</c:formatCode>
                <c:ptCount val="10"/>
                <c:pt idx="0">
                  <c:v>714.25</c:v>
                </c:pt>
                <c:pt idx="1">
                  <c:v>868.79899999999998</c:v>
                </c:pt>
                <c:pt idx="2">
                  <c:v>898.45699999999999</c:v>
                </c:pt>
                <c:pt idx="3">
                  <c:v>1031.817</c:v>
                </c:pt>
                <c:pt idx="4">
                  <c:v>1405.577</c:v>
                </c:pt>
                <c:pt idx="5">
                  <c:v>1154.6769999999999</c:v>
                </c:pt>
                <c:pt idx="6">
                  <c:v>1117.902</c:v>
                </c:pt>
                <c:pt idx="7">
                  <c:v>1106.0350000000001</c:v>
                </c:pt>
                <c:pt idx="8">
                  <c:v>1079.22</c:v>
                </c:pt>
                <c:pt idx="9">
                  <c:v>0</c:v>
                </c:pt>
              </c:numCache>
            </c:numRef>
          </c:val>
          <c:extLst>
            <c:ext xmlns:c16="http://schemas.microsoft.com/office/drawing/2014/chart" uri="{C3380CC4-5D6E-409C-BE32-E72D297353CC}">
              <c16:uniqueId val="{00000000-C5A7-0B40-9DE9-0D31ED1CF2CB}"/>
            </c:ext>
          </c:extLst>
        </c:ser>
        <c:ser>
          <c:idx val="1"/>
          <c:order val="1"/>
          <c:tx>
            <c:strRef>
              <c:f>'POR _celkem'!$B$18</c:f>
              <c:strCache>
                <c:ptCount val="1"/>
                <c:pt idx="0">
                  <c:v>herbicidy a desikanty</c:v>
                </c:pt>
              </c:strCache>
            </c:strRef>
          </c:tx>
          <c:spPr>
            <a:solidFill>
              <a:schemeClr val="accent2">
                <a:lumMod val="60000"/>
                <a:lumOff val="40000"/>
              </a:schemeClr>
            </a:solidFill>
            <a:ln>
              <a:noFill/>
            </a:ln>
            <a:effectLst/>
          </c:spPr>
          <c:invertIfNegative val="0"/>
          <c:cat>
            <c:numRef>
              <c:f>'POR _celkem'!$D$16:$M$16</c:f>
              <c:numCache>
                <c:formatCode>General</c:formatCode>
                <c:ptCount val="10"/>
                <c:pt idx="0">
                  <c:v>2010</c:v>
                </c:pt>
                <c:pt idx="1">
                  <c:v>2011</c:v>
                </c:pt>
                <c:pt idx="2">
                  <c:v>2012</c:v>
                </c:pt>
                <c:pt idx="3">
                  <c:v>2013</c:v>
                </c:pt>
                <c:pt idx="4">
                  <c:v>2014</c:v>
                </c:pt>
                <c:pt idx="5">
                  <c:v>2015</c:v>
                </c:pt>
                <c:pt idx="6">
                  <c:v>2016</c:v>
                </c:pt>
                <c:pt idx="7">
                  <c:v>2017</c:v>
                </c:pt>
                <c:pt idx="8">
                  <c:v>2018</c:v>
                </c:pt>
                <c:pt idx="9">
                  <c:v>2019</c:v>
                </c:pt>
              </c:numCache>
            </c:numRef>
          </c:cat>
          <c:val>
            <c:numRef>
              <c:f>'POR _celkem'!$D$18:$M$18</c:f>
              <c:numCache>
                <c:formatCode>#,##0</c:formatCode>
                <c:ptCount val="10"/>
                <c:pt idx="0">
                  <c:v>6537.1670000000004</c:v>
                </c:pt>
                <c:pt idx="1">
                  <c:v>7296.6440000000002</c:v>
                </c:pt>
                <c:pt idx="2">
                  <c:v>7649.2740000000003</c:v>
                </c:pt>
                <c:pt idx="3">
                  <c:v>6978.7870000000003</c:v>
                </c:pt>
                <c:pt idx="4">
                  <c:v>6334.2669999999998</c:v>
                </c:pt>
                <c:pt idx="5">
                  <c:v>5986.0929999999998</c:v>
                </c:pt>
                <c:pt idx="6">
                  <c:v>6108.8739999999998</c:v>
                </c:pt>
                <c:pt idx="7">
                  <c:v>6046.7439999999997</c:v>
                </c:pt>
                <c:pt idx="8">
                  <c:v>5504.0590000000002</c:v>
                </c:pt>
                <c:pt idx="9">
                  <c:v>5078.1940000000004</c:v>
                </c:pt>
              </c:numCache>
            </c:numRef>
          </c:val>
          <c:extLst>
            <c:ext xmlns:c16="http://schemas.microsoft.com/office/drawing/2014/chart" uri="{C3380CC4-5D6E-409C-BE32-E72D297353CC}">
              <c16:uniqueId val="{00000001-C5A7-0B40-9DE9-0D31ED1CF2CB}"/>
            </c:ext>
          </c:extLst>
        </c:ser>
        <c:ser>
          <c:idx val="2"/>
          <c:order val="2"/>
          <c:tx>
            <c:strRef>
              <c:f>'POR _celkem'!$B$19</c:f>
              <c:strCache>
                <c:ptCount val="1"/>
                <c:pt idx="0">
                  <c:v>fungicidy, mořidla</c:v>
                </c:pt>
              </c:strCache>
            </c:strRef>
          </c:tx>
          <c:spPr>
            <a:solidFill>
              <a:srgbClr val="92D050"/>
            </a:solidFill>
            <a:ln>
              <a:solidFill>
                <a:schemeClr val="accent6">
                  <a:lumMod val="75000"/>
                </a:schemeClr>
              </a:solidFill>
            </a:ln>
            <a:effectLst/>
          </c:spPr>
          <c:invertIfNegative val="0"/>
          <c:cat>
            <c:numRef>
              <c:f>'POR _celkem'!$D$16:$M$16</c:f>
              <c:numCache>
                <c:formatCode>General</c:formatCode>
                <c:ptCount val="10"/>
                <c:pt idx="0">
                  <c:v>2010</c:v>
                </c:pt>
                <c:pt idx="1">
                  <c:v>2011</c:v>
                </c:pt>
                <c:pt idx="2">
                  <c:v>2012</c:v>
                </c:pt>
                <c:pt idx="3">
                  <c:v>2013</c:v>
                </c:pt>
                <c:pt idx="4">
                  <c:v>2014</c:v>
                </c:pt>
                <c:pt idx="5">
                  <c:v>2015</c:v>
                </c:pt>
                <c:pt idx="6">
                  <c:v>2016</c:v>
                </c:pt>
                <c:pt idx="7">
                  <c:v>2017</c:v>
                </c:pt>
                <c:pt idx="8">
                  <c:v>2018</c:v>
                </c:pt>
                <c:pt idx="9">
                  <c:v>2019</c:v>
                </c:pt>
              </c:numCache>
            </c:numRef>
          </c:cat>
          <c:val>
            <c:numRef>
              <c:f>'POR _celkem'!$D$19:$M$19</c:f>
              <c:numCache>
                <c:formatCode>#,##0</c:formatCode>
                <c:ptCount val="10"/>
                <c:pt idx="0">
                  <c:v>2831.152</c:v>
                </c:pt>
                <c:pt idx="1">
                  <c:v>3262.3150000000001</c:v>
                </c:pt>
                <c:pt idx="2">
                  <c:v>3286.43</c:v>
                </c:pt>
                <c:pt idx="3">
                  <c:v>3796.3760000000002</c:v>
                </c:pt>
                <c:pt idx="4">
                  <c:v>3611.8679999999999</c:v>
                </c:pt>
                <c:pt idx="5">
                  <c:v>3588.7040000000002</c:v>
                </c:pt>
                <c:pt idx="6">
                  <c:v>3782.24</c:v>
                </c:pt>
                <c:pt idx="7">
                  <c:v>3896.299</c:v>
                </c:pt>
                <c:pt idx="8">
                  <c:v>3659.1640000000002</c:v>
                </c:pt>
                <c:pt idx="9">
                  <c:v>3850.9850000000001</c:v>
                </c:pt>
              </c:numCache>
            </c:numRef>
          </c:val>
          <c:extLst>
            <c:ext xmlns:c16="http://schemas.microsoft.com/office/drawing/2014/chart" uri="{C3380CC4-5D6E-409C-BE32-E72D297353CC}">
              <c16:uniqueId val="{00000002-C5A7-0B40-9DE9-0D31ED1CF2CB}"/>
            </c:ext>
          </c:extLst>
        </c:ser>
        <c:ser>
          <c:idx val="3"/>
          <c:order val="3"/>
          <c:tx>
            <c:strRef>
              <c:f>'POR _celkem'!$B$20</c:f>
              <c:strCache>
                <c:ptCount val="1"/>
                <c:pt idx="0">
                  <c:v>regulátory růstu</c:v>
                </c:pt>
              </c:strCache>
            </c:strRef>
          </c:tx>
          <c:spPr>
            <a:solidFill>
              <a:schemeClr val="accent6">
                <a:lumMod val="50000"/>
              </a:schemeClr>
            </a:solidFill>
            <a:ln>
              <a:solidFill>
                <a:schemeClr val="accent6">
                  <a:lumMod val="50000"/>
                </a:schemeClr>
              </a:solidFill>
            </a:ln>
            <a:effectLst/>
          </c:spPr>
          <c:invertIfNegative val="0"/>
          <c:cat>
            <c:numRef>
              <c:f>'POR _celkem'!$D$16:$M$16</c:f>
              <c:numCache>
                <c:formatCode>General</c:formatCode>
                <c:ptCount val="10"/>
                <c:pt idx="0">
                  <c:v>2010</c:v>
                </c:pt>
                <c:pt idx="1">
                  <c:v>2011</c:v>
                </c:pt>
                <c:pt idx="2">
                  <c:v>2012</c:v>
                </c:pt>
                <c:pt idx="3">
                  <c:v>2013</c:v>
                </c:pt>
                <c:pt idx="4">
                  <c:v>2014</c:v>
                </c:pt>
                <c:pt idx="5">
                  <c:v>2015</c:v>
                </c:pt>
                <c:pt idx="6">
                  <c:v>2016</c:v>
                </c:pt>
                <c:pt idx="7">
                  <c:v>2017</c:v>
                </c:pt>
                <c:pt idx="8">
                  <c:v>2018</c:v>
                </c:pt>
                <c:pt idx="9">
                  <c:v>2019</c:v>
                </c:pt>
              </c:numCache>
            </c:numRef>
          </c:cat>
          <c:val>
            <c:numRef>
              <c:f>'POR _celkem'!$D$20:$M$20</c:f>
              <c:numCache>
                <c:formatCode>#,##0</c:formatCode>
                <c:ptCount val="10"/>
                <c:pt idx="0">
                  <c:v>1035.5419999999999</c:v>
                </c:pt>
                <c:pt idx="1">
                  <c:v>1373.9290000000001</c:v>
                </c:pt>
                <c:pt idx="2">
                  <c:v>1361.184</c:v>
                </c:pt>
                <c:pt idx="3">
                  <c:v>1230.3440000000001</c:v>
                </c:pt>
                <c:pt idx="4">
                  <c:v>1138.9749999999999</c:v>
                </c:pt>
                <c:pt idx="5">
                  <c:v>1222.713</c:v>
                </c:pt>
                <c:pt idx="6">
                  <c:v>1145.1510000000001</c:v>
                </c:pt>
                <c:pt idx="7">
                  <c:v>1320.472</c:v>
                </c:pt>
                <c:pt idx="8">
                  <c:v>1057.9100000000001</c:v>
                </c:pt>
                <c:pt idx="9">
                  <c:v>1059.74</c:v>
                </c:pt>
              </c:numCache>
            </c:numRef>
          </c:val>
          <c:extLst>
            <c:ext xmlns:c16="http://schemas.microsoft.com/office/drawing/2014/chart" uri="{C3380CC4-5D6E-409C-BE32-E72D297353CC}">
              <c16:uniqueId val="{00000003-C5A7-0B40-9DE9-0D31ED1CF2CB}"/>
            </c:ext>
          </c:extLst>
        </c:ser>
        <c:ser>
          <c:idx val="4"/>
          <c:order val="4"/>
          <c:tx>
            <c:strRef>
              <c:f>'POR _celkem'!$B$21</c:f>
              <c:strCache>
                <c:ptCount val="1"/>
                <c:pt idx="0">
                  <c:v>rodenticidy</c:v>
                </c:pt>
              </c:strCache>
            </c:strRef>
          </c:tx>
          <c:spPr>
            <a:solidFill>
              <a:srgbClr val="FF99FF"/>
            </a:solidFill>
            <a:ln>
              <a:solidFill>
                <a:srgbClr val="7030A0"/>
              </a:solidFill>
            </a:ln>
            <a:effectLst/>
          </c:spPr>
          <c:invertIfNegative val="0"/>
          <c:cat>
            <c:numRef>
              <c:f>'POR _celkem'!$D$16:$M$16</c:f>
              <c:numCache>
                <c:formatCode>General</c:formatCode>
                <c:ptCount val="10"/>
                <c:pt idx="0">
                  <c:v>2010</c:v>
                </c:pt>
                <c:pt idx="1">
                  <c:v>2011</c:v>
                </c:pt>
                <c:pt idx="2">
                  <c:v>2012</c:v>
                </c:pt>
                <c:pt idx="3">
                  <c:v>2013</c:v>
                </c:pt>
                <c:pt idx="4">
                  <c:v>2014</c:v>
                </c:pt>
                <c:pt idx="5">
                  <c:v>2015</c:v>
                </c:pt>
                <c:pt idx="6">
                  <c:v>2016</c:v>
                </c:pt>
                <c:pt idx="7">
                  <c:v>2017</c:v>
                </c:pt>
                <c:pt idx="8">
                  <c:v>2018</c:v>
                </c:pt>
                <c:pt idx="9">
                  <c:v>2019</c:v>
                </c:pt>
              </c:numCache>
            </c:numRef>
          </c:cat>
          <c:val>
            <c:numRef>
              <c:f>'POR _celkem'!$D$21:$M$21</c:f>
              <c:numCache>
                <c:formatCode>#,##0</c:formatCode>
                <c:ptCount val="10"/>
                <c:pt idx="0">
                  <c:v>172.077</c:v>
                </c:pt>
                <c:pt idx="1">
                  <c:v>114.932</c:v>
                </c:pt>
                <c:pt idx="2">
                  <c:v>170.68100000000001</c:v>
                </c:pt>
                <c:pt idx="3">
                  <c:v>75.513999999999996</c:v>
                </c:pt>
                <c:pt idx="4">
                  <c:v>179.721</c:v>
                </c:pt>
                <c:pt idx="5">
                  <c:v>278.43700000000001</c:v>
                </c:pt>
                <c:pt idx="6">
                  <c:v>129.12799999999999</c:v>
                </c:pt>
                <c:pt idx="7">
                  <c:v>61.981000000000002</c:v>
                </c:pt>
                <c:pt idx="8">
                  <c:v>71.569999999999993</c:v>
                </c:pt>
                <c:pt idx="9">
                  <c:v>202.48500000000001</c:v>
                </c:pt>
              </c:numCache>
            </c:numRef>
          </c:val>
          <c:extLst>
            <c:ext xmlns:c16="http://schemas.microsoft.com/office/drawing/2014/chart" uri="{C3380CC4-5D6E-409C-BE32-E72D297353CC}">
              <c16:uniqueId val="{00000004-C5A7-0B40-9DE9-0D31ED1CF2CB}"/>
            </c:ext>
          </c:extLst>
        </c:ser>
        <c:ser>
          <c:idx val="5"/>
          <c:order val="5"/>
          <c:tx>
            <c:strRef>
              <c:f>'POR _celkem'!$B$22</c:f>
              <c:strCache>
                <c:ptCount val="1"/>
                <c:pt idx="0">
                  <c:v>ostatní 2)</c:v>
                </c:pt>
              </c:strCache>
            </c:strRef>
          </c:tx>
          <c:spPr>
            <a:solidFill>
              <a:srgbClr val="7030A0"/>
            </a:solidFill>
            <a:ln>
              <a:noFill/>
            </a:ln>
            <a:effectLst/>
          </c:spPr>
          <c:invertIfNegative val="0"/>
          <c:cat>
            <c:numRef>
              <c:f>'POR _celkem'!$D$16:$M$16</c:f>
              <c:numCache>
                <c:formatCode>General</c:formatCode>
                <c:ptCount val="10"/>
                <c:pt idx="0">
                  <c:v>2010</c:v>
                </c:pt>
                <c:pt idx="1">
                  <c:v>2011</c:v>
                </c:pt>
                <c:pt idx="2">
                  <c:v>2012</c:v>
                </c:pt>
                <c:pt idx="3">
                  <c:v>2013</c:v>
                </c:pt>
                <c:pt idx="4">
                  <c:v>2014</c:v>
                </c:pt>
                <c:pt idx="5">
                  <c:v>2015</c:v>
                </c:pt>
                <c:pt idx="6">
                  <c:v>2016</c:v>
                </c:pt>
                <c:pt idx="7">
                  <c:v>2017</c:v>
                </c:pt>
                <c:pt idx="8">
                  <c:v>2018</c:v>
                </c:pt>
                <c:pt idx="9">
                  <c:v>2019</c:v>
                </c:pt>
              </c:numCache>
            </c:numRef>
          </c:cat>
          <c:val>
            <c:numRef>
              <c:f>'POR _celkem'!$D$22:$M$22</c:f>
              <c:numCache>
                <c:formatCode>#,##0</c:formatCode>
                <c:ptCount val="10"/>
                <c:pt idx="0">
                  <c:v>297.71499999999997</c:v>
                </c:pt>
                <c:pt idx="1">
                  <c:v>419.75400000000002</c:v>
                </c:pt>
                <c:pt idx="2">
                  <c:v>459.70299999999997</c:v>
                </c:pt>
                <c:pt idx="3">
                  <c:v>524.53200000000004</c:v>
                </c:pt>
                <c:pt idx="4">
                  <c:v>470.52199999999999</c:v>
                </c:pt>
                <c:pt idx="5">
                  <c:v>501.39</c:v>
                </c:pt>
                <c:pt idx="6">
                  <c:v>526.529</c:v>
                </c:pt>
                <c:pt idx="7">
                  <c:v>409.697</c:v>
                </c:pt>
                <c:pt idx="8">
                  <c:v>339.505</c:v>
                </c:pt>
                <c:pt idx="9">
                  <c:v>332.75099999999998</c:v>
                </c:pt>
              </c:numCache>
            </c:numRef>
          </c:val>
          <c:extLst>
            <c:ext xmlns:c16="http://schemas.microsoft.com/office/drawing/2014/chart" uri="{C3380CC4-5D6E-409C-BE32-E72D297353CC}">
              <c16:uniqueId val="{00000005-C5A7-0B40-9DE9-0D31ED1CF2CB}"/>
            </c:ext>
          </c:extLst>
        </c:ser>
        <c:dLbls>
          <c:showLegendKey val="0"/>
          <c:showVal val="0"/>
          <c:showCatName val="0"/>
          <c:showSerName val="0"/>
          <c:showPercent val="0"/>
          <c:showBubbleSize val="0"/>
        </c:dLbls>
        <c:gapWidth val="219"/>
        <c:overlap val="-27"/>
        <c:axId val="1704042560"/>
        <c:axId val="1565746816"/>
      </c:barChart>
      <c:lineChart>
        <c:grouping val="standard"/>
        <c:varyColors val="0"/>
        <c:ser>
          <c:idx val="6"/>
          <c:order val="6"/>
          <c:tx>
            <c:strRef>
              <c:f>'POR _celkem'!$B$23</c:f>
              <c:strCache>
                <c:ptCount val="1"/>
                <c:pt idx="0">
                  <c:v>celkem POR</c:v>
                </c:pt>
              </c:strCache>
            </c:strRef>
          </c:tx>
          <c:spPr>
            <a:ln w="38100" cap="rnd">
              <a:solidFill>
                <a:srgbClr val="FF0000"/>
              </a:solidFill>
              <a:round/>
            </a:ln>
            <a:effectLst/>
          </c:spPr>
          <c:marker>
            <c:symbol val="circle"/>
            <c:size val="7"/>
            <c:spPr>
              <a:solidFill>
                <a:srgbClr val="FF0000"/>
              </a:solidFill>
              <a:ln w="9525">
                <a:solidFill>
                  <a:srgbClr val="C00000"/>
                </a:solidFill>
              </a:ln>
              <a:effectLst/>
            </c:spPr>
          </c:marker>
          <c:cat>
            <c:numRef>
              <c:f>'POR _celkem'!$D$16:$M$16</c:f>
              <c:numCache>
                <c:formatCode>General</c:formatCode>
                <c:ptCount val="10"/>
                <c:pt idx="0">
                  <c:v>2010</c:v>
                </c:pt>
                <c:pt idx="1">
                  <c:v>2011</c:v>
                </c:pt>
                <c:pt idx="2">
                  <c:v>2012</c:v>
                </c:pt>
                <c:pt idx="3">
                  <c:v>2013</c:v>
                </c:pt>
                <c:pt idx="4">
                  <c:v>2014</c:v>
                </c:pt>
                <c:pt idx="5">
                  <c:v>2015</c:v>
                </c:pt>
                <c:pt idx="6">
                  <c:v>2016</c:v>
                </c:pt>
                <c:pt idx="7">
                  <c:v>2017</c:v>
                </c:pt>
                <c:pt idx="8">
                  <c:v>2018</c:v>
                </c:pt>
                <c:pt idx="9">
                  <c:v>2019</c:v>
                </c:pt>
              </c:numCache>
            </c:numRef>
          </c:cat>
          <c:val>
            <c:numRef>
              <c:f>'POR _celkem'!$D$23:$M$23</c:f>
              <c:numCache>
                <c:formatCode>#,##0</c:formatCode>
                <c:ptCount val="10"/>
                <c:pt idx="0">
                  <c:v>11587.903</c:v>
                </c:pt>
                <c:pt idx="1">
                  <c:v>13336.373</c:v>
                </c:pt>
                <c:pt idx="2">
                  <c:v>13825.728999999999</c:v>
                </c:pt>
                <c:pt idx="3">
                  <c:v>13637.37</c:v>
                </c:pt>
                <c:pt idx="4">
                  <c:v>13140.93</c:v>
                </c:pt>
                <c:pt idx="5">
                  <c:v>12732.013999999999</c:v>
                </c:pt>
                <c:pt idx="6">
                  <c:v>12809.824000000001</c:v>
                </c:pt>
                <c:pt idx="7">
                  <c:v>12841.227999999999</c:v>
                </c:pt>
                <c:pt idx="8">
                  <c:v>11711.429</c:v>
                </c:pt>
                <c:pt idx="9">
                  <c:v>11547.878000000001</c:v>
                </c:pt>
              </c:numCache>
            </c:numRef>
          </c:val>
          <c:smooth val="0"/>
          <c:extLst>
            <c:ext xmlns:c16="http://schemas.microsoft.com/office/drawing/2014/chart" uri="{C3380CC4-5D6E-409C-BE32-E72D297353CC}">
              <c16:uniqueId val="{00000006-C5A7-0B40-9DE9-0D31ED1CF2CB}"/>
            </c:ext>
          </c:extLst>
        </c:ser>
        <c:dLbls>
          <c:showLegendKey val="0"/>
          <c:showVal val="0"/>
          <c:showCatName val="0"/>
          <c:showSerName val="0"/>
          <c:showPercent val="0"/>
          <c:showBubbleSize val="0"/>
        </c:dLbls>
        <c:marker val="1"/>
        <c:smooth val="0"/>
        <c:axId val="1704875408"/>
        <c:axId val="1622509232"/>
      </c:lineChart>
      <c:catAx>
        <c:axId val="1704042560"/>
        <c:scaling>
          <c:orientation val="minMax"/>
        </c:scaling>
        <c:delete val="0"/>
        <c:axPos val="b"/>
        <c:numFmt formatCode="General" sourceLinked="1"/>
        <c:majorTickMark val="none"/>
        <c:minorTickMark val="none"/>
        <c:tickLblPos val="nextTo"/>
        <c:spPr>
          <a:noFill/>
          <a:ln w="9525" cap="flat" cmpd="sng" algn="ctr">
            <a:solidFill>
              <a:schemeClr val="bg1">
                <a:lumMod val="50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cs-CZ"/>
          </a:p>
        </c:txPr>
        <c:crossAx val="1565746816"/>
        <c:crosses val="autoZero"/>
        <c:auto val="1"/>
        <c:lblAlgn val="ctr"/>
        <c:lblOffset val="100"/>
        <c:noMultiLvlLbl val="0"/>
      </c:catAx>
      <c:valAx>
        <c:axId val="1565746816"/>
        <c:scaling>
          <c:orientation val="minMax"/>
        </c:scaling>
        <c:delete val="0"/>
        <c:axPos val="l"/>
        <c:majorGridlines>
          <c:spPr>
            <a:ln w="9525" cap="flat" cmpd="sng" algn="ctr">
              <a:solidFill>
                <a:schemeClr val="bg1">
                  <a:lumMod val="7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a:t>tis. kg/l</a:t>
                </a:r>
              </a:p>
            </c:rich>
          </c:tx>
          <c:layout/>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cs-CZ"/>
            </a:p>
          </c:txPr>
        </c:title>
        <c:numFmt formatCode="#,##0" sourceLinked="1"/>
        <c:majorTickMark val="none"/>
        <c:minorTickMark val="none"/>
        <c:tickLblPos val="nextTo"/>
        <c:spPr>
          <a:noFill/>
          <a:ln>
            <a:solidFill>
              <a:schemeClr val="bg1">
                <a:lumMod val="50000"/>
              </a:scheme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704042560"/>
        <c:crosses val="autoZero"/>
        <c:crossBetween val="between"/>
      </c:valAx>
      <c:valAx>
        <c:axId val="1622509232"/>
        <c:scaling>
          <c:orientation val="minMax"/>
          <c:min val="0"/>
        </c:scaling>
        <c:delete val="1"/>
        <c:axPos val="r"/>
        <c:numFmt formatCode="#,##0" sourceLinked="1"/>
        <c:majorTickMark val="none"/>
        <c:minorTickMark val="none"/>
        <c:tickLblPos val="nextTo"/>
        <c:crossAx val="1704875408"/>
        <c:crosses val="max"/>
        <c:crossBetween val="between"/>
      </c:valAx>
      <c:catAx>
        <c:axId val="1704875408"/>
        <c:scaling>
          <c:orientation val="minMax"/>
        </c:scaling>
        <c:delete val="1"/>
        <c:axPos val="b"/>
        <c:numFmt formatCode="General" sourceLinked="1"/>
        <c:majorTickMark val="none"/>
        <c:minorTickMark val="none"/>
        <c:tickLblPos val="nextTo"/>
        <c:crossAx val="1622509232"/>
        <c:crosses val="autoZero"/>
        <c:auto val="1"/>
        <c:lblAlgn val="ctr"/>
        <c:lblOffset val="100"/>
        <c:noMultiLvlLbl val="0"/>
      </c:catAx>
      <c:spPr>
        <a:noFill/>
        <a:ln>
          <a:noFill/>
        </a:ln>
        <a:effectLst/>
      </c:spPr>
    </c:plotArea>
    <c:legend>
      <c:legendPos val="b"/>
      <c:layout>
        <c:manualLayout>
          <c:xMode val="edge"/>
          <c:yMode val="edge"/>
          <c:x val="6.5996378112310433E-2"/>
          <c:y val="0.84366698162729659"/>
          <c:w val="0.93129632635629511"/>
          <c:h val="0.13571443569553807"/>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bg1">
          <a:lumMod val="50000"/>
        </a:schemeClr>
      </a:solidFill>
      <a:round/>
    </a:ln>
    <a:effectLst/>
  </c:spPr>
  <c:txPr>
    <a:bodyPr/>
    <a:lstStyle/>
    <a:p>
      <a:pPr>
        <a:defRPr/>
      </a:pPr>
      <a:endParaRPr lang="cs-CZ"/>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List2!$C$22</c:f>
              <c:strCache>
                <c:ptCount val="1"/>
                <c:pt idx="0">
                  <c:v>2015</c:v>
                </c:pt>
              </c:strCache>
            </c:strRef>
          </c:tx>
          <c:spPr>
            <a:solidFill>
              <a:schemeClr val="accent1"/>
            </a:solidFill>
            <a:ln>
              <a:noFill/>
            </a:ln>
            <a:effectLst/>
          </c:spPr>
          <c:invertIfNegative val="0"/>
          <c:cat>
            <c:strRef>
              <c:f>List2!$B$23:$B$25</c:f>
              <c:strCache>
                <c:ptCount val="3"/>
                <c:pt idx="0">
                  <c:v>Životní podmínky prasnic</c:v>
                </c:pt>
                <c:pt idx="1">
                  <c:v>Životní podmínky prasniček</c:v>
                </c:pt>
                <c:pt idx="2">
                  <c:v>Zvětšení prostoru pro selata</c:v>
                </c:pt>
              </c:strCache>
            </c:strRef>
          </c:cat>
          <c:val>
            <c:numRef>
              <c:f>List2!$C$23:$C$25</c:f>
              <c:numCache>
                <c:formatCode>#,##0</c:formatCode>
                <c:ptCount val="3"/>
                <c:pt idx="0">
                  <c:v>39499</c:v>
                </c:pt>
                <c:pt idx="1">
                  <c:v>27095</c:v>
                </c:pt>
                <c:pt idx="2">
                  <c:v>4841</c:v>
                </c:pt>
              </c:numCache>
            </c:numRef>
          </c:val>
          <c:extLst>
            <c:ext xmlns:c16="http://schemas.microsoft.com/office/drawing/2014/chart" uri="{C3380CC4-5D6E-409C-BE32-E72D297353CC}">
              <c16:uniqueId val="{00000000-6C81-4C26-B73B-B6B5585E7F5F}"/>
            </c:ext>
          </c:extLst>
        </c:ser>
        <c:ser>
          <c:idx val="1"/>
          <c:order val="1"/>
          <c:tx>
            <c:strRef>
              <c:f>List2!$D$22</c:f>
              <c:strCache>
                <c:ptCount val="1"/>
                <c:pt idx="0">
                  <c:v>2016</c:v>
                </c:pt>
              </c:strCache>
            </c:strRef>
          </c:tx>
          <c:spPr>
            <a:solidFill>
              <a:schemeClr val="accent2"/>
            </a:solidFill>
            <a:ln>
              <a:noFill/>
            </a:ln>
            <a:effectLst/>
          </c:spPr>
          <c:invertIfNegative val="0"/>
          <c:cat>
            <c:strRef>
              <c:f>List2!$B$23:$B$25</c:f>
              <c:strCache>
                <c:ptCount val="3"/>
                <c:pt idx="0">
                  <c:v>Životní podmínky prasnic</c:v>
                </c:pt>
                <c:pt idx="1">
                  <c:v>Životní podmínky prasniček</c:v>
                </c:pt>
                <c:pt idx="2">
                  <c:v>Zvětšení prostoru pro selata</c:v>
                </c:pt>
              </c:strCache>
            </c:strRef>
          </c:cat>
          <c:val>
            <c:numRef>
              <c:f>List2!$D$23:$D$25</c:f>
              <c:numCache>
                <c:formatCode>#,##0</c:formatCode>
                <c:ptCount val="3"/>
                <c:pt idx="0">
                  <c:v>38408</c:v>
                </c:pt>
                <c:pt idx="1">
                  <c:v>24597</c:v>
                </c:pt>
                <c:pt idx="2">
                  <c:v>7024</c:v>
                </c:pt>
              </c:numCache>
            </c:numRef>
          </c:val>
          <c:extLst>
            <c:ext xmlns:c16="http://schemas.microsoft.com/office/drawing/2014/chart" uri="{C3380CC4-5D6E-409C-BE32-E72D297353CC}">
              <c16:uniqueId val="{00000001-6C81-4C26-B73B-B6B5585E7F5F}"/>
            </c:ext>
          </c:extLst>
        </c:ser>
        <c:ser>
          <c:idx val="2"/>
          <c:order val="2"/>
          <c:tx>
            <c:strRef>
              <c:f>List2!$E$22</c:f>
              <c:strCache>
                <c:ptCount val="1"/>
                <c:pt idx="0">
                  <c:v>2017</c:v>
                </c:pt>
              </c:strCache>
            </c:strRef>
          </c:tx>
          <c:spPr>
            <a:solidFill>
              <a:schemeClr val="accent3"/>
            </a:solidFill>
            <a:ln>
              <a:noFill/>
            </a:ln>
            <a:effectLst/>
          </c:spPr>
          <c:invertIfNegative val="0"/>
          <c:cat>
            <c:strRef>
              <c:f>List2!$B$23:$B$25</c:f>
              <c:strCache>
                <c:ptCount val="3"/>
                <c:pt idx="0">
                  <c:v>Životní podmínky prasnic</c:v>
                </c:pt>
                <c:pt idx="1">
                  <c:v>Životní podmínky prasniček</c:v>
                </c:pt>
                <c:pt idx="2">
                  <c:v>Zvětšení prostoru pro selata</c:v>
                </c:pt>
              </c:strCache>
            </c:strRef>
          </c:cat>
          <c:val>
            <c:numRef>
              <c:f>List2!$E$23:$E$25</c:f>
              <c:numCache>
                <c:formatCode>#,##0</c:formatCode>
                <c:ptCount val="3"/>
                <c:pt idx="0">
                  <c:v>44813</c:v>
                </c:pt>
                <c:pt idx="1">
                  <c:v>29266</c:v>
                </c:pt>
                <c:pt idx="2">
                  <c:v>8006</c:v>
                </c:pt>
              </c:numCache>
            </c:numRef>
          </c:val>
          <c:extLst>
            <c:ext xmlns:c16="http://schemas.microsoft.com/office/drawing/2014/chart" uri="{C3380CC4-5D6E-409C-BE32-E72D297353CC}">
              <c16:uniqueId val="{00000002-6C81-4C26-B73B-B6B5585E7F5F}"/>
            </c:ext>
          </c:extLst>
        </c:ser>
        <c:ser>
          <c:idx val="3"/>
          <c:order val="3"/>
          <c:tx>
            <c:strRef>
              <c:f>List2!$F$22</c:f>
              <c:strCache>
                <c:ptCount val="1"/>
                <c:pt idx="0">
                  <c:v>2018</c:v>
                </c:pt>
              </c:strCache>
            </c:strRef>
          </c:tx>
          <c:spPr>
            <a:solidFill>
              <a:schemeClr val="accent4"/>
            </a:solidFill>
            <a:ln>
              <a:noFill/>
            </a:ln>
            <a:effectLst/>
          </c:spPr>
          <c:invertIfNegative val="0"/>
          <c:cat>
            <c:strRef>
              <c:f>List2!$B$23:$B$25</c:f>
              <c:strCache>
                <c:ptCount val="3"/>
                <c:pt idx="0">
                  <c:v>Životní podmínky prasnic</c:v>
                </c:pt>
                <c:pt idx="1">
                  <c:v>Životní podmínky prasniček</c:v>
                </c:pt>
                <c:pt idx="2">
                  <c:v>Zvětšení prostoru pro selata</c:v>
                </c:pt>
              </c:strCache>
            </c:strRef>
          </c:cat>
          <c:val>
            <c:numRef>
              <c:f>List2!$F$23:$F$25</c:f>
              <c:numCache>
                <c:formatCode>#,##0</c:formatCode>
                <c:ptCount val="3"/>
                <c:pt idx="0">
                  <c:v>38398</c:v>
                </c:pt>
                <c:pt idx="1">
                  <c:v>26933</c:v>
                </c:pt>
                <c:pt idx="2">
                  <c:v>6258</c:v>
                </c:pt>
              </c:numCache>
            </c:numRef>
          </c:val>
          <c:extLst>
            <c:ext xmlns:c16="http://schemas.microsoft.com/office/drawing/2014/chart" uri="{C3380CC4-5D6E-409C-BE32-E72D297353CC}">
              <c16:uniqueId val="{00000003-6C81-4C26-B73B-B6B5585E7F5F}"/>
            </c:ext>
          </c:extLst>
        </c:ser>
        <c:ser>
          <c:idx val="4"/>
          <c:order val="4"/>
          <c:tx>
            <c:strRef>
              <c:f>List2!$G$22</c:f>
              <c:strCache>
                <c:ptCount val="1"/>
                <c:pt idx="0">
                  <c:v>2019</c:v>
                </c:pt>
              </c:strCache>
            </c:strRef>
          </c:tx>
          <c:spPr>
            <a:solidFill>
              <a:schemeClr val="accent5"/>
            </a:solidFill>
            <a:ln>
              <a:noFill/>
            </a:ln>
            <a:effectLst/>
          </c:spPr>
          <c:invertIfNegative val="0"/>
          <c:cat>
            <c:strRef>
              <c:f>List2!$B$23:$B$25</c:f>
              <c:strCache>
                <c:ptCount val="3"/>
                <c:pt idx="0">
                  <c:v>Životní podmínky prasnic</c:v>
                </c:pt>
                <c:pt idx="1">
                  <c:v>Životní podmínky prasniček</c:v>
                </c:pt>
                <c:pt idx="2">
                  <c:v>Zvětšení prostoru pro selata</c:v>
                </c:pt>
              </c:strCache>
            </c:strRef>
          </c:cat>
          <c:val>
            <c:numRef>
              <c:f>List2!$G$23:$G$25</c:f>
              <c:numCache>
                <c:formatCode>#,##0</c:formatCode>
                <c:ptCount val="3"/>
                <c:pt idx="0">
                  <c:v>38812</c:v>
                </c:pt>
                <c:pt idx="1">
                  <c:v>23349</c:v>
                </c:pt>
                <c:pt idx="2">
                  <c:v>6696</c:v>
                </c:pt>
              </c:numCache>
            </c:numRef>
          </c:val>
          <c:extLst>
            <c:ext xmlns:c16="http://schemas.microsoft.com/office/drawing/2014/chart" uri="{C3380CC4-5D6E-409C-BE32-E72D297353CC}">
              <c16:uniqueId val="{00000004-6C81-4C26-B73B-B6B5585E7F5F}"/>
            </c:ext>
          </c:extLst>
        </c:ser>
        <c:ser>
          <c:idx val="5"/>
          <c:order val="5"/>
          <c:tx>
            <c:strRef>
              <c:f>List2!$H$22</c:f>
              <c:strCache>
                <c:ptCount val="1"/>
                <c:pt idx="0">
                  <c:v>2020</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List2!$B$23:$B$25</c:f>
              <c:strCache>
                <c:ptCount val="3"/>
                <c:pt idx="0">
                  <c:v>Životní podmínky prasnic</c:v>
                </c:pt>
                <c:pt idx="1">
                  <c:v>Životní podmínky prasniček</c:v>
                </c:pt>
                <c:pt idx="2">
                  <c:v>Zvětšení prostoru pro selata</c:v>
                </c:pt>
              </c:strCache>
            </c:strRef>
          </c:cat>
          <c:val>
            <c:numRef>
              <c:f>List2!$H$23:$H$25</c:f>
              <c:numCache>
                <c:formatCode>#,##0</c:formatCode>
                <c:ptCount val="3"/>
                <c:pt idx="0">
                  <c:v>39710</c:v>
                </c:pt>
                <c:pt idx="1">
                  <c:v>23889</c:v>
                </c:pt>
                <c:pt idx="2">
                  <c:v>7235</c:v>
                </c:pt>
              </c:numCache>
            </c:numRef>
          </c:val>
          <c:extLst>
            <c:ext xmlns:c16="http://schemas.microsoft.com/office/drawing/2014/chart" uri="{C3380CC4-5D6E-409C-BE32-E72D297353CC}">
              <c16:uniqueId val="{00000005-6C81-4C26-B73B-B6B5585E7F5F}"/>
            </c:ext>
          </c:extLst>
        </c:ser>
        <c:dLbls>
          <c:showLegendKey val="0"/>
          <c:showVal val="0"/>
          <c:showCatName val="0"/>
          <c:showSerName val="0"/>
          <c:showPercent val="0"/>
          <c:showBubbleSize val="0"/>
        </c:dLbls>
        <c:gapWidth val="219"/>
        <c:overlap val="-27"/>
        <c:axId val="562203968"/>
        <c:axId val="562200360"/>
      </c:barChart>
      <c:catAx>
        <c:axId val="5622039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562200360"/>
        <c:crosses val="autoZero"/>
        <c:auto val="1"/>
        <c:lblAlgn val="ctr"/>
        <c:lblOffset val="100"/>
        <c:noMultiLvlLbl val="0"/>
      </c:catAx>
      <c:valAx>
        <c:axId val="56220036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56220396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716973876862858"/>
          <c:y val="7.1021525598258708E-2"/>
          <c:w val="0.84438058716923214"/>
          <c:h val="0.67055044117919094"/>
        </c:manualLayout>
      </c:layout>
      <c:barChart>
        <c:barDir val="col"/>
        <c:grouping val="clustered"/>
        <c:varyColors val="0"/>
        <c:ser>
          <c:idx val="0"/>
          <c:order val="0"/>
          <c:tx>
            <c:strRef>
              <c:f>List1!$B$4</c:f>
              <c:strCache>
                <c:ptCount val="1"/>
                <c:pt idx="0">
                  <c:v>Herbicidy</c:v>
                </c:pt>
              </c:strCache>
            </c:strRef>
          </c:tx>
          <c:spPr>
            <a:solidFill>
              <a:srgbClr val="92D050"/>
            </a:solidFill>
            <a:ln>
              <a:noFill/>
            </a:ln>
            <a:effectLst/>
          </c:spPr>
          <c:invertIfNegative val="0"/>
          <c:cat>
            <c:numRef>
              <c:f>List1!$C$3:$L$3</c:f>
              <c:numCache>
                <c:formatCode>General</c:formatCode>
                <c:ptCount val="10"/>
                <c:pt idx="0">
                  <c:v>2010</c:v>
                </c:pt>
                <c:pt idx="1">
                  <c:v>2011</c:v>
                </c:pt>
                <c:pt idx="2">
                  <c:v>2012</c:v>
                </c:pt>
                <c:pt idx="3">
                  <c:v>2013</c:v>
                </c:pt>
                <c:pt idx="4">
                  <c:v>2014</c:v>
                </c:pt>
                <c:pt idx="5">
                  <c:v>2015</c:v>
                </c:pt>
                <c:pt idx="6">
                  <c:v>2016</c:v>
                </c:pt>
                <c:pt idx="7">
                  <c:v>2017</c:v>
                </c:pt>
                <c:pt idx="8">
                  <c:v>2018</c:v>
                </c:pt>
                <c:pt idx="9">
                  <c:v>2019</c:v>
                </c:pt>
              </c:numCache>
            </c:numRef>
          </c:cat>
          <c:val>
            <c:numRef>
              <c:f>List1!$C$4:$L$4</c:f>
              <c:numCache>
                <c:formatCode>#,##0.00</c:formatCode>
                <c:ptCount val="10"/>
                <c:pt idx="0">
                  <c:v>2724527.1800000006</c:v>
                </c:pt>
                <c:pt idx="1">
                  <c:v>2754692.66</c:v>
                </c:pt>
                <c:pt idx="2">
                  <c:v>2803106.54</c:v>
                </c:pt>
                <c:pt idx="3">
                  <c:v>2551006</c:v>
                </c:pt>
                <c:pt idx="4">
                  <c:v>2258690.1476402921</c:v>
                </c:pt>
                <c:pt idx="5">
                  <c:v>2138627.4063523491</c:v>
                </c:pt>
                <c:pt idx="6">
                  <c:v>2159040.7430912922</c:v>
                </c:pt>
                <c:pt idx="7">
                  <c:v>2141006.7038884885</c:v>
                </c:pt>
                <c:pt idx="8">
                  <c:v>1949880.0484609299</c:v>
                </c:pt>
                <c:pt idx="9">
                  <c:v>1776718.1867394906</c:v>
                </c:pt>
              </c:numCache>
            </c:numRef>
          </c:val>
          <c:extLst>
            <c:ext xmlns:c16="http://schemas.microsoft.com/office/drawing/2014/chart" uri="{C3380CC4-5D6E-409C-BE32-E72D297353CC}">
              <c16:uniqueId val="{00000000-58ED-994A-803F-D3B8F65941CF}"/>
            </c:ext>
          </c:extLst>
        </c:ser>
        <c:ser>
          <c:idx val="1"/>
          <c:order val="1"/>
          <c:tx>
            <c:strRef>
              <c:f>List1!$B$5</c:f>
              <c:strCache>
                <c:ptCount val="1"/>
                <c:pt idx="0">
                  <c:v>Fungicidy</c:v>
                </c:pt>
              </c:strCache>
            </c:strRef>
          </c:tx>
          <c:spPr>
            <a:solidFill>
              <a:schemeClr val="accent2"/>
            </a:solidFill>
            <a:ln>
              <a:noFill/>
            </a:ln>
            <a:effectLst/>
          </c:spPr>
          <c:invertIfNegative val="0"/>
          <c:cat>
            <c:numRef>
              <c:f>List1!$C$3:$L$3</c:f>
              <c:numCache>
                <c:formatCode>General</c:formatCode>
                <c:ptCount val="10"/>
                <c:pt idx="0">
                  <c:v>2010</c:v>
                </c:pt>
                <c:pt idx="1">
                  <c:v>2011</c:v>
                </c:pt>
                <c:pt idx="2">
                  <c:v>2012</c:v>
                </c:pt>
                <c:pt idx="3">
                  <c:v>2013</c:v>
                </c:pt>
                <c:pt idx="4">
                  <c:v>2014</c:v>
                </c:pt>
                <c:pt idx="5">
                  <c:v>2015</c:v>
                </c:pt>
                <c:pt idx="6">
                  <c:v>2016</c:v>
                </c:pt>
                <c:pt idx="7">
                  <c:v>2017</c:v>
                </c:pt>
                <c:pt idx="8">
                  <c:v>2018</c:v>
                </c:pt>
                <c:pt idx="9">
                  <c:v>2019</c:v>
                </c:pt>
              </c:numCache>
            </c:numRef>
          </c:cat>
          <c:val>
            <c:numRef>
              <c:f>List1!$C$5:$L$5</c:f>
              <c:numCache>
                <c:formatCode>#,##0.00</c:formatCode>
                <c:ptCount val="10"/>
                <c:pt idx="0">
                  <c:v>867836.31</c:v>
                </c:pt>
                <c:pt idx="1">
                  <c:v>1003584.0599999999</c:v>
                </c:pt>
                <c:pt idx="2">
                  <c:v>1020610.6600000001</c:v>
                </c:pt>
                <c:pt idx="3">
                  <c:v>1132146.3</c:v>
                </c:pt>
                <c:pt idx="4">
                  <c:v>1075175.0393414439</c:v>
                </c:pt>
                <c:pt idx="5">
                  <c:v>1066659.1105549983</c:v>
                </c:pt>
                <c:pt idx="6">
                  <c:v>1075840.8966396821</c:v>
                </c:pt>
                <c:pt idx="7">
                  <c:v>1051919.1657904999</c:v>
                </c:pt>
                <c:pt idx="8">
                  <c:v>919935.26901459438</c:v>
                </c:pt>
                <c:pt idx="9">
                  <c:v>966560.38199742348</c:v>
                </c:pt>
              </c:numCache>
            </c:numRef>
          </c:val>
          <c:extLst>
            <c:ext xmlns:c16="http://schemas.microsoft.com/office/drawing/2014/chart" uri="{C3380CC4-5D6E-409C-BE32-E72D297353CC}">
              <c16:uniqueId val="{00000001-58ED-994A-803F-D3B8F65941CF}"/>
            </c:ext>
          </c:extLst>
        </c:ser>
        <c:ser>
          <c:idx val="2"/>
          <c:order val="2"/>
          <c:tx>
            <c:strRef>
              <c:f>List1!$B$6</c:f>
              <c:strCache>
                <c:ptCount val="1"/>
                <c:pt idx="0">
                  <c:v>Zoocidy</c:v>
                </c:pt>
              </c:strCache>
            </c:strRef>
          </c:tx>
          <c:spPr>
            <a:solidFill>
              <a:srgbClr val="990000"/>
            </a:solidFill>
            <a:ln>
              <a:noFill/>
            </a:ln>
            <a:effectLst/>
          </c:spPr>
          <c:invertIfNegative val="0"/>
          <c:cat>
            <c:numRef>
              <c:f>List1!$C$3:$L$3</c:f>
              <c:numCache>
                <c:formatCode>General</c:formatCode>
                <c:ptCount val="10"/>
                <c:pt idx="0">
                  <c:v>2010</c:v>
                </c:pt>
                <c:pt idx="1">
                  <c:v>2011</c:v>
                </c:pt>
                <c:pt idx="2">
                  <c:v>2012</c:v>
                </c:pt>
                <c:pt idx="3">
                  <c:v>2013</c:v>
                </c:pt>
                <c:pt idx="4">
                  <c:v>2014</c:v>
                </c:pt>
                <c:pt idx="5">
                  <c:v>2015</c:v>
                </c:pt>
                <c:pt idx="6">
                  <c:v>2016</c:v>
                </c:pt>
                <c:pt idx="7">
                  <c:v>2017</c:v>
                </c:pt>
                <c:pt idx="8">
                  <c:v>2018</c:v>
                </c:pt>
                <c:pt idx="9">
                  <c:v>2019</c:v>
                </c:pt>
              </c:numCache>
            </c:numRef>
          </c:cat>
          <c:val>
            <c:numRef>
              <c:f>List1!$C$6:$L$6</c:f>
              <c:numCache>
                <c:formatCode>#,##0.00</c:formatCode>
                <c:ptCount val="10"/>
                <c:pt idx="0">
                  <c:v>215076.20999999996</c:v>
                </c:pt>
                <c:pt idx="1">
                  <c:v>233021.58000000002</c:v>
                </c:pt>
                <c:pt idx="2">
                  <c:v>275105.48</c:v>
                </c:pt>
                <c:pt idx="3">
                  <c:v>263228.86</c:v>
                </c:pt>
                <c:pt idx="4">
                  <c:v>284088.53358165268</c:v>
                </c:pt>
                <c:pt idx="5">
                  <c:v>259646.69686700017</c:v>
                </c:pt>
                <c:pt idx="6">
                  <c:v>252319.49837956301</c:v>
                </c:pt>
                <c:pt idx="7">
                  <c:v>219216.83828863787</c:v>
                </c:pt>
                <c:pt idx="8">
                  <c:v>233315.89954405447</c:v>
                </c:pt>
                <c:pt idx="9">
                  <c:v>221734.35933077175</c:v>
                </c:pt>
              </c:numCache>
            </c:numRef>
          </c:val>
          <c:extLst>
            <c:ext xmlns:c16="http://schemas.microsoft.com/office/drawing/2014/chart" uri="{C3380CC4-5D6E-409C-BE32-E72D297353CC}">
              <c16:uniqueId val="{00000002-58ED-994A-803F-D3B8F65941CF}"/>
            </c:ext>
          </c:extLst>
        </c:ser>
        <c:ser>
          <c:idx val="3"/>
          <c:order val="3"/>
          <c:tx>
            <c:strRef>
              <c:f>List1!$B$7</c:f>
              <c:strCache>
                <c:ptCount val="1"/>
                <c:pt idx="0">
                  <c:v>Biopreparáty</c:v>
                </c:pt>
              </c:strCache>
            </c:strRef>
          </c:tx>
          <c:spPr>
            <a:solidFill>
              <a:schemeClr val="accent4"/>
            </a:solidFill>
            <a:ln>
              <a:noFill/>
            </a:ln>
            <a:effectLst/>
          </c:spPr>
          <c:invertIfNegative val="0"/>
          <c:cat>
            <c:numRef>
              <c:f>List1!$C$3:$L$3</c:f>
              <c:numCache>
                <c:formatCode>General</c:formatCode>
                <c:ptCount val="10"/>
                <c:pt idx="0">
                  <c:v>2010</c:v>
                </c:pt>
                <c:pt idx="1">
                  <c:v>2011</c:v>
                </c:pt>
                <c:pt idx="2">
                  <c:v>2012</c:v>
                </c:pt>
                <c:pt idx="3">
                  <c:v>2013</c:v>
                </c:pt>
                <c:pt idx="4">
                  <c:v>2014</c:v>
                </c:pt>
                <c:pt idx="5">
                  <c:v>2015</c:v>
                </c:pt>
                <c:pt idx="6">
                  <c:v>2016</c:v>
                </c:pt>
                <c:pt idx="7">
                  <c:v>2017</c:v>
                </c:pt>
                <c:pt idx="8">
                  <c:v>2018</c:v>
                </c:pt>
                <c:pt idx="9">
                  <c:v>2019</c:v>
                </c:pt>
              </c:numCache>
            </c:numRef>
          </c:cat>
          <c:val>
            <c:numRef>
              <c:f>List1!$C$7:$L$7</c:f>
              <c:numCache>
                <c:formatCode>#,##0.00</c:formatCode>
                <c:ptCount val="10"/>
                <c:pt idx="0">
                  <c:v>1844.43</c:v>
                </c:pt>
                <c:pt idx="1">
                  <c:v>2810.82</c:v>
                </c:pt>
                <c:pt idx="2">
                  <c:v>2960.51</c:v>
                </c:pt>
                <c:pt idx="3">
                  <c:v>3129.0200000000004</c:v>
                </c:pt>
                <c:pt idx="4">
                  <c:v>2917.7043205980017</c:v>
                </c:pt>
                <c:pt idx="5">
                  <c:v>3131.672727000001</c:v>
                </c:pt>
                <c:pt idx="6">
                  <c:v>3997.1766956090032</c:v>
                </c:pt>
                <c:pt idx="7">
                  <c:v>4692.7288552147766</c:v>
                </c:pt>
                <c:pt idx="8">
                  <c:v>4898.6883915322433</c:v>
                </c:pt>
                <c:pt idx="9">
                  <c:v>2351.6370774237089</c:v>
                </c:pt>
              </c:numCache>
            </c:numRef>
          </c:val>
          <c:extLst>
            <c:ext xmlns:c16="http://schemas.microsoft.com/office/drawing/2014/chart" uri="{C3380CC4-5D6E-409C-BE32-E72D297353CC}">
              <c16:uniqueId val="{00000003-58ED-994A-803F-D3B8F65941CF}"/>
            </c:ext>
          </c:extLst>
        </c:ser>
        <c:ser>
          <c:idx val="4"/>
          <c:order val="4"/>
          <c:tx>
            <c:strRef>
              <c:f>List1!$B$8</c:f>
              <c:strCache>
                <c:ptCount val="1"/>
                <c:pt idx="0">
                  <c:v>Regulátory růstu a vývoje</c:v>
                </c:pt>
              </c:strCache>
            </c:strRef>
          </c:tx>
          <c:spPr>
            <a:solidFill>
              <a:srgbClr val="7030A0"/>
            </a:solidFill>
            <a:ln>
              <a:noFill/>
            </a:ln>
            <a:effectLst/>
          </c:spPr>
          <c:invertIfNegative val="0"/>
          <c:cat>
            <c:numRef>
              <c:f>List1!$C$3:$L$3</c:f>
              <c:numCache>
                <c:formatCode>General</c:formatCode>
                <c:ptCount val="10"/>
                <c:pt idx="0">
                  <c:v>2010</c:v>
                </c:pt>
                <c:pt idx="1">
                  <c:v>2011</c:v>
                </c:pt>
                <c:pt idx="2">
                  <c:v>2012</c:v>
                </c:pt>
                <c:pt idx="3">
                  <c:v>2013</c:v>
                </c:pt>
                <c:pt idx="4">
                  <c:v>2014</c:v>
                </c:pt>
                <c:pt idx="5">
                  <c:v>2015</c:v>
                </c:pt>
                <c:pt idx="6">
                  <c:v>2016</c:v>
                </c:pt>
                <c:pt idx="7">
                  <c:v>2017</c:v>
                </c:pt>
                <c:pt idx="8">
                  <c:v>2018</c:v>
                </c:pt>
                <c:pt idx="9">
                  <c:v>2019</c:v>
                </c:pt>
              </c:numCache>
            </c:numRef>
          </c:cat>
          <c:val>
            <c:numRef>
              <c:f>List1!$C$8:$L$8</c:f>
              <c:numCache>
                <c:formatCode>#,##0.00</c:formatCode>
                <c:ptCount val="10"/>
                <c:pt idx="0">
                  <c:v>711383.45000000007</c:v>
                </c:pt>
                <c:pt idx="1">
                  <c:v>890250.90999999992</c:v>
                </c:pt>
                <c:pt idx="2">
                  <c:v>870657.97</c:v>
                </c:pt>
                <c:pt idx="3">
                  <c:v>747662.62</c:v>
                </c:pt>
                <c:pt idx="4">
                  <c:v>662174.21084748465</c:v>
                </c:pt>
                <c:pt idx="5">
                  <c:v>660344.18636800197</c:v>
                </c:pt>
                <c:pt idx="6">
                  <c:v>587413.68495478178</c:v>
                </c:pt>
                <c:pt idx="7">
                  <c:v>637533.71039524779</c:v>
                </c:pt>
                <c:pt idx="8">
                  <c:v>518724.3791656731</c:v>
                </c:pt>
                <c:pt idx="9">
                  <c:v>479119.19273804215</c:v>
                </c:pt>
              </c:numCache>
            </c:numRef>
          </c:val>
          <c:extLst>
            <c:ext xmlns:c16="http://schemas.microsoft.com/office/drawing/2014/chart" uri="{C3380CC4-5D6E-409C-BE32-E72D297353CC}">
              <c16:uniqueId val="{00000004-58ED-994A-803F-D3B8F65941CF}"/>
            </c:ext>
          </c:extLst>
        </c:ser>
        <c:ser>
          <c:idx val="5"/>
          <c:order val="5"/>
          <c:tx>
            <c:strRef>
              <c:f>List1!$B$9</c:f>
              <c:strCache>
                <c:ptCount val="1"/>
                <c:pt idx="0">
                  <c:v>Desikanty</c:v>
                </c:pt>
              </c:strCache>
            </c:strRef>
          </c:tx>
          <c:spPr>
            <a:solidFill>
              <a:schemeClr val="accent6"/>
            </a:solidFill>
            <a:ln>
              <a:noFill/>
            </a:ln>
            <a:effectLst/>
          </c:spPr>
          <c:invertIfNegative val="0"/>
          <c:cat>
            <c:numRef>
              <c:f>List1!$C$3:$L$3</c:f>
              <c:numCache>
                <c:formatCode>General</c:formatCode>
                <c:ptCount val="10"/>
                <c:pt idx="0">
                  <c:v>2010</c:v>
                </c:pt>
                <c:pt idx="1">
                  <c:v>2011</c:v>
                </c:pt>
                <c:pt idx="2">
                  <c:v>2012</c:v>
                </c:pt>
                <c:pt idx="3">
                  <c:v>2013</c:v>
                </c:pt>
                <c:pt idx="4">
                  <c:v>2014</c:v>
                </c:pt>
                <c:pt idx="5">
                  <c:v>2015</c:v>
                </c:pt>
                <c:pt idx="6">
                  <c:v>2016</c:v>
                </c:pt>
                <c:pt idx="7">
                  <c:v>2017</c:v>
                </c:pt>
                <c:pt idx="8">
                  <c:v>2018</c:v>
                </c:pt>
                <c:pt idx="9">
                  <c:v>2019</c:v>
                </c:pt>
              </c:numCache>
            </c:numRef>
          </c:cat>
          <c:val>
            <c:numRef>
              <c:f>List1!$C$9:$L$9</c:f>
              <c:numCache>
                <c:formatCode>#,##0.00</c:formatCode>
                <c:ptCount val="10"/>
                <c:pt idx="0">
                  <c:v>0</c:v>
                </c:pt>
                <c:pt idx="1">
                  <c:v>28850.45</c:v>
                </c:pt>
                <c:pt idx="2">
                  <c:v>30912.57</c:v>
                </c:pt>
                <c:pt idx="3">
                  <c:v>27430.31</c:v>
                </c:pt>
                <c:pt idx="4">
                  <c:v>25558.996691109005</c:v>
                </c:pt>
                <c:pt idx="5">
                  <c:v>24697.928797999994</c:v>
                </c:pt>
                <c:pt idx="6">
                  <c:v>29546.631357762002</c:v>
                </c:pt>
                <c:pt idx="7">
                  <c:v>32654.943757751</c:v>
                </c:pt>
                <c:pt idx="8">
                  <c:v>24091.642496070403</c:v>
                </c:pt>
                <c:pt idx="9">
                  <c:v>28414.739419116195</c:v>
                </c:pt>
              </c:numCache>
            </c:numRef>
          </c:val>
          <c:extLst>
            <c:ext xmlns:c16="http://schemas.microsoft.com/office/drawing/2014/chart" uri="{C3380CC4-5D6E-409C-BE32-E72D297353CC}">
              <c16:uniqueId val="{00000005-58ED-994A-803F-D3B8F65941CF}"/>
            </c:ext>
          </c:extLst>
        </c:ser>
        <c:dLbls>
          <c:showLegendKey val="0"/>
          <c:showVal val="0"/>
          <c:showCatName val="0"/>
          <c:showSerName val="0"/>
          <c:showPercent val="0"/>
          <c:showBubbleSize val="0"/>
        </c:dLbls>
        <c:gapWidth val="150"/>
        <c:axId val="450304064"/>
        <c:axId val="450300784"/>
      </c:barChart>
      <c:lineChart>
        <c:grouping val="standard"/>
        <c:varyColors val="0"/>
        <c:ser>
          <c:idx val="6"/>
          <c:order val="6"/>
          <c:tx>
            <c:strRef>
              <c:f>List1!$B$10</c:f>
              <c:strCache>
                <c:ptCount val="1"/>
                <c:pt idx="0">
                  <c:v>Celkem</c:v>
                </c:pt>
              </c:strCache>
            </c:strRef>
          </c:tx>
          <c:spPr>
            <a:ln w="28575" cap="rnd">
              <a:solidFill>
                <a:srgbClr val="FF0000"/>
              </a:solidFill>
              <a:round/>
            </a:ln>
            <a:effectLst/>
          </c:spPr>
          <c:marker>
            <c:symbol val="diamond"/>
            <c:size val="8"/>
            <c:spPr>
              <a:solidFill>
                <a:srgbClr val="FF0000"/>
              </a:solidFill>
              <a:ln w="9525">
                <a:solidFill>
                  <a:srgbClr val="FF0000"/>
                </a:solidFill>
              </a:ln>
              <a:effectLst/>
            </c:spPr>
          </c:marker>
          <c:cat>
            <c:numRef>
              <c:f>List1!$C$3:$L$3</c:f>
              <c:numCache>
                <c:formatCode>General</c:formatCode>
                <c:ptCount val="10"/>
                <c:pt idx="0">
                  <c:v>2010</c:v>
                </c:pt>
                <c:pt idx="1">
                  <c:v>2011</c:v>
                </c:pt>
                <c:pt idx="2">
                  <c:v>2012</c:v>
                </c:pt>
                <c:pt idx="3">
                  <c:v>2013</c:v>
                </c:pt>
                <c:pt idx="4">
                  <c:v>2014</c:v>
                </c:pt>
                <c:pt idx="5">
                  <c:v>2015</c:v>
                </c:pt>
                <c:pt idx="6">
                  <c:v>2016</c:v>
                </c:pt>
                <c:pt idx="7">
                  <c:v>2017</c:v>
                </c:pt>
                <c:pt idx="8">
                  <c:v>2018</c:v>
                </c:pt>
                <c:pt idx="9">
                  <c:v>2019</c:v>
                </c:pt>
              </c:numCache>
            </c:numRef>
          </c:cat>
          <c:val>
            <c:numRef>
              <c:f>List1!$C$10:$L$10</c:f>
              <c:numCache>
                <c:formatCode>#,##0.00</c:formatCode>
                <c:ptCount val="10"/>
                <c:pt idx="0">
                  <c:v>4520667.580000001</c:v>
                </c:pt>
                <c:pt idx="1">
                  <c:v>4913210.4800000004</c:v>
                </c:pt>
                <c:pt idx="2">
                  <c:v>5003353.7300000004</c:v>
                </c:pt>
                <c:pt idx="3">
                  <c:v>4724603.1099999994</c:v>
                </c:pt>
                <c:pt idx="4">
                  <c:v>4308604.6324225795</c:v>
                </c:pt>
                <c:pt idx="5">
                  <c:v>4153107.0016673496</c:v>
                </c:pt>
                <c:pt idx="6">
                  <c:v>4108158.6311186897</c:v>
                </c:pt>
                <c:pt idx="7">
                  <c:v>4087024.0909758392</c:v>
                </c:pt>
                <c:pt idx="8">
                  <c:v>3650845.927072851</c:v>
                </c:pt>
                <c:pt idx="9">
                  <c:v>3474898.4973022682</c:v>
                </c:pt>
              </c:numCache>
            </c:numRef>
          </c:val>
          <c:smooth val="0"/>
          <c:extLst>
            <c:ext xmlns:c16="http://schemas.microsoft.com/office/drawing/2014/chart" uri="{C3380CC4-5D6E-409C-BE32-E72D297353CC}">
              <c16:uniqueId val="{00000006-58ED-994A-803F-D3B8F65941CF}"/>
            </c:ext>
          </c:extLst>
        </c:ser>
        <c:dLbls>
          <c:showLegendKey val="0"/>
          <c:showVal val="0"/>
          <c:showCatName val="0"/>
          <c:showSerName val="0"/>
          <c:showPercent val="0"/>
          <c:showBubbleSize val="0"/>
        </c:dLbls>
        <c:marker val="1"/>
        <c:smooth val="0"/>
        <c:axId val="450304064"/>
        <c:axId val="450300784"/>
      </c:lineChart>
      <c:catAx>
        <c:axId val="450304064"/>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cs-CZ" sz="1000" b="1">
                    <a:latin typeface="Arial" panose="020B0604020202020204" pitchFamily="34" charset="0"/>
                    <a:cs typeface="Arial" panose="020B0604020202020204" pitchFamily="34" charset="0"/>
                  </a:rPr>
                  <a:t>rok</a:t>
                </a:r>
              </a:p>
            </c:rich>
          </c:tx>
          <c:layout/>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cs-CZ"/>
            </a:p>
          </c:txPr>
        </c:title>
        <c:numFmt formatCode="General" sourceLinked="1"/>
        <c:majorTickMark val="none"/>
        <c:minorTickMark val="none"/>
        <c:tickLblPos val="nextTo"/>
        <c:spPr>
          <a:noFill/>
          <a:ln w="9525" cap="flat" cmpd="sng" algn="ctr">
            <a:solidFill>
              <a:schemeClr val="bg1">
                <a:lumMod val="50000"/>
              </a:schemeClr>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cs-CZ"/>
          </a:p>
        </c:txPr>
        <c:crossAx val="450300784"/>
        <c:crosses val="autoZero"/>
        <c:auto val="1"/>
        <c:lblAlgn val="ctr"/>
        <c:lblOffset val="100"/>
        <c:noMultiLvlLbl val="0"/>
      </c:catAx>
      <c:valAx>
        <c:axId val="4503007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cs-CZ" b="1">
                    <a:latin typeface="Arial" panose="020B0604020202020204" pitchFamily="34" charset="0"/>
                    <a:cs typeface="Arial" panose="020B0604020202020204" pitchFamily="34" charset="0"/>
                  </a:rPr>
                  <a:t>tis.</a:t>
                </a:r>
                <a:r>
                  <a:rPr lang="cs-CZ" b="1" baseline="0">
                    <a:latin typeface="Arial" panose="020B0604020202020204" pitchFamily="34" charset="0"/>
                    <a:cs typeface="Arial" panose="020B0604020202020204" pitchFamily="34" charset="0"/>
                  </a:rPr>
                  <a:t> (</a:t>
                </a:r>
                <a:r>
                  <a:rPr lang="cs-CZ" b="1">
                    <a:latin typeface="Arial" panose="020B0604020202020204" pitchFamily="34" charset="0"/>
                    <a:cs typeface="Arial" panose="020B0604020202020204" pitchFamily="34" charset="0"/>
                  </a:rPr>
                  <a:t>kg,l)</a:t>
                </a:r>
              </a:p>
            </c:rich>
          </c:tx>
          <c:layout>
            <c:manualLayout>
              <c:xMode val="edge"/>
              <c:yMode val="edge"/>
              <c:x val="1.2651118228568054E-2"/>
              <c:y val="0.34075635240165264"/>
            </c:manualLayout>
          </c:layout>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cs-CZ"/>
            </a:p>
          </c:txPr>
        </c:title>
        <c:numFmt formatCode="#,##0" sourceLinked="0"/>
        <c:majorTickMark val="none"/>
        <c:minorTickMark val="none"/>
        <c:tickLblPos val="nextTo"/>
        <c:spPr>
          <a:noFill/>
          <a:ln>
            <a:solidFill>
              <a:schemeClr val="bg1">
                <a:lumMod val="50000"/>
              </a:schemeClr>
            </a:solidFill>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cs-CZ"/>
          </a:p>
        </c:txPr>
        <c:crossAx val="450304064"/>
        <c:crosses val="autoZero"/>
        <c:crossBetween val="between"/>
        <c:dispUnits>
          <c:builtInUnit val="thousands"/>
        </c:dispUnits>
      </c:valAx>
      <c:spPr>
        <a:noFill/>
        <a:ln w="28575">
          <a:noFill/>
        </a:ln>
        <a:effectLst/>
      </c:spPr>
    </c:plotArea>
    <c:legend>
      <c:legendPos val="b"/>
      <c:layout>
        <c:manualLayout>
          <c:xMode val="edge"/>
          <c:yMode val="edge"/>
          <c:x val="2.9753001214354178E-2"/>
          <c:y val="0.85132388839270434"/>
          <c:w val="0.93148887653221901"/>
          <c:h val="0.1486760242180504"/>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cs-CZ"/>
        </a:p>
      </c:txPr>
    </c:legend>
    <c:plotVisOnly val="1"/>
    <c:dispBlanksAs val="gap"/>
    <c:showDLblsOverMax val="0"/>
  </c:chart>
  <c:spPr>
    <a:solidFill>
      <a:schemeClr val="bg1"/>
    </a:solidFill>
    <a:ln w="9525" cap="flat" cmpd="sng" algn="ctr">
      <a:solidFill>
        <a:schemeClr val="bg1">
          <a:lumMod val="50000"/>
        </a:schemeClr>
      </a:solidFill>
      <a:round/>
    </a:ln>
    <a:effectLst/>
  </c:spPr>
  <c:txPr>
    <a:bodyPr/>
    <a:lstStyle/>
    <a:p>
      <a:pPr>
        <a:defRPr/>
      </a:pPr>
      <a:endParaRPr lang="cs-CZ"/>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List1!$B$16</c:f>
              <c:strCache>
                <c:ptCount val="1"/>
                <c:pt idx="0">
                  <c:v>Herbicidy</c:v>
                </c:pt>
              </c:strCache>
            </c:strRef>
          </c:tx>
          <c:spPr>
            <a:solidFill>
              <a:srgbClr val="92D050"/>
            </a:solidFill>
            <a:ln>
              <a:solidFill>
                <a:srgbClr val="00B050"/>
              </a:solidFill>
            </a:ln>
            <a:effectLst/>
          </c:spPr>
          <c:invertIfNegative val="0"/>
          <c:cat>
            <c:numRef>
              <c:f>List1!$C$15:$L$15</c:f>
              <c:numCache>
                <c:formatCode>General</c:formatCode>
                <c:ptCount val="10"/>
                <c:pt idx="0">
                  <c:v>2010</c:v>
                </c:pt>
                <c:pt idx="1">
                  <c:v>2011</c:v>
                </c:pt>
                <c:pt idx="2">
                  <c:v>2012</c:v>
                </c:pt>
                <c:pt idx="3">
                  <c:v>2013</c:v>
                </c:pt>
                <c:pt idx="4">
                  <c:v>2014</c:v>
                </c:pt>
                <c:pt idx="5">
                  <c:v>2015</c:v>
                </c:pt>
                <c:pt idx="6">
                  <c:v>2016</c:v>
                </c:pt>
                <c:pt idx="7">
                  <c:v>2017</c:v>
                </c:pt>
                <c:pt idx="8">
                  <c:v>2018</c:v>
                </c:pt>
                <c:pt idx="9">
                  <c:v>2019</c:v>
                </c:pt>
              </c:numCache>
            </c:numRef>
          </c:cat>
          <c:val>
            <c:numRef>
              <c:f>List1!$C$16:$L$16</c:f>
              <c:numCache>
                <c:formatCode>#,##0.00</c:formatCode>
                <c:ptCount val="10"/>
                <c:pt idx="0">
                  <c:v>9948.0400000000009</c:v>
                </c:pt>
                <c:pt idx="1">
                  <c:v>9670.02</c:v>
                </c:pt>
                <c:pt idx="2">
                  <c:v>9934.9</c:v>
                </c:pt>
                <c:pt idx="3">
                  <c:v>9511.7100000000009</c:v>
                </c:pt>
                <c:pt idx="4">
                  <c:v>12232.762024202004</c:v>
                </c:pt>
                <c:pt idx="5">
                  <c:v>10912.738351443459</c:v>
                </c:pt>
                <c:pt idx="6">
                  <c:v>10327.499851800996</c:v>
                </c:pt>
                <c:pt idx="7">
                  <c:v>10012.354946629963</c:v>
                </c:pt>
                <c:pt idx="8">
                  <c:v>11287.059966384331</c:v>
                </c:pt>
                <c:pt idx="9">
                  <c:v>12092.01537508309</c:v>
                </c:pt>
              </c:numCache>
            </c:numRef>
          </c:val>
          <c:extLst>
            <c:ext xmlns:c16="http://schemas.microsoft.com/office/drawing/2014/chart" uri="{C3380CC4-5D6E-409C-BE32-E72D297353CC}">
              <c16:uniqueId val="{00000000-5E65-4340-9496-3783908045D2}"/>
            </c:ext>
          </c:extLst>
        </c:ser>
        <c:ser>
          <c:idx val="1"/>
          <c:order val="1"/>
          <c:tx>
            <c:strRef>
              <c:f>List1!$B$17</c:f>
              <c:strCache>
                <c:ptCount val="1"/>
                <c:pt idx="0">
                  <c:v>Fungicidy</c:v>
                </c:pt>
              </c:strCache>
            </c:strRef>
          </c:tx>
          <c:spPr>
            <a:solidFill>
              <a:srgbClr val="FF9933"/>
            </a:solidFill>
            <a:ln>
              <a:solidFill>
                <a:schemeClr val="accent2">
                  <a:lumMod val="75000"/>
                </a:schemeClr>
              </a:solidFill>
            </a:ln>
            <a:effectLst/>
          </c:spPr>
          <c:invertIfNegative val="0"/>
          <c:cat>
            <c:numRef>
              <c:f>List1!$C$15:$L$15</c:f>
              <c:numCache>
                <c:formatCode>General</c:formatCode>
                <c:ptCount val="10"/>
                <c:pt idx="0">
                  <c:v>2010</c:v>
                </c:pt>
                <c:pt idx="1">
                  <c:v>2011</c:v>
                </c:pt>
                <c:pt idx="2">
                  <c:v>2012</c:v>
                </c:pt>
                <c:pt idx="3">
                  <c:v>2013</c:v>
                </c:pt>
                <c:pt idx="4">
                  <c:v>2014</c:v>
                </c:pt>
                <c:pt idx="5">
                  <c:v>2015</c:v>
                </c:pt>
                <c:pt idx="6">
                  <c:v>2016</c:v>
                </c:pt>
                <c:pt idx="7">
                  <c:v>2017</c:v>
                </c:pt>
                <c:pt idx="8">
                  <c:v>2018</c:v>
                </c:pt>
                <c:pt idx="9">
                  <c:v>2019</c:v>
                </c:pt>
              </c:numCache>
            </c:numRef>
          </c:cat>
          <c:val>
            <c:numRef>
              <c:f>List1!$C$17:$L$17</c:f>
              <c:numCache>
                <c:formatCode>#,##0.00</c:formatCode>
                <c:ptCount val="10"/>
                <c:pt idx="0">
                  <c:v>16168.29</c:v>
                </c:pt>
                <c:pt idx="1">
                  <c:v>15741.58</c:v>
                </c:pt>
                <c:pt idx="2">
                  <c:v>14416.64</c:v>
                </c:pt>
                <c:pt idx="3">
                  <c:v>15821.81</c:v>
                </c:pt>
                <c:pt idx="4">
                  <c:v>24764.364190805994</c:v>
                </c:pt>
                <c:pt idx="5">
                  <c:v>16839.967770000014</c:v>
                </c:pt>
                <c:pt idx="6">
                  <c:v>19845.179698592994</c:v>
                </c:pt>
                <c:pt idx="7">
                  <c:v>17152.427672400969</c:v>
                </c:pt>
                <c:pt idx="8">
                  <c:v>18480.746851477099</c:v>
                </c:pt>
                <c:pt idx="9">
                  <c:v>19756.277562619787</c:v>
                </c:pt>
              </c:numCache>
            </c:numRef>
          </c:val>
          <c:extLst>
            <c:ext xmlns:c16="http://schemas.microsoft.com/office/drawing/2014/chart" uri="{C3380CC4-5D6E-409C-BE32-E72D297353CC}">
              <c16:uniqueId val="{00000001-5E65-4340-9496-3783908045D2}"/>
            </c:ext>
          </c:extLst>
        </c:ser>
        <c:ser>
          <c:idx val="2"/>
          <c:order val="2"/>
          <c:tx>
            <c:strRef>
              <c:f>List1!$B$18</c:f>
              <c:strCache>
                <c:ptCount val="1"/>
                <c:pt idx="0">
                  <c:v>Zoocidy</c:v>
                </c:pt>
              </c:strCache>
            </c:strRef>
          </c:tx>
          <c:spPr>
            <a:solidFill>
              <a:srgbClr val="990000"/>
            </a:solidFill>
            <a:ln>
              <a:noFill/>
            </a:ln>
            <a:effectLst/>
          </c:spPr>
          <c:invertIfNegative val="0"/>
          <c:cat>
            <c:numRef>
              <c:f>List1!$C$15:$L$15</c:f>
              <c:numCache>
                <c:formatCode>General</c:formatCode>
                <c:ptCount val="10"/>
                <c:pt idx="0">
                  <c:v>2010</c:v>
                </c:pt>
                <c:pt idx="1">
                  <c:v>2011</c:v>
                </c:pt>
                <c:pt idx="2">
                  <c:v>2012</c:v>
                </c:pt>
                <c:pt idx="3">
                  <c:v>2013</c:v>
                </c:pt>
                <c:pt idx="4">
                  <c:v>2014</c:v>
                </c:pt>
                <c:pt idx="5">
                  <c:v>2015</c:v>
                </c:pt>
                <c:pt idx="6">
                  <c:v>2016</c:v>
                </c:pt>
                <c:pt idx="7">
                  <c:v>2017</c:v>
                </c:pt>
                <c:pt idx="8">
                  <c:v>2018</c:v>
                </c:pt>
                <c:pt idx="9">
                  <c:v>2019</c:v>
                </c:pt>
              </c:numCache>
            </c:numRef>
          </c:cat>
          <c:val>
            <c:numRef>
              <c:f>List1!$C$18:$L$18</c:f>
              <c:numCache>
                <c:formatCode>#,##0.00</c:formatCode>
                <c:ptCount val="10"/>
                <c:pt idx="0">
                  <c:v>542.04999999999995</c:v>
                </c:pt>
                <c:pt idx="1">
                  <c:v>544.56000000000006</c:v>
                </c:pt>
                <c:pt idx="2">
                  <c:v>411.83</c:v>
                </c:pt>
                <c:pt idx="3">
                  <c:v>520</c:v>
                </c:pt>
                <c:pt idx="4">
                  <c:v>831.78055532600047</c:v>
                </c:pt>
                <c:pt idx="5">
                  <c:v>683.78659699999992</c:v>
                </c:pt>
                <c:pt idx="6">
                  <c:v>729.86403862199995</c:v>
                </c:pt>
                <c:pt idx="7">
                  <c:v>633.92196062340668</c:v>
                </c:pt>
                <c:pt idx="8">
                  <c:v>1205.6230345041758</c:v>
                </c:pt>
                <c:pt idx="9">
                  <c:v>970.80361262628969</c:v>
                </c:pt>
              </c:numCache>
            </c:numRef>
          </c:val>
          <c:extLst>
            <c:ext xmlns:c16="http://schemas.microsoft.com/office/drawing/2014/chart" uri="{C3380CC4-5D6E-409C-BE32-E72D297353CC}">
              <c16:uniqueId val="{00000002-5E65-4340-9496-3783908045D2}"/>
            </c:ext>
          </c:extLst>
        </c:ser>
        <c:ser>
          <c:idx val="3"/>
          <c:order val="3"/>
          <c:tx>
            <c:strRef>
              <c:f>List1!$B$19</c:f>
              <c:strCache>
                <c:ptCount val="1"/>
                <c:pt idx="0">
                  <c:v>Biopreparáty</c:v>
                </c:pt>
              </c:strCache>
            </c:strRef>
          </c:tx>
          <c:spPr>
            <a:solidFill>
              <a:schemeClr val="accent4"/>
            </a:solidFill>
            <a:ln>
              <a:noFill/>
            </a:ln>
            <a:effectLst/>
          </c:spPr>
          <c:invertIfNegative val="0"/>
          <c:cat>
            <c:numRef>
              <c:f>List1!$C$15:$L$15</c:f>
              <c:numCache>
                <c:formatCode>General</c:formatCode>
                <c:ptCount val="10"/>
                <c:pt idx="0">
                  <c:v>2010</c:v>
                </c:pt>
                <c:pt idx="1">
                  <c:v>2011</c:v>
                </c:pt>
                <c:pt idx="2">
                  <c:v>2012</c:v>
                </c:pt>
                <c:pt idx="3">
                  <c:v>2013</c:v>
                </c:pt>
                <c:pt idx="4">
                  <c:v>2014</c:v>
                </c:pt>
                <c:pt idx="5">
                  <c:v>2015</c:v>
                </c:pt>
                <c:pt idx="6">
                  <c:v>2016</c:v>
                </c:pt>
                <c:pt idx="7">
                  <c:v>2017</c:v>
                </c:pt>
                <c:pt idx="8">
                  <c:v>2018</c:v>
                </c:pt>
                <c:pt idx="9">
                  <c:v>2019</c:v>
                </c:pt>
              </c:numCache>
            </c:numRef>
          </c:cat>
          <c:val>
            <c:numRef>
              <c:f>List1!$C$19:$L$19</c:f>
              <c:numCache>
                <c:formatCode>#,##0.00</c:formatCode>
                <c:ptCount val="10"/>
                <c:pt idx="0">
                  <c:v>14.62</c:v>
                </c:pt>
                <c:pt idx="1">
                  <c:v>5.76</c:v>
                </c:pt>
                <c:pt idx="2">
                  <c:v>0.33</c:v>
                </c:pt>
                <c:pt idx="3">
                  <c:v>42.87</c:v>
                </c:pt>
                <c:pt idx="4">
                  <c:v>116.1750055</c:v>
                </c:pt>
                <c:pt idx="5">
                  <c:v>201.317058</c:v>
                </c:pt>
                <c:pt idx="6">
                  <c:v>151.41399999999999</c:v>
                </c:pt>
                <c:pt idx="7">
                  <c:v>146.07523727840001</c:v>
                </c:pt>
                <c:pt idx="8">
                  <c:v>180.12543995333598</c:v>
                </c:pt>
                <c:pt idx="9">
                  <c:v>238.38694921568003</c:v>
                </c:pt>
              </c:numCache>
            </c:numRef>
          </c:val>
          <c:extLst>
            <c:ext xmlns:c16="http://schemas.microsoft.com/office/drawing/2014/chart" uri="{C3380CC4-5D6E-409C-BE32-E72D297353CC}">
              <c16:uniqueId val="{00000003-5E65-4340-9496-3783908045D2}"/>
            </c:ext>
          </c:extLst>
        </c:ser>
        <c:dLbls>
          <c:showLegendKey val="0"/>
          <c:showVal val="0"/>
          <c:showCatName val="0"/>
          <c:showSerName val="0"/>
          <c:showPercent val="0"/>
          <c:showBubbleSize val="0"/>
        </c:dLbls>
        <c:gapWidth val="219"/>
        <c:overlap val="-27"/>
        <c:axId val="460188320"/>
        <c:axId val="460185696"/>
      </c:barChart>
      <c:lineChart>
        <c:grouping val="standard"/>
        <c:varyColors val="0"/>
        <c:ser>
          <c:idx val="4"/>
          <c:order val="4"/>
          <c:tx>
            <c:strRef>
              <c:f>List1!$B$20</c:f>
              <c:strCache>
                <c:ptCount val="1"/>
                <c:pt idx="0">
                  <c:v>Celkem</c:v>
                </c:pt>
              </c:strCache>
            </c:strRef>
          </c:tx>
          <c:spPr>
            <a:ln w="28575" cap="rnd">
              <a:solidFill>
                <a:srgbClr val="FF0000"/>
              </a:solidFill>
              <a:round/>
            </a:ln>
            <a:effectLst/>
          </c:spPr>
          <c:marker>
            <c:symbol val="circle"/>
            <c:size val="8"/>
            <c:spPr>
              <a:solidFill>
                <a:srgbClr val="FF0000"/>
              </a:solidFill>
              <a:ln w="9525">
                <a:solidFill>
                  <a:srgbClr val="FF0000"/>
                </a:solidFill>
              </a:ln>
              <a:effectLst/>
            </c:spPr>
          </c:marker>
          <c:cat>
            <c:numRef>
              <c:f>List1!$C$15:$L$15</c:f>
              <c:numCache>
                <c:formatCode>General</c:formatCode>
                <c:ptCount val="10"/>
                <c:pt idx="0">
                  <c:v>2010</c:v>
                </c:pt>
                <c:pt idx="1">
                  <c:v>2011</c:v>
                </c:pt>
                <c:pt idx="2">
                  <c:v>2012</c:v>
                </c:pt>
                <c:pt idx="3">
                  <c:v>2013</c:v>
                </c:pt>
                <c:pt idx="4">
                  <c:v>2014</c:v>
                </c:pt>
                <c:pt idx="5">
                  <c:v>2015</c:v>
                </c:pt>
                <c:pt idx="6">
                  <c:v>2016</c:v>
                </c:pt>
                <c:pt idx="7">
                  <c:v>2017</c:v>
                </c:pt>
                <c:pt idx="8">
                  <c:v>2018</c:v>
                </c:pt>
                <c:pt idx="9">
                  <c:v>2019</c:v>
                </c:pt>
              </c:numCache>
            </c:numRef>
          </c:cat>
          <c:val>
            <c:numRef>
              <c:f>List1!$C$20:$L$20</c:f>
              <c:numCache>
                <c:formatCode>#,##0.00</c:formatCode>
                <c:ptCount val="10"/>
                <c:pt idx="0">
                  <c:v>26673</c:v>
                </c:pt>
                <c:pt idx="1">
                  <c:v>25961.919999999998</c:v>
                </c:pt>
                <c:pt idx="2">
                  <c:v>24763.700000000004</c:v>
                </c:pt>
                <c:pt idx="3">
                  <c:v>25896.39</c:v>
                </c:pt>
                <c:pt idx="4">
                  <c:v>37945.081775833998</c:v>
                </c:pt>
                <c:pt idx="5">
                  <c:v>28637.809776443471</c:v>
                </c:pt>
                <c:pt idx="6">
                  <c:v>31053.95758901599</c:v>
                </c:pt>
                <c:pt idx="7">
                  <c:v>27944.77981693274</c:v>
                </c:pt>
                <c:pt idx="8">
                  <c:v>31153.555292318943</c:v>
                </c:pt>
                <c:pt idx="9">
                  <c:v>33057.483499544847</c:v>
                </c:pt>
              </c:numCache>
            </c:numRef>
          </c:val>
          <c:smooth val="0"/>
          <c:extLst>
            <c:ext xmlns:c16="http://schemas.microsoft.com/office/drawing/2014/chart" uri="{C3380CC4-5D6E-409C-BE32-E72D297353CC}">
              <c16:uniqueId val="{00000004-5E65-4340-9496-3783908045D2}"/>
            </c:ext>
          </c:extLst>
        </c:ser>
        <c:dLbls>
          <c:showLegendKey val="0"/>
          <c:showVal val="0"/>
          <c:showCatName val="0"/>
          <c:showSerName val="0"/>
          <c:showPercent val="0"/>
          <c:showBubbleSize val="0"/>
        </c:dLbls>
        <c:marker val="1"/>
        <c:smooth val="0"/>
        <c:axId val="460188320"/>
        <c:axId val="460185696"/>
      </c:lineChart>
      <c:catAx>
        <c:axId val="46018832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cs-CZ" sz="1000" b="1">
                    <a:latin typeface="Arial" panose="020B0604020202020204" pitchFamily="34" charset="0"/>
                    <a:cs typeface="Arial" panose="020B0604020202020204" pitchFamily="34" charset="0"/>
                  </a:rPr>
                  <a:t>rok</a:t>
                </a:r>
              </a:p>
            </c:rich>
          </c:tx>
          <c:layout/>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cs-CZ"/>
            </a:p>
          </c:txPr>
        </c:title>
        <c:numFmt formatCode="General" sourceLinked="1"/>
        <c:majorTickMark val="none"/>
        <c:minorTickMark val="none"/>
        <c:tickLblPos val="nextTo"/>
        <c:spPr>
          <a:noFill/>
          <a:ln w="9525" cap="flat" cmpd="sng" algn="ctr">
            <a:solidFill>
              <a:schemeClr val="bg1">
                <a:lumMod val="50000"/>
              </a:schemeClr>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cs-CZ"/>
          </a:p>
        </c:txPr>
        <c:crossAx val="460185696"/>
        <c:crosses val="autoZero"/>
        <c:auto val="1"/>
        <c:lblAlgn val="ctr"/>
        <c:lblOffset val="100"/>
        <c:noMultiLvlLbl val="0"/>
      </c:catAx>
      <c:valAx>
        <c:axId val="46018569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cs-CZ" sz="1000" b="1">
                    <a:latin typeface="Arial" panose="020B0604020202020204" pitchFamily="34" charset="0"/>
                    <a:cs typeface="Arial" panose="020B0604020202020204" pitchFamily="34" charset="0"/>
                  </a:rPr>
                  <a:t>tis.</a:t>
                </a:r>
                <a:r>
                  <a:rPr lang="cs-CZ" sz="1000" b="1" baseline="0">
                    <a:latin typeface="Arial" panose="020B0604020202020204" pitchFamily="34" charset="0"/>
                    <a:cs typeface="Arial" panose="020B0604020202020204" pitchFamily="34" charset="0"/>
                  </a:rPr>
                  <a:t> (</a:t>
                </a:r>
                <a:r>
                  <a:rPr lang="cs-CZ" sz="1000" b="1">
                    <a:latin typeface="Arial" panose="020B0604020202020204" pitchFamily="34" charset="0"/>
                    <a:cs typeface="Arial" panose="020B0604020202020204" pitchFamily="34" charset="0"/>
                  </a:rPr>
                  <a:t>kg,l)</a:t>
                </a:r>
              </a:p>
            </c:rich>
          </c:tx>
          <c:layout>
            <c:manualLayout>
              <c:xMode val="edge"/>
              <c:yMode val="edge"/>
              <c:x val="1.0416666666666666E-2"/>
              <c:y val="0.36185905143111363"/>
            </c:manualLayout>
          </c:layout>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cs-CZ"/>
            </a:p>
          </c:txPr>
        </c:title>
        <c:numFmt formatCode="#,##0" sourceLinked="0"/>
        <c:majorTickMark val="none"/>
        <c:minorTickMark val="none"/>
        <c:tickLblPos val="nextTo"/>
        <c:spPr>
          <a:noFill/>
          <a:ln>
            <a:solidFill>
              <a:schemeClr val="bg1">
                <a:lumMod val="50000"/>
              </a:schemeClr>
            </a:solidFill>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cs-CZ"/>
          </a:p>
        </c:txPr>
        <c:crossAx val="460188320"/>
        <c:crosses val="autoZero"/>
        <c:crossBetween val="between"/>
        <c:dispUnits>
          <c:builtInUnit val="thousands"/>
        </c:dispUnits>
      </c:valAx>
      <c:spPr>
        <a:noFill/>
        <a:ln>
          <a:noFill/>
        </a:ln>
        <a:effectLst/>
      </c:spPr>
    </c:plotArea>
    <c:legend>
      <c:legendPos val="b"/>
      <c:layout>
        <c:manualLayout>
          <c:xMode val="edge"/>
          <c:yMode val="edge"/>
          <c:x val="3.5902768795946588E-2"/>
          <c:y val="0.83002653571174223"/>
          <c:w val="0.96147487406869869"/>
          <c:h val="0.14357081627151624"/>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cs-CZ"/>
        </a:p>
      </c:txPr>
    </c:legend>
    <c:plotVisOnly val="1"/>
    <c:dispBlanksAs val="gap"/>
    <c:showDLblsOverMax val="0"/>
  </c:chart>
  <c:spPr>
    <a:solidFill>
      <a:schemeClr val="bg1"/>
    </a:solidFill>
    <a:ln w="9525" cap="flat" cmpd="sng" algn="ctr">
      <a:solidFill>
        <a:schemeClr val="bg1">
          <a:lumMod val="50000"/>
        </a:schemeClr>
      </a:solidFill>
      <a:round/>
    </a:ln>
    <a:effectLst/>
  </c:spPr>
  <c:txPr>
    <a:bodyPr/>
    <a:lstStyle/>
    <a:p>
      <a:pPr>
        <a:defRPr/>
      </a:pPr>
      <a:endParaRPr lang="cs-CZ"/>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List1!$B$25</c:f>
              <c:strCache>
                <c:ptCount val="1"/>
                <c:pt idx="0">
                  <c:v>Herbicidy</c:v>
                </c:pt>
              </c:strCache>
            </c:strRef>
          </c:tx>
          <c:spPr>
            <a:solidFill>
              <a:srgbClr val="00B050"/>
            </a:solidFill>
            <a:ln>
              <a:noFill/>
            </a:ln>
            <a:effectLst/>
          </c:spPr>
          <c:invertIfNegative val="0"/>
          <c:cat>
            <c:numRef>
              <c:f>List1!$C$24:$L$24</c:f>
              <c:numCache>
                <c:formatCode>General</c:formatCode>
                <c:ptCount val="10"/>
                <c:pt idx="0">
                  <c:v>2010</c:v>
                </c:pt>
                <c:pt idx="1">
                  <c:v>2011</c:v>
                </c:pt>
                <c:pt idx="2">
                  <c:v>2012</c:v>
                </c:pt>
                <c:pt idx="3">
                  <c:v>2013</c:v>
                </c:pt>
                <c:pt idx="4">
                  <c:v>2014</c:v>
                </c:pt>
                <c:pt idx="5">
                  <c:v>2015</c:v>
                </c:pt>
                <c:pt idx="6">
                  <c:v>2016</c:v>
                </c:pt>
                <c:pt idx="7">
                  <c:v>2017</c:v>
                </c:pt>
                <c:pt idx="8">
                  <c:v>2018</c:v>
                </c:pt>
                <c:pt idx="9">
                  <c:v>2019</c:v>
                </c:pt>
              </c:numCache>
            </c:numRef>
          </c:cat>
          <c:val>
            <c:numRef>
              <c:f>List1!$C$25:$L$25</c:f>
              <c:numCache>
                <c:formatCode>#,##0.00</c:formatCode>
                <c:ptCount val="10"/>
                <c:pt idx="0">
                  <c:v>21053.439999999999</c:v>
                </c:pt>
                <c:pt idx="1">
                  <c:v>15657.35</c:v>
                </c:pt>
                <c:pt idx="2">
                  <c:v>14740.94</c:v>
                </c:pt>
                <c:pt idx="3">
                  <c:v>12916.75</c:v>
                </c:pt>
                <c:pt idx="4">
                  <c:v>10428.000885291007</c:v>
                </c:pt>
                <c:pt idx="5">
                  <c:v>11022.868959000003</c:v>
                </c:pt>
                <c:pt idx="6">
                  <c:v>11479.571668829007</c:v>
                </c:pt>
                <c:pt idx="7">
                  <c:v>7919.5812849643162</c:v>
                </c:pt>
                <c:pt idx="8">
                  <c:v>13139.065630890473</c:v>
                </c:pt>
                <c:pt idx="9">
                  <c:v>10640.468907401928</c:v>
                </c:pt>
              </c:numCache>
            </c:numRef>
          </c:val>
          <c:extLst>
            <c:ext xmlns:c16="http://schemas.microsoft.com/office/drawing/2014/chart" uri="{C3380CC4-5D6E-409C-BE32-E72D297353CC}">
              <c16:uniqueId val="{00000000-2779-A745-93AB-47E8A465F523}"/>
            </c:ext>
          </c:extLst>
        </c:ser>
        <c:ser>
          <c:idx val="1"/>
          <c:order val="1"/>
          <c:tx>
            <c:strRef>
              <c:f>List1!$B$26</c:f>
              <c:strCache>
                <c:ptCount val="1"/>
                <c:pt idx="0">
                  <c:v>Fungicidy</c:v>
                </c:pt>
              </c:strCache>
            </c:strRef>
          </c:tx>
          <c:spPr>
            <a:solidFill>
              <a:schemeClr val="accent2"/>
            </a:solidFill>
            <a:ln>
              <a:noFill/>
            </a:ln>
            <a:effectLst/>
          </c:spPr>
          <c:invertIfNegative val="0"/>
          <c:cat>
            <c:numRef>
              <c:f>List1!$C$24:$L$24</c:f>
              <c:numCache>
                <c:formatCode>General</c:formatCode>
                <c:ptCount val="10"/>
                <c:pt idx="0">
                  <c:v>2010</c:v>
                </c:pt>
                <c:pt idx="1">
                  <c:v>2011</c:v>
                </c:pt>
                <c:pt idx="2">
                  <c:v>2012</c:v>
                </c:pt>
                <c:pt idx="3">
                  <c:v>2013</c:v>
                </c:pt>
                <c:pt idx="4">
                  <c:v>2014</c:v>
                </c:pt>
                <c:pt idx="5">
                  <c:v>2015</c:v>
                </c:pt>
                <c:pt idx="6">
                  <c:v>2016</c:v>
                </c:pt>
                <c:pt idx="7">
                  <c:v>2017</c:v>
                </c:pt>
                <c:pt idx="8">
                  <c:v>2018</c:v>
                </c:pt>
                <c:pt idx="9">
                  <c:v>2019</c:v>
                </c:pt>
              </c:numCache>
            </c:numRef>
          </c:cat>
          <c:val>
            <c:numRef>
              <c:f>List1!$C$26:$L$26</c:f>
              <c:numCache>
                <c:formatCode>#,##0.00</c:formatCode>
                <c:ptCount val="10"/>
                <c:pt idx="0">
                  <c:v>214170.64</c:v>
                </c:pt>
                <c:pt idx="1">
                  <c:v>172665.54</c:v>
                </c:pt>
                <c:pt idx="2">
                  <c:v>188735.45</c:v>
                </c:pt>
                <c:pt idx="3">
                  <c:v>214563.20000000001</c:v>
                </c:pt>
                <c:pt idx="4">
                  <c:v>166863.65614585698</c:v>
                </c:pt>
                <c:pt idx="5">
                  <c:v>148749.15148400018</c:v>
                </c:pt>
                <c:pt idx="6">
                  <c:v>137735.26076858782</c:v>
                </c:pt>
                <c:pt idx="7">
                  <c:v>105792.54301139667</c:v>
                </c:pt>
                <c:pt idx="8">
                  <c:v>141522.84978359877</c:v>
                </c:pt>
                <c:pt idx="9">
                  <c:v>120248.63557392536</c:v>
                </c:pt>
              </c:numCache>
            </c:numRef>
          </c:val>
          <c:extLst>
            <c:ext xmlns:c16="http://schemas.microsoft.com/office/drawing/2014/chart" uri="{C3380CC4-5D6E-409C-BE32-E72D297353CC}">
              <c16:uniqueId val="{00000001-2779-A745-93AB-47E8A465F523}"/>
            </c:ext>
          </c:extLst>
        </c:ser>
        <c:ser>
          <c:idx val="2"/>
          <c:order val="2"/>
          <c:tx>
            <c:strRef>
              <c:f>List1!$B$27</c:f>
              <c:strCache>
                <c:ptCount val="1"/>
                <c:pt idx="0">
                  <c:v>Zoocidy</c:v>
                </c:pt>
              </c:strCache>
            </c:strRef>
          </c:tx>
          <c:spPr>
            <a:solidFill>
              <a:srgbClr val="002060"/>
            </a:solidFill>
            <a:ln>
              <a:noFill/>
            </a:ln>
            <a:effectLst/>
          </c:spPr>
          <c:invertIfNegative val="0"/>
          <c:cat>
            <c:numRef>
              <c:f>List1!$C$24:$L$24</c:f>
              <c:numCache>
                <c:formatCode>General</c:formatCode>
                <c:ptCount val="10"/>
                <c:pt idx="0">
                  <c:v>2010</c:v>
                </c:pt>
                <c:pt idx="1">
                  <c:v>2011</c:v>
                </c:pt>
                <c:pt idx="2">
                  <c:v>2012</c:v>
                </c:pt>
                <c:pt idx="3">
                  <c:v>2013</c:v>
                </c:pt>
                <c:pt idx="4">
                  <c:v>2014</c:v>
                </c:pt>
                <c:pt idx="5">
                  <c:v>2015</c:v>
                </c:pt>
                <c:pt idx="6">
                  <c:v>2016</c:v>
                </c:pt>
                <c:pt idx="7">
                  <c:v>2017</c:v>
                </c:pt>
                <c:pt idx="8">
                  <c:v>2018</c:v>
                </c:pt>
                <c:pt idx="9">
                  <c:v>2019</c:v>
                </c:pt>
              </c:numCache>
            </c:numRef>
          </c:cat>
          <c:val>
            <c:numRef>
              <c:f>List1!$C$27:$L$27</c:f>
              <c:numCache>
                <c:formatCode>#,##0.00</c:formatCode>
                <c:ptCount val="10"/>
                <c:pt idx="0">
                  <c:v>9926.61</c:v>
                </c:pt>
                <c:pt idx="1">
                  <c:v>5331.4400000000005</c:v>
                </c:pt>
                <c:pt idx="2">
                  <c:v>6616.0300000000007</c:v>
                </c:pt>
                <c:pt idx="3">
                  <c:v>6139.38</c:v>
                </c:pt>
                <c:pt idx="4">
                  <c:v>5246.8265161279996</c:v>
                </c:pt>
                <c:pt idx="5">
                  <c:v>6068.7866510000022</c:v>
                </c:pt>
                <c:pt idx="6">
                  <c:v>4795.361168078005</c:v>
                </c:pt>
                <c:pt idx="7">
                  <c:v>3534.7086417258697</c:v>
                </c:pt>
                <c:pt idx="8">
                  <c:v>5281.5919994354035</c:v>
                </c:pt>
                <c:pt idx="9">
                  <c:v>4275.0997803123255</c:v>
                </c:pt>
              </c:numCache>
            </c:numRef>
          </c:val>
          <c:extLst>
            <c:ext xmlns:c16="http://schemas.microsoft.com/office/drawing/2014/chart" uri="{C3380CC4-5D6E-409C-BE32-E72D297353CC}">
              <c16:uniqueId val="{00000002-2779-A745-93AB-47E8A465F523}"/>
            </c:ext>
          </c:extLst>
        </c:ser>
        <c:ser>
          <c:idx val="3"/>
          <c:order val="3"/>
          <c:tx>
            <c:strRef>
              <c:f>List1!$B$28</c:f>
              <c:strCache>
                <c:ptCount val="1"/>
                <c:pt idx="0">
                  <c:v>Biopreparáty</c:v>
                </c:pt>
              </c:strCache>
            </c:strRef>
          </c:tx>
          <c:spPr>
            <a:solidFill>
              <a:schemeClr val="accent4"/>
            </a:solidFill>
            <a:ln>
              <a:noFill/>
            </a:ln>
            <a:effectLst/>
          </c:spPr>
          <c:invertIfNegative val="0"/>
          <c:cat>
            <c:numRef>
              <c:f>List1!$C$24:$L$24</c:f>
              <c:numCache>
                <c:formatCode>General</c:formatCode>
                <c:ptCount val="10"/>
                <c:pt idx="0">
                  <c:v>2010</c:v>
                </c:pt>
                <c:pt idx="1">
                  <c:v>2011</c:v>
                </c:pt>
                <c:pt idx="2">
                  <c:v>2012</c:v>
                </c:pt>
                <c:pt idx="3">
                  <c:v>2013</c:v>
                </c:pt>
                <c:pt idx="4">
                  <c:v>2014</c:v>
                </c:pt>
                <c:pt idx="5">
                  <c:v>2015</c:v>
                </c:pt>
                <c:pt idx="6">
                  <c:v>2016</c:v>
                </c:pt>
                <c:pt idx="7">
                  <c:v>2017</c:v>
                </c:pt>
                <c:pt idx="8">
                  <c:v>2018</c:v>
                </c:pt>
                <c:pt idx="9">
                  <c:v>2019</c:v>
                </c:pt>
              </c:numCache>
            </c:numRef>
          </c:cat>
          <c:val>
            <c:numRef>
              <c:f>List1!$C$28:$L$28</c:f>
              <c:numCache>
                <c:formatCode>#,##0.00</c:formatCode>
                <c:ptCount val="10"/>
                <c:pt idx="0">
                  <c:v>1098.82</c:v>
                </c:pt>
                <c:pt idx="1">
                  <c:v>1130.24</c:v>
                </c:pt>
                <c:pt idx="2">
                  <c:v>1464.27</c:v>
                </c:pt>
                <c:pt idx="3">
                  <c:v>1771.8</c:v>
                </c:pt>
                <c:pt idx="4">
                  <c:v>1126.4096206779998</c:v>
                </c:pt>
                <c:pt idx="5">
                  <c:v>877.45519799999988</c:v>
                </c:pt>
                <c:pt idx="6">
                  <c:v>555.14952940399996</c:v>
                </c:pt>
                <c:pt idx="7">
                  <c:v>531.89224572165995</c:v>
                </c:pt>
                <c:pt idx="8">
                  <c:v>1002.4360278840409</c:v>
                </c:pt>
                <c:pt idx="9">
                  <c:v>476.5252706282547</c:v>
                </c:pt>
              </c:numCache>
            </c:numRef>
          </c:val>
          <c:extLst>
            <c:ext xmlns:c16="http://schemas.microsoft.com/office/drawing/2014/chart" uri="{C3380CC4-5D6E-409C-BE32-E72D297353CC}">
              <c16:uniqueId val="{00000003-2779-A745-93AB-47E8A465F523}"/>
            </c:ext>
          </c:extLst>
        </c:ser>
        <c:dLbls>
          <c:showLegendKey val="0"/>
          <c:showVal val="0"/>
          <c:showCatName val="0"/>
          <c:showSerName val="0"/>
          <c:showPercent val="0"/>
          <c:showBubbleSize val="0"/>
        </c:dLbls>
        <c:gapWidth val="219"/>
        <c:overlap val="-27"/>
        <c:axId val="457373768"/>
        <c:axId val="457371800"/>
      </c:barChart>
      <c:lineChart>
        <c:grouping val="standard"/>
        <c:varyColors val="0"/>
        <c:ser>
          <c:idx val="4"/>
          <c:order val="4"/>
          <c:tx>
            <c:strRef>
              <c:f>List1!$B$29</c:f>
              <c:strCache>
                <c:ptCount val="1"/>
                <c:pt idx="0">
                  <c:v>Celkem</c:v>
                </c:pt>
              </c:strCache>
            </c:strRef>
          </c:tx>
          <c:spPr>
            <a:ln w="28575" cap="rnd">
              <a:solidFill>
                <a:srgbClr val="FF0000"/>
              </a:solidFill>
              <a:round/>
            </a:ln>
            <a:effectLst/>
          </c:spPr>
          <c:marker>
            <c:symbol val="circle"/>
            <c:size val="6"/>
            <c:spPr>
              <a:solidFill>
                <a:srgbClr val="FF0000"/>
              </a:solidFill>
              <a:ln w="9525">
                <a:solidFill>
                  <a:srgbClr val="FF0000"/>
                </a:solidFill>
              </a:ln>
              <a:effectLst/>
            </c:spPr>
          </c:marker>
          <c:cat>
            <c:numRef>
              <c:f>List1!$C$24:$L$24</c:f>
              <c:numCache>
                <c:formatCode>General</c:formatCode>
                <c:ptCount val="10"/>
                <c:pt idx="0">
                  <c:v>2010</c:v>
                </c:pt>
                <c:pt idx="1">
                  <c:v>2011</c:v>
                </c:pt>
                <c:pt idx="2">
                  <c:v>2012</c:v>
                </c:pt>
                <c:pt idx="3">
                  <c:v>2013</c:v>
                </c:pt>
                <c:pt idx="4">
                  <c:v>2014</c:v>
                </c:pt>
                <c:pt idx="5">
                  <c:v>2015</c:v>
                </c:pt>
                <c:pt idx="6">
                  <c:v>2016</c:v>
                </c:pt>
                <c:pt idx="7">
                  <c:v>2017</c:v>
                </c:pt>
                <c:pt idx="8">
                  <c:v>2018</c:v>
                </c:pt>
                <c:pt idx="9">
                  <c:v>2019</c:v>
                </c:pt>
              </c:numCache>
            </c:numRef>
          </c:cat>
          <c:val>
            <c:numRef>
              <c:f>List1!$C$29:$L$29</c:f>
              <c:numCache>
                <c:formatCode>#,##0.00</c:formatCode>
                <c:ptCount val="10"/>
                <c:pt idx="0">
                  <c:v>246249.51</c:v>
                </c:pt>
                <c:pt idx="1">
                  <c:v>194784.57</c:v>
                </c:pt>
                <c:pt idx="2">
                  <c:v>211556.69</c:v>
                </c:pt>
                <c:pt idx="3">
                  <c:v>235391.13</c:v>
                </c:pt>
                <c:pt idx="4">
                  <c:v>183664.89316795397</c:v>
                </c:pt>
                <c:pt idx="5">
                  <c:v>166718.2622920002</c:v>
                </c:pt>
                <c:pt idx="6">
                  <c:v>154565.34313489884</c:v>
                </c:pt>
                <c:pt idx="7">
                  <c:v>117778.72518380851</c:v>
                </c:pt>
                <c:pt idx="8">
                  <c:v>160945.94344180866</c:v>
                </c:pt>
                <c:pt idx="9">
                  <c:v>135640.72953226787</c:v>
                </c:pt>
              </c:numCache>
            </c:numRef>
          </c:val>
          <c:smooth val="0"/>
          <c:extLst>
            <c:ext xmlns:c16="http://schemas.microsoft.com/office/drawing/2014/chart" uri="{C3380CC4-5D6E-409C-BE32-E72D297353CC}">
              <c16:uniqueId val="{00000004-2779-A745-93AB-47E8A465F523}"/>
            </c:ext>
          </c:extLst>
        </c:ser>
        <c:dLbls>
          <c:showLegendKey val="0"/>
          <c:showVal val="0"/>
          <c:showCatName val="0"/>
          <c:showSerName val="0"/>
          <c:showPercent val="0"/>
          <c:showBubbleSize val="0"/>
        </c:dLbls>
        <c:marker val="1"/>
        <c:smooth val="0"/>
        <c:axId val="457373768"/>
        <c:axId val="457371800"/>
      </c:lineChart>
      <c:catAx>
        <c:axId val="457373768"/>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cs-CZ" b="1">
                    <a:latin typeface="Arial" panose="020B0604020202020204" pitchFamily="34" charset="0"/>
                    <a:cs typeface="Arial" panose="020B0604020202020204" pitchFamily="34" charset="0"/>
                  </a:rPr>
                  <a:t>rok</a:t>
                </a:r>
              </a:p>
            </c:rich>
          </c:tx>
          <c:layout/>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cs-CZ"/>
            </a:p>
          </c:txPr>
        </c:title>
        <c:numFmt formatCode="General" sourceLinked="1"/>
        <c:majorTickMark val="none"/>
        <c:minorTickMark val="none"/>
        <c:tickLblPos val="nextTo"/>
        <c:spPr>
          <a:noFill/>
          <a:ln w="9525" cap="flat" cmpd="sng" algn="ctr">
            <a:solidFill>
              <a:schemeClr val="bg1">
                <a:lumMod val="50000"/>
              </a:schemeClr>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cs-CZ"/>
          </a:p>
        </c:txPr>
        <c:crossAx val="457371800"/>
        <c:crosses val="autoZero"/>
        <c:auto val="1"/>
        <c:lblAlgn val="ctr"/>
        <c:lblOffset val="100"/>
        <c:noMultiLvlLbl val="0"/>
      </c:catAx>
      <c:valAx>
        <c:axId val="4573718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cs-CZ" b="1">
                    <a:latin typeface="Arial" panose="020B0604020202020204" pitchFamily="34" charset="0"/>
                    <a:cs typeface="Arial" panose="020B0604020202020204" pitchFamily="34" charset="0"/>
                  </a:rPr>
                  <a:t>tis. (kg,l)</a:t>
                </a:r>
              </a:p>
            </c:rich>
          </c:tx>
          <c:layout>
            <c:manualLayout>
              <c:xMode val="edge"/>
              <c:yMode val="edge"/>
              <c:x val="1.2912747851044234E-2"/>
              <c:y val="0.35020145304093264"/>
            </c:manualLayout>
          </c:layout>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cs-CZ"/>
            </a:p>
          </c:txPr>
        </c:title>
        <c:numFmt formatCode="#,##0" sourceLinked="0"/>
        <c:majorTickMark val="none"/>
        <c:minorTickMark val="none"/>
        <c:tickLblPos val="nextTo"/>
        <c:spPr>
          <a:noFill/>
          <a:ln>
            <a:solidFill>
              <a:schemeClr val="bg1">
                <a:lumMod val="50000"/>
              </a:schemeClr>
            </a:solidFill>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cs-CZ"/>
          </a:p>
        </c:txPr>
        <c:crossAx val="457373768"/>
        <c:crosses val="autoZero"/>
        <c:crossBetween val="between"/>
        <c:dispUnits>
          <c:builtInUnit val="thousands"/>
        </c:dispUnits>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cs-CZ"/>
        </a:p>
      </c:txPr>
    </c:legend>
    <c:plotVisOnly val="1"/>
    <c:dispBlanksAs val="gap"/>
    <c:showDLblsOverMax val="0"/>
  </c:chart>
  <c:spPr>
    <a:solidFill>
      <a:schemeClr val="bg1"/>
    </a:solidFill>
    <a:ln w="9525" cap="flat" cmpd="sng" algn="ctr">
      <a:solidFill>
        <a:schemeClr val="bg1">
          <a:lumMod val="50000"/>
        </a:schemeClr>
      </a:solidFill>
      <a:round/>
    </a:ln>
    <a:effectLst/>
  </c:spPr>
  <c:txPr>
    <a:bodyPr/>
    <a:lstStyle/>
    <a:p>
      <a:pPr>
        <a:defRPr/>
      </a:pPr>
      <a:endParaRPr lang="cs-CZ"/>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List1!$B$34</c:f>
              <c:strCache>
                <c:ptCount val="1"/>
                <c:pt idx="0">
                  <c:v>Herbicidy</c:v>
                </c:pt>
              </c:strCache>
            </c:strRef>
          </c:tx>
          <c:spPr>
            <a:solidFill>
              <a:srgbClr val="00B0F0"/>
            </a:solidFill>
            <a:ln>
              <a:noFill/>
            </a:ln>
            <a:effectLst/>
          </c:spPr>
          <c:invertIfNegative val="0"/>
          <c:cat>
            <c:numRef>
              <c:f>List1!$C$33:$L$33</c:f>
              <c:numCache>
                <c:formatCode>General</c:formatCode>
                <c:ptCount val="10"/>
                <c:pt idx="0">
                  <c:v>2010</c:v>
                </c:pt>
                <c:pt idx="1">
                  <c:v>2011</c:v>
                </c:pt>
                <c:pt idx="2">
                  <c:v>2012</c:v>
                </c:pt>
                <c:pt idx="3">
                  <c:v>2013</c:v>
                </c:pt>
                <c:pt idx="4">
                  <c:v>2014</c:v>
                </c:pt>
                <c:pt idx="5">
                  <c:v>2015</c:v>
                </c:pt>
                <c:pt idx="6">
                  <c:v>2016</c:v>
                </c:pt>
                <c:pt idx="7">
                  <c:v>2017</c:v>
                </c:pt>
                <c:pt idx="8">
                  <c:v>2018</c:v>
                </c:pt>
                <c:pt idx="9">
                  <c:v>2019</c:v>
                </c:pt>
              </c:numCache>
            </c:numRef>
          </c:cat>
          <c:val>
            <c:numRef>
              <c:f>List1!$C$34:$L$34</c:f>
              <c:numCache>
                <c:formatCode>#,##0.00</c:formatCode>
                <c:ptCount val="10"/>
                <c:pt idx="0">
                  <c:v>12694.48</c:v>
                </c:pt>
                <c:pt idx="1">
                  <c:v>14613.960000000001</c:v>
                </c:pt>
                <c:pt idx="2">
                  <c:v>14168.11</c:v>
                </c:pt>
                <c:pt idx="3">
                  <c:v>13590.210000000001</c:v>
                </c:pt>
                <c:pt idx="4">
                  <c:v>13182.469892141999</c:v>
                </c:pt>
                <c:pt idx="5">
                  <c:v>8912.7928840000022</c:v>
                </c:pt>
                <c:pt idx="6">
                  <c:v>7463.5825285810033</c:v>
                </c:pt>
                <c:pt idx="7">
                  <c:v>6703.7066595912447</c:v>
                </c:pt>
                <c:pt idx="8">
                  <c:v>7832.0892757162492</c:v>
                </c:pt>
                <c:pt idx="9">
                  <c:v>8606.385074664322</c:v>
                </c:pt>
              </c:numCache>
            </c:numRef>
          </c:val>
          <c:extLst>
            <c:ext xmlns:c16="http://schemas.microsoft.com/office/drawing/2014/chart" uri="{C3380CC4-5D6E-409C-BE32-E72D297353CC}">
              <c16:uniqueId val="{00000000-BC8D-3647-B86C-D3EF8DF712EF}"/>
            </c:ext>
          </c:extLst>
        </c:ser>
        <c:ser>
          <c:idx val="1"/>
          <c:order val="1"/>
          <c:tx>
            <c:strRef>
              <c:f>List1!$B$35</c:f>
              <c:strCache>
                <c:ptCount val="1"/>
                <c:pt idx="0">
                  <c:v>Fungicidy</c:v>
                </c:pt>
              </c:strCache>
            </c:strRef>
          </c:tx>
          <c:spPr>
            <a:solidFill>
              <a:srgbClr val="00B050"/>
            </a:solidFill>
            <a:ln>
              <a:noFill/>
            </a:ln>
            <a:effectLst/>
          </c:spPr>
          <c:invertIfNegative val="0"/>
          <c:cat>
            <c:numRef>
              <c:f>List1!$C$33:$L$33</c:f>
              <c:numCache>
                <c:formatCode>General</c:formatCode>
                <c:ptCount val="10"/>
                <c:pt idx="0">
                  <c:v>2010</c:v>
                </c:pt>
                <c:pt idx="1">
                  <c:v>2011</c:v>
                </c:pt>
                <c:pt idx="2">
                  <c:v>2012</c:v>
                </c:pt>
                <c:pt idx="3">
                  <c:v>2013</c:v>
                </c:pt>
                <c:pt idx="4">
                  <c:v>2014</c:v>
                </c:pt>
                <c:pt idx="5">
                  <c:v>2015</c:v>
                </c:pt>
                <c:pt idx="6">
                  <c:v>2016</c:v>
                </c:pt>
                <c:pt idx="7">
                  <c:v>2017</c:v>
                </c:pt>
                <c:pt idx="8">
                  <c:v>2018</c:v>
                </c:pt>
                <c:pt idx="9">
                  <c:v>2019</c:v>
                </c:pt>
              </c:numCache>
            </c:numRef>
          </c:cat>
          <c:val>
            <c:numRef>
              <c:f>List1!$C$35:$L$35</c:f>
              <c:numCache>
                <c:formatCode>#,##0.00</c:formatCode>
                <c:ptCount val="10"/>
                <c:pt idx="0">
                  <c:v>129550.34</c:v>
                </c:pt>
                <c:pt idx="1">
                  <c:v>148827.26</c:v>
                </c:pt>
                <c:pt idx="2">
                  <c:v>128612.83</c:v>
                </c:pt>
                <c:pt idx="3">
                  <c:v>143282.33000000002</c:v>
                </c:pt>
                <c:pt idx="4">
                  <c:v>136381.24226688215</c:v>
                </c:pt>
                <c:pt idx="5">
                  <c:v>114048.95526600003</c:v>
                </c:pt>
                <c:pt idx="6">
                  <c:v>130742.5223988472</c:v>
                </c:pt>
                <c:pt idx="7">
                  <c:v>191221.05688350013</c:v>
                </c:pt>
                <c:pt idx="8">
                  <c:v>239310.72667816002</c:v>
                </c:pt>
                <c:pt idx="9">
                  <c:v>253568.93064852519</c:v>
                </c:pt>
              </c:numCache>
            </c:numRef>
          </c:val>
          <c:extLst>
            <c:ext xmlns:c16="http://schemas.microsoft.com/office/drawing/2014/chart" uri="{C3380CC4-5D6E-409C-BE32-E72D297353CC}">
              <c16:uniqueId val="{00000001-BC8D-3647-B86C-D3EF8DF712EF}"/>
            </c:ext>
          </c:extLst>
        </c:ser>
        <c:ser>
          <c:idx val="2"/>
          <c:order val="2"/>
          <c:tx>
            <c:strRef>
              <c:f>List1!$B$36</c:f>
              <c:strCache>
                <c:ptCount val="1"/>
                <c:pt idx="0">
                  <c:v>Zoocidy</c:v>
                </c:pt>
              </c:strCache>
            </c:strRef>
          </c:tx>
          <c:spPr>
            <a:solidFill>
              <a:srgbClr val="FF33CC"/>
            </a:solidFill>
            <a:ln>
              <a:noFill/>
            </a:ln>
            <a:effectLst/>
          </c:spPr>
          <c:invertIfNegative val="0"/>
          <c:cat>
            <c:numRef>
              <c:f>List1!$C$33:$L$33</c:f>
              <c:numCache>
                <c:formatCode>General</c:formatCode>
                <c:ptCount val="10"/>
                <c:pt idx="0">
                  <c:v>2010</c:v>
                </c:pt>
                <c:pt idx="1">
                  <c:v>2011</c:v>
                </c:pt>
                <c:pt idx="2">
                  <c:v>2012</c:v>
                </c:pt>
                <c:pt idx="3">
                  <c:v>2013</c:v>
                </c:pt>
                <c:pt idx="4">
                  <c:v>2014</c:v>
                </c:pt>
                <c:pt idx="5">
                  <c:v>2015</c:v>
                </c:pt>
                <c:pt idx="6">
                  <c:v>2016</c:v>
                </c:pt>
                <c:pt idx="7">
                  <c:v>2017</c:v>
                </c:pt>
                <c:pt idx="8">
                  <c:v>2018</c:v>
                </c:pt>
                <c:pt idx="9">
                  <c:v>2019</c:v>
                </c:pt>
              </c:numCache>
            </c:numRef>
          </c:cat>
          <c:val>
            <c:numRef>
              <c:f>List1!$C$36:$L$36</c:f>
              <c:numCache>
                <c:formatCode>#,##0.00</c:formatCode>
                <c:ptCount val="10"/>
                <c:pt idx="0">
                  <c:v>23716.53</c:v>
                </c:pt>
                <c:pt idx="1">
                  <c:v>1647.2599999999998</c:v>
                </c:pt>
                <c:pt idx="2">
                  <c:v>816.93999999999994</c:v>
                </c:pt>
                <c:pt idx="3">
                  <c:v>549.55999999999995</c:v>
                </c:pt>
                <c:pt idx="4">
                  <c:v>551.41180963600016</c:v>
                </c:pt>
                <c:pt idx="5">
                  <c:v>320.26125400000006</c:v>
                </c:pt>
                <c:pt idx="6">
                  <c:v>116.01262223900002</c:v>
                </c:pt>
                <c:pt idx="7">
                  <c:v>54.828578224450006</c:v>
                </c:pt>
                <c:pt idx="8">
                  <c:v>148.27508056187438</c:v>
                </c:pt>
                <c:pt idx="9">
                  <c:v>155.734342651064</c:v>
                </c:pt>
              </c:numCache>
            </c:numRef>
          </c:val>
          <c:extLst>
            <c:ext xmlns:c16="http://schemas.microsoft.com/office/drawing/2014/chart" uri="{C3380CC4-5D6E-409C-BE32-E72D297353CC}">
              <c16:uniqueId val="{00000002-BC8D-3647-B86C-D3EF8DF712EF}"/>
            </c:ext>
          </c:extLst>
        </c:ser>
        <c:ser>
          <c:idx val="3"/>
          <c:order val="3"/>
          <c:tx>
            <c:strRef>
              <c:f>List1!$B$37</c:f>
              <c:strCache>
                <c:ptCount val="1"/>
                <c:pt idx="0">
                  <c:v>Biopreparáty</c:v>
                </c:pt>
              </c:strCache>
            </c:strRef>
          </c:tx>
          <c:spPr>
            <a:solidFill>
              <a:schemeClr val="accent4"/>
            </a:solidFill>
            <a:ln>
              <a:noFill/>
            </a:ln>
            <a:effectLst/>
          </c:spPr>
          <c:invertIfNegative val="0"/>
          <c:cat>
            <c:numRef>
              <c:f>List1!$C$33:$L$33</c:f>
              <c:numCache>
                <c:formatCode>General</c:formatCode>
                <c:ptCount val="10"/>
                <c:pt idx="0">
                  <c:v>2010</c:v>
                </c:pt>
                <c:pt idx="1">
                  <c:v>2011</c:v>
                </c:pt>
                <c:pt idx="2">
                  <c:v>2012</c:v>
                </c:pt>
                <c:pt idx="3">
                  <c:v>2013</c:v>
                </c:pt>
                <c:pt idx="4">
                  <c:v>2014</c:v>
                </c:pt>
                <c:pt idx="5">
                  <c:v>2015</c:v>
                </c:pt>
                <c:pt idx="6">
                  <c:v>2016</c:v>
                </c:pt>
                <c:pt idx="7">
                  <c:v>2017</c:v>
                </c:pt>
                <c:pt idx="8">
                  <c:v>2018</c:v>
                </c:pt>
                <c:pt idx="9">
                  <c:v>2019</c:v>
                </c:pt>
              </c:numCache>
            </c:numRef>
          </c:cat>
          <c:val>
            <c:numRef>
              <c:f>List1!$C$37:$L$37</c:f>
              <c:numCache>
                <c:formatCode>#,##0.00</c:formatCode>
                <c:ptCount val="10"/>
                <c:pt idx="0">
                  <c:v>420.99</c:v>
                </c:pt>
                <c:pt idx="1">
                  <c:v>59.72</c:v>
                </c:pt>
                <c:pt idx="2">
                  <c:v>92.61</c:v>
                </c:pt>
                <c:pt idx="3">
                  <c:v>21.82</c:v>
                </c:pt>
                <c:pt idx="4">
                  <c:v>309.86079082399999</c:v>
                </c:pt>
                <c:pt idx="5">
                  <c:v>401.01790800000003</c:v>
                </c:pt>
                <c:pt idx="6">
                  <c:v>444.10577248700008</c:v>
                </c:pt>
                <c:pt idx="7">
                  <c:v>252.61841645722501</c:v>
                </c:pt>
                <c:pt idx="8">
                  <c:v>364.8178372755317</c:v>
                </c:pt>
                <c:pt idx="9">
                  <c:v>262.59234255346985</c:v>
                </c:pt>
              </c:numCache>
            </c:numRef>
          </c:val>
          <c:extLst>
            <c:ext xmlns:c16="http://schemas.microsoft.com/office/drawing/2014/chart" uri="{C3380CC4-5D6E-409C-BE32-E72D297353CC}">
              <c16:uniqueId val="{00000003-BC8D-3647-B86C-D3EF8DF712EF}"/>
            </c:ext>
          </c:extLst>
        </c:ser>
        <c:dLbls>
          <c:showLegendKey val="0"/>
          <c:showVal val="0"/>
          <c:showCatName val="0"/>
          <c:showSerName val="0"/>
          <c:showPercent val="0"/>
          <c:showBubbleSize val="0"/>
        </c:dLbls>
        <c:gapWidth val="219"/>
        <c:overlap val="-27"/>
        <c:axId val="326124232"/>
        <c:axId val="326122592"/>
      </c:barChart>
      <c:lineChart>
        <c:grouping val="standard"/>
        <c:varyColors val="0"/>
        <c:ser>
          <c:idx val="4"/>
          <c:order val="4"/>
          <c:tx>
            <c:strRef>
              <c:f>List1!$B$38</c:f>
              <c:strCache>
                <c:ptCount val="1"/>
                <c:pt idx="0">
                  <c:v>Celkem</c:v>
                </c:pt>
              </c:strCache>
            </c:strRef>
          </c:tx>
          <c:spPr>
            <a:ln w="28575" cap="rnd">
              <a:solidFill>
                <a:srgbClr val="FF0000"/>
              </a:solidFill>
              <a:round/>
            </a:ln>
            <a:effectLst/>
          </c:spPr>
          <c:marker>
            <c:symbol val="circle"/>
            <c:size val="8"/>
            <c:spPr>
              <a:solidFill>
                <a:srgbClr val="FF0000"/>
              </a:solidFill>
              <a:ln w="9525">
                <a:solidFill>
                  <a:srgbClr val="FF0000"/>
                </a:solidFill>
              </a:ln>
              <a:effectLst/>
            </c:spPr>
          </c:marker>
          <c:cat>
            <c:numRef>
              <c:f>List1!$C$33:$L$33</c:f>
              <c:numCache>
                <c:formatCode>General</c:formatCode>
                <c:ptCount val="10"/>
                <c:pt idx="0">
                  <c:v>2010</c:v>
                </c:pt>
                <c:pt idx="1">
                  <c:v>2011</c:v>
                </c:pt>
                <c:pt idx="2">
                  <c:v>2012</c:v>
                </c:pt>
                <c:pt idx="3">
                  <c:v>2013</c:v>
                </c:pt>
                <c:pt idx="4">
                  <c:v>2014</c:v>
                </c:pt>
                <c:pt idx="5">
                  <c:v>2015</c:v>
                </c:pt>
                <c:pt idx="6">
                  <c:v>2016</c:v>
                </c:pt>
                <c:pt idx="7">
                  <c:v>2017</c:v>
                </c:pt>
                <c:pt idx="8">
                  <c:v>2018</c:v>
                </c:pt>
                <c:pt idx="9">
                  <c:v>2019</c:v>
                </c:pt>
              </c:numCache>
            </c:numRef>
          </c:cat>
          <c:val>
            <c:numRef>
              <c:f>List1!$C$38:$L$38</c:f>
              <c:numCache>
                <c:formatCode>#,##0.00</c:formatCode>
                <c:ptCount val="10"/>
                <c:pt idx="0">
                  <c:v>166382.34</c:v>
                </c:pt>
                <c:pt idx="1">
                  <c:v>165148.20000000001</c:v>
                </c:pt>
                <c:pt idx="2">
                  <c:v>143690.49</c:v>
                </c:pt>
                <c:pt idx="3">
                  <c:v>157443.92000000001</c:v>
                </c:pt>
                <c:pt idx="4">
                  <c:v>150424.98475948413</c:v>
                </c:pt>
                <c:pt idx="5">
                  <c:v>123683.02731200002</c:v>
                </c:pt>
                <c:pt idx="6">
                  <c:v>138766.22332215423</c:v>
                </c:pt>
                <c:pt idx="7">
                  <c:v>198232.21053777306</c:v>
                </c:pt>
                <c:pt idx="8">
                  <c:v>247655.90887171368</c:v>
                </c:pt>
                <c:pt idx="9">
                  <c:v>262593.64240839408</c:v>
                </c:pt>
              </c:numCache>
            </c:numRef>
          </c:val>
          <c:smooth val="0"/>
          <c:extLst>
            <c:ext xmlns:c16="http://schemas.microsoft.com/office/drawing/2014/chart" uri="{C3380CC4-5D6E-409C-BE32-E72D297353CC}">
              <c16:uniqueId val="{00000004-BC8D-3647-B86C-D3EF8DF712EF}"/>
            </c:ext>
          </c:extLst>
        </c:ser>
        <c:dLbls>
          <c:showLegendKey val="0"/>
          <c:showVal val="0"/>
          <c:showCatName val="0"/>
          <c:showSerName val="0"/>
          <c:showPercent val="0"/>
          <c:showBubbleSize val="0"/>
        </c:dLbls>
        <c:marker val="1"/>
        <c:smooth val="0"/>
        <c:axId val="326124232"/>
        <c:axId val="326122592"/>
      </c:lineChart>
      <c:catAx>
        <c:axId val="326124232"/>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cs-CZ" sz="1000" b="1">
                    <a:latin typeface="Arial" panose="020B0604020202020204" pitchFamily="34" charset="0"/>
                    <a:cs typeface="Arial" panose="020B0604020202020204" pitchFamily="34" charset="0"/>
                  </a:rPr>
                  <a:t>rok</a:t>
                </a:r>
              </a:p>
            </c:rich>
          </c:tx>
          <c:layout/>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cs-CZ"/>
            </a:p>
          </c:txPr>
        </c:title>
        <c:numFmt formatCode="General" sourceLinked="1"/>
        <c:majorTickMark val="none"/>
        <c:minorTickMark val="none"/>
        <c:tickLblPos val="nextTo"/>
        <c:spPr>
          <a:noFill/>
          <a:ln w="9525" cap="flat" cmpd="sng" algn="ctr">
            <a:solidFill>
              <a:schemeClr val="bg1">
                <a:lumMod val="50000"/>
              </a:schemeClr>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cs-CZ"/>
          </a:p>
        </c:txPr>
        <c:crossAx val="326122592"/>
        <c:crosses val="autoZero"/>
        <c:auto val="1"/>
        <c:lblAlgn val="ctr"/>
        <c:lblOffset val="100"/>
        <c:noMultiLvlLbl val="0"/>
      </c:catAx>
      <c:valAx>
        <c:axId val="3261225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cs-CZ" b="1">
                    <a:latin typeface="Arial" panose="020B0604020202020204" pitchFamily="34" charset="0"/>
                    <a:cs typeface="Arial" panose="020B0604020202020204" pitchFamily="34" charset="0"/>
                  </a:rPr>
                  <a:t>tis. (kg,l)</a:t>
                </a:r>
              </a:p>
            </c:rich>
          </c:tx>
          <c:layout>
            <c:manualLayout>
              <c:xMode val="edge"/>
              <c:yMode val="edge"/>
              <c:x val="1.3020833333333334E-2"/>
              <c:y val="0.35208181026737134"/>
            </c:manualLayout>
          </c:layout>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cs-CZ"/>
            </a:p>
          </c:txPr>
        </c:title>
        <c:numFmt formatCode="#,##0" sourceLinked="0"/>
        <c:majorTickMark val="none"/>
        <c:minorTickMark val="none"/>
        <c:tickLblPos val="nextTo"/>
        <c:spPr>
          <a:noFill/>
          <a:ln>
            <a:solidFill>
              <a:schemeClr val="bg1">
                <a:lumMod val="50000"/>
              </a:schemeClr>
            </a:solidFill>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cs-CZ"/>
          </a:p>
        </c:txPr>
        <c:crossAx val="326124232"/>
        <c:crosses val="autoZero"/>
        <c:crossBetween val="between"/>
        <c:dispUnits>
          <c:builtInUnit val="thousands"/>
        </c:dispUnits>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cs-CZ"/>
        </a:p>
      </c:txPr>
    </c:legend>
    <c:plotVisOnly val="1"/>
    <c:dispBlanksAs val="gap"/>
    <c:showDLblsOverMax val="0"/>
  </c:chart>
  <c:spPr>
    <a:solidFill>
      <a:schemeClr val="bg1"/>
    </a:solidFill>
    <a:ln w="9525" cap="flat" cmpd="sng" algn="ctr">
      <a:solidFill>
        <a:schemeClr val="bg1">
          <a:lumMod val="50000"/>
        </a:schemeClr>
      </a:solidFill>
      <a:round/>
    </a:ln>
    <a:effectLst/>
  </c:spPr>
  <c:txPr>
    <a:bodyPr/>
    <a:lstStyle/>
    <a:p>
      <a:pPr>
        <a:defRPr/>
      </a:pPr>
      <a:endParaRPr lang="cs-CZ"/>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b="1"/>
              <a:t>CZ HRI1, 2011-2019</a:t>
            </a:r>
          </a:p>
        </c:rich>
      </c:tx>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lineChart>
        <c:grouping val="standard"/>
        <c:varyColors val="0"/>
        <c:ser>
          <c:idx val="0"/>
          <c:order val="0"/>
          <c:tx>
            <c:strRef>
              <c:f>List2!$C$4</c:f>
              <c:strCache>
                <c:ptCount val="1"/>
                <c:pt idx="0">
                  <c:v>CZ HRI1, 2011-2019</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List2!$D$3:$L$3</c:f>
              <c:numCache>
                <c:formatCode>General</c:formatCode>
                <c:ptCount val="9"/>
                <c:pt idx="0">
                  <c:v>2011</c:v>
                </c:pt>
                <c:pt idx="1">
                  <c:v>2012</c:v>
                </c:pt>
                <c:pt idx="2">
                  <c:v>2013</c:v>
                </c:pt>
                <c:pt idx="3">
                  <c:v>2014</c:v>
                </c:pt>
                <c:pt idx="4">
                  <c:v>2015</c:v>
                </c:pt>
                <c:pt idx="5">
                  <c:v>2016</c:v>
                </c:pt>
                <c:pt idx="6">
                  <c:v>2017</c:v>
                </c:pt>
                <c:pt idx="7">
                  <c:v>2018</c:v>
                </c:pt>
                <c:pt idx="8">
                  <c:v>2019</c:v>
                </c:pt>
              </c:numCache>
            </c:numRef>
          </c:cat>
          <c:val>
            <c:numRef>
              <c:f>List2!$D$4:$L$4</c:f>
              <c:numCache>
                <c:formatCode>General</c:formatCode>
                <c:ptCount val="9"/>
                <c:pt idx="0">
                  <c:v>122</c:v>
                </c:pt>
                <c:pt idx="1">
                  <c:v>96</c:v>
                </c:pt>
                <c:pt idx="2">
                  <c:v>82</c:v>
                </c:pt>
                <c:pt idx="3">
                  <c:v>75</c:v>
                </c:pt>
                <c:pt idx="4">
                  <c:v>81</c:v>
                </c:pt>
                <c:pt idx="5">
                  <c:v>74</c:v>
                </c:pt>
                <c:pt idx="6">
                  <c:v>65</c:v>
                </c:pt>
                <c:pt idx="7">
                  <c:v>61</c:v>
                </c:pt>
                <c:pt idx="8">
                  <c:v>56</c:v>
                </c:pt>
              </c:numCache>
            </c:numRef>
          </c:val>
          <c:smooth val="0"/>
          <c:extLst>
            <c:ext xmlns:c16="http://schemas.microsoft.com/office/drawing/2014/chart" uri="{C3380CC4-5D6E-409C-BE32-E72D297353CC}">
              <c16:uniqueId val="{00000000-B922-4AE7-85F5-734DA4011436}"/>
            </c:ext>
          </c:extLst>
        </c:ser>
        <c:dLbls>
          <c:showLegendKey val="0"/>
          <c:showVal val="0"/>
          <c:showCatName val="0"/>
          <c:showSerName val="0"/>
          <c:showPercent val="0"/>
          <c:showBubbleSize val="0"/>
        </c:dLbls>
        <c:marker val="1"/>
        <c:smooth val="0"/>
        <c:axId val="455406440"/>
        <c:axId val="455404144"/>
      </c:lineChart>
      <c:catAx>
        <c:axId val="4554064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55404144"/>
        <c:crosses val="autoZero"/>
        <c:auto val="1"/>
        <c:lblAlgn val="ctr"/>
        <c:lblOffset val="100"/>
        <c:noMultiLvlLbl val="0"/>
      </c:catAx>
      <c:valAx>
        <c:axId val="4554041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Index</a:t>
                </a:r>
              </a:p>
            </c:rich>
          </c:tx>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5540644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2042967472516418E-2"/>
          <c:y val="6.0789879333112855E-2"/>
          <c:w val="0.88452785254878286"/>
          <c:h val="0.74511479392555657"/>
        </c:manualLayout>
      </c:layout>
      <c:lineChart>
        <c:grouping val="standard"/>
        <c:varyColors val="0"/>
        <c:ser>
          <c:idx val="0"/>
          <c:order val="0"/>
          <c:tx>
            <c:strRef>
              <c:f>potraviny_grafy!$C$19</c:f>
              <c:strCache>
                <c:ptCount val="1"/>
                <c:pt idx="0">
                  <c:v>ČR</c:v>
                </c:pt>
              </c:strCache>
            </c:strRef>
          </c:tx>
          <c:spPr>
            <a:ln w="34925" cap="rnd">
              <a:solidFill>
                <a:srgbClr val="FF6600"/>
              </a:solidFill>
              <a:round/>
            </a:ln>
            <a:effectLst>
              <a:outerShdw blurRad="57150" dist="19050" dir="5400000" algn="ctr" rotWithShape="0">
                <a:srgbClr val="000000">
                  <a:alpha val="63000"/>
                </a:srgbClr>
              </a:outerShdw>
            </a:effectLst>
          </c:spPr>
          <c:marker>
            <c:symbol val="triangle"/>
            <c:size val="8"/>
            <c:spPr>
              <a:solidFill>
                <a:srgbClr val="C00000"/>
              </a:solidFill>
              <a:ln w="9525">
                <a:solidFill>
                  <a:srgbClr val="FF6600"/>
                </a:solidFill>
                <a:round/>
              </a:ln>
              <a:effectLst>
                <a:outerShdw blurRad="57150" dist="19050" dir="5400000" algn="ctr" rotWithShape="0">
                  <a:srgbClr val="000000">
                    <a:alpha val="63000"/>
                  </a:srgbClr>
                </a:outerShdw>
              </a:effectLst>
            </c:spPr>
          </c:marker>
          <c:cat>
            <c:numRef>
              <c:f>potraviny_grafy!$D$18:$L$18</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potraviny_grafy!$D$19:$L$19</c:f>
              <c:numCache>
                <c:formatCode>0.0</c:formatCode>
                <c:ptCount val="9"/>
                <c:pt idx="0">
                  <c:v>1.2244897959183674</c:v>
                </c:pt>
                <c:pt idx="1">
                  <c:v>0</c:v>
                </c:pt>
                <c:pt idx="2">
                  <c:v>0.41152263374485598</c:v>
                </c:pt>
                <c:pt idx="3">
                  <c:v>1.3824884792626728</c:v>
                </c:pt>
                <c:pt idx="4">
                  <c:v>1.6949152542372881</c:v>
                </c:pt>
                <c:pt idx="5">
                  <c:v>0.80971659919028338</c:v>
                </c:pt>
                <c:pt idx="6">
                  <c:v>0.62893081761006298</c:v>
                </c:pt>
                <c:pt idx="7">
                  <c:v>1.4925373134328357</c:v>
                </c:pt>
                <c:pt idx="8">
                  <c:v>0</c:v>
                </c:pt>
              </c:numCache>
            </c:numRef>
          </c:val>
          <c:smooth val="0"/>
          <c:extLst>
            <c:ext xmlns:c16="http://schemas.microsoft.com/office/drawing/2014/chart" uri="{C3380CC4-5D6E-409C-BE32-E72D297353CC}">
              <c16:uniqueId val="{00000000-6190-8742-8710-F3D73B0A255B}"/>
            </c:ext>
          </c:extLst>
        </c:ser>
        <c:ser>
          <c:idx val="1"/>
          <c:order val="1"/>
          <c:tx>
            <c:strRef>
              <c:f>potraviny_grafy!$C$20</c:f>
              <c:strCache>
                <c:ptCount val="1"/>
                <c:pt idx="0">
                  <c:v>EU</c:v>
                </c:pt>
              </c:strCache>
            </c:strRef>
          </c:tx>
          <c:spPr>
            <a:ln w="34925" cap="rnd">
              <a:solidFill>
                <a:srgbClr val="00B0F0"/>
              </a:solidFill>
              <a:round/>
            </a:ln>
            <a:effectLst>
              <a:outerShdw blurRad="57150" dist="19050" dir="5400000" algn="ctr" rotWithShape="0">
                <a:srgbClr val="000000">
                  <a:alpha val="63000"/>
                </a:srgbClr>
              </a:outerShdw>
            </a:effectLst>
          </c:spPr>
          <c:marker>
            <c:symbol val="circle"/>
            <c:size val="7"/>
            <c:spPr>
              <a:solidFill>
                <a:srgbClr val="0070C0"/>
              </a:solidFill>
              <a:ln w="9525">
                <a:solidFill>
                  <a:srgbClr val="00B0F0"/>
                </a:solidFill>
                <a:round/>
              </a:ln>
              <a:effectLst>
                <a:outerShdw blurRad="57150" dist="19050" dir="5400000" algn="ctr" rotWithShape="0">
                  <a:srgbClr val="000000">
                    <a:alpha val="63000"/>
                  </a:srgbClr>
                </a:outerShdw>
              </a:effectLst>
            </c:spPr>
          </c:marker>
          <c:cat>
            <c:numRef>
              <c:f>potraviny_grafy!$D$18:$L$18</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potraviny_grafy!$D$20:$L$20</c:f>
              <c:numCache>
                <c:formatCode>0.0</c:formatCode>
                <c:ptCount val="9"/>
                <c:pt idx="0">
                  <c:v>0.70175438596491224</c:v>
                </c:pt>
                <c:pt idx="1">
                  <c:v>0.42016806722689076</c:v>
                </c:pt>
                <c:pt idx="2">
                  <c:v>0.46082949308755761</c:v>
                </c:pt>
                <c:pt idx="3">
                  <c:v>0.40816326530612246</c:v>
                </c:pt>
                <c:pt idx="4">
                  <c:v>0.59055118110236215</c:v>
                </c:pt>
                <c:pt idx="5">
                  <c:v>1.3043478260869565</c:v>
                </c:pt>
                <c:pt idx="6">
                  <c:v>1.8036072144288577</c:v>
                </c:pt>
                <c:pt idx="7">
                  <c:v>1.6427104722792609</c:v>
                </c:pt>
                <c:pt idx="8">
                  <c:v>1.4888337468982631</c:v>
                </c:pt>
              </c:numCache>
            </c:numRef>
          </c:val>
          <c:smooth val="0"/>
          <c:extLst>
            <c:ext xmlns:c16="http://schemas.microsoft.com/office/drawing/2014/chart" uri="{C3380CC4-5D6E-409C-BE32-E72D297353CC}">
              <c16:uniqueId val="{00000001-6190-8742-8710-F3D73B0A255B}"/>
            </c:ext>
          </c:extLst>
        </c:ser>
        <c:ser>
          <c:idx val="2"/>
          <c:order val="2"/>
          <c:tx>
            <c:strRef>
              <c:f>potraviny_grafy!$C$21</c:f>
              <c:strCache>
                <c:ptCount val="1"/>
                <c:pt idx="0">
                  <c:v>Třetí země</c:v>
                </c:pt>
              </c:strCache>
            </c:strRef>
          </c:tx>
          <c:spPr>
            <a:ln w="34925" cap="rnd">
              <a:solidFill>
                <a:srgbClr val="92D050"/>
              </a:solidFill>
              <a:round/>
            </a:ln>
            <a:effectLst>
              <a:outerShdw blurRad="57150" dist="19050" dir="5400000" algn="ctr" rotWithShape="0">
                <a:srgbClr val="000000">
                  <a:alpha val="63000"/>
                </a:srgbClr>
              </a:outerShdw>
            </a:effectLst>
          </c:spPr>
          <c:marker>
            <c:symbol val="diamond"/>
            <c:size val="8"/>
            <c:spPr>
              <a:solidFill>
                <a:srgbClr val="00B050"/>
              </a:solidFill>
              <a:ln w="9525">
                <a:solidFill>
                  <a:srgbClr val="92D050"/>
                </a:solidFill>
                <a:round/>
              </a:ln>
              <a:effectLst>
                <a:outerShdw blurRad="57150" dist="19050" dir="5400000" algn="ctr" rotWithShape="0">
                  <a:srgbClr val="000000">
                    <a:alpha val="63000"/>
                  </a:srgbClr>
                </a:outerShdw>
              </a:effectLst>
            </c:spPr>
          </c:marker>
          <c:cat>
            <c:numRef>
              <c:f>potraviny_grafy!$D$18:$L$18</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potraviny_grafy!$D$21:$L$21</c:f>
              <c:numCache>
                <c:formatCode>0.0</c:formatCode>
                <c:ptCount val="9"/>
                <c:pt idx="0">
                  <c:v>0</c:v>
                </c:pt>
                <c:pt idx="1">
                  <c:v>1.6</c:v>
                </c:pt>
                <c:pt idx="2">
                  <c:v>0.83333333333333337</c:v>
                </c:pt>
                <c:pt idx="3">
                  <c:v>0.95238095238095244</c:v>
                </c:pt>
                <c:pt idx="4">
                  <c:v>3.5971223021582732</c:v>
                </c:pt>
                <c:pt idx="5">
                  <c:v>1.2121212121212122</c:v>
                </c:pt>
                <c:pt idx="6">
                  <c:v>2.0408163265306123</c:v>
                </c:pt>
                <c:pt idx="7">
                  <c:v>3.0927835051546393</c:v>
                </c:pt>
                <c:pt idx="8">
                  <c:v>4.375</c:v>
                </c:pt>
              </c:numCache>
            </c:numRef>
          </c:val>
          <c:smooth val="0"/>
          <c:extLst>
            <c:ext xmlns:c16="http://schemas.microsoft.com/office/drawing/2014/chart" uri="{C3380CC4-5D6E-409C-BE32-E72D297353CC}">
              <c16:uniqueId val="{00000002-6190-8742-8710-F3D73B0A255B}"/>
            </c:ext>
          </c:extLst>
        </c:ser>
        <c:dLbls>
          <c:showLegendKey val="0"/>
          <c:showVal val="0"/>
          <c:showCatName val="0"/>
          <c:showSerName val="0"/>
          <c:showPercent val="0"/>
          <c:showBubbleSize val="0"/>
        </c:dLbls>
        <c:marker val="1"/>
        <c:smooth val="0"/>
        <c:axId val="335953695"/>
        <c:axId val="55723615"/>
      </c:lineChart>
      <c:catAx>
        <c:axId val="335953695"/>
        <c:scaling>
          <c:orientation val="minMax"/>
        </c:scaling>
        <c:delete val="0"/>
        <c:axPos val="b"/>
        <c:numFmt formatCode="General" sourceLinked="1"/>
        <c:majorTickMark val="none"/>
        <c:minorTickMark val="none"/>
        <c:tickLblPos val="nextTo"/>
        <c:spPr>
          <a:noFill/>
          <a:ln w="12700" cap="flat" cmpd="sng" algn="ctr">
            <a:solidFill>
              <a:schemeClr val="tx1">
                <a:lumMod val="50000"/>
                <a:lumOff val="50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cs-CZ"/>
          </a:p>
        </c:txPr>
        <c:crossAx val="55723615"/>
        <c:crosses val="autoZero"/>
        <c:auto val="1"/>
        <c:lblAlgn val="ctr"/>
        <c:lblOffset val="100"/>
        <c:noMultiLvlLbl val="0"/>
      </c:catAx>
      <c:valAx>
        <c:axId val="5572361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sz="1000" b="1"/>
                  <a:t>podíl</a:t>
                </a:r>
                <a:r>
                  <a:rPr lang="cs-CZ" sz="1000" b="1"/>
                  <a:t> </a:t>
                </a:r>
                <a:r>
                  <a:rPr lang="en-US" sz="1000" b="1"/>
                  <a:t> v %</a:t>
                </a:r>
              </a:p>
            </c:rich>
          </c:tx>
          <c:layout/>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cs-CZ"/>
            </a:p>
          </c:txPr>
        </c:title>
        <c:numFmt formatCode="0.0" sourceLinked="1"/>
        <c:majorTickMark val="none"/>
        <c:minorTickMark val="none"/>
        <c:tickLblPos val="nextTo"/>
        <c:spPr>
          <a:noFill/>
          <a:ln>
            <a:solidFill>
              <a:schemeClr val="tx1">
                <a:lumMod val="50000"/>
                <a:lumOff val="50000"/>
              </a:scheme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335953695"/>
        <c:crosses val="autoZero"/>
        <c:crossBetween val="between"/>
      </c:valAx>
      <c:spPr>
        <a:noFill/>
        <a:ln>
          <a:noFill/>
        </a:ln>
        <a:effectLst/>
      </c:spPr>
    </c:plotArea>
    <c:legend>
      <c:legendPos val="b"/>
      <c:layout>
        <c:manualLayout>
          <c:xMode val="edge"/>
          <c:yMode val="edge"/>
          <c:x val="0.16994641644235364"/>
          <c:y val="0.90363300972612859"/>
          <c:w val="0.72400476298290195"/>
          <c:h val="7.1090533170705975E-2"/>
        </c:manualLayout>
      </c:layout>
      <c:overlay val="0"/>
      <c:spPr>
        <a:no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50000"/>
          <a:lumOff val="50000"/>
        </a:schemeClr>
      </a:solidFill>
      <a:round/>
    </a:ln>
    <a:effectLst/>
  </c:spPr>
  <c:txPr>
    <a:bodyPr/>
    <a:lstStyle/>
    <a:p>
      <a:pPr>
        <a:defRPr/>
      </a:pPr>
      <a:endParaRPr lang="cs-CZ"/>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131839289319604"/>
          <c:y val="5.0925925925925923E-2"/>
          <c:w val="0.84739955582475268"/>
          <c:h val="0.70488985428545559"/>
        </c:manualLayout>
      </c:layout>
      <c:barChart>
        <c:barDir val="col"/>
        <c:grouping val="clustered"/>
        <c:varyColors val="0"/>
        <c:ser>
          <c:idx val="0"/>
          <c:order val="0"/>
          <c:tx>
            <c:strRef>
              <c:f>'chemické prvky'!$H$23</c:f>
              <c:strCache>
                <c:ptCount val="1"/>
                <c:pt idx="0">
                  <c:v>Cadmium</c:v>
                </c:pt>
              </c:strCache>
            </c:strRef>
          </c:tx>
          <c:spPr>
            <a:solidFill>
              <a:srgbClr val="FFC000"/>
            </a:solidFill>
            <a:ln>
              <a:solidFill>
                <a:srgbClr val="FF9933"/>
              </a:solidFill>
            </a:ln>
            <a:effectLst/>
          </c:spPr>
          <c:invertIfNegative val="0"/>
          <c:cat>
            <c:strRef>
              <c:f>'chemické prvky'!$G$24:$G$29</c:f>
              <c:strCache>
                <c:ptCount val="6"/>
                <c:pt idx="0">
                  <c:v>Ovoce</c:v>
                </c:pt>
                <c:pt idx="1">
                  <c:v>Houby pěstované</c:v>
                </c:pt>
                <c:pt idx="2">
                  <c:v>Zelenina</c:v>
                </c:pt>
                <c:pt idx="3">
                  <c:v>Brambory</c:v>
                </c:pt>
                <c:pt idx="4">
                  <c:v>Obiloviny</c:v>
                </c:pt>
                <c:pt idx="5">
                  <c:v>Mák</c:v>
                </c:pt>
              </c:strCache>
            </c:strRef>
          </c:cat>
          <c:val>
            <c:numRef>
              <c:f>'chemické prvky'!$H$24:$H$29</c:f>
              <c:numCache>
                <c:formatCode>General</c:formatCode>
                <c:ptCount val="6"/>
                <c:pt idx="0">
                  <c:v>2.2000000000000002</c:v>
                </c:pt>
                <c:pt idx="1">
                  <c:v>40.799999999999997</c:v>
                </c:pt>
                <c:pt idx="2">
                  <c:v>55.1</c:v>
                </c:pt>
                <c:pt idx="3">
                  <c:v>81.400000000000006</c:v>
                </c:pt>
                <c:pt idx="4">
                  <c:v>84.4</c:v>
                </c:pt>
                <c:pt idx="5" formatCode="0.0">
                  <c:v>100</c:v>
                </c:pt>
              </c:numCache>
            </c:numRef>
          </c:val>
          <c:extLst>
            <c:ext xmlns:c16="http://schemas.microsoft.com/office/drawing/2014/chart" uri="{C3380CC4-5D6E-409C-BE32-E72D297353CC}">
              <c16:uniqueId val="{00000000-4680-1841-86D3-9D24FC0A90BB}"/>
            </c:ext>
          </c:extLst>
        </c:ser>
        <c:ser>
          <c:idx val="1"/>
          <c:order val="1"/>
          <c:tx>
            <c:strRef>
              <c:f>'chemické prvky'!$I$23</c:f>
              <c:strCache>
                <c:ptCount val="1"/>
                <c:pt idx="0">
                  <c:v>Olovo</c:v>
                </c:pt>
              </c:strCache>
            </c:strRef>
          </c:tx>
          <c:spPr>
            <a:solidFill>
              <a:srgbClr val="00B0F0"/>
            </a:solidFill>
            <a:ln>
              <a:solidFill>
                <a:srgbClr val="0070C0"/>
              </a:solidFill>
            </a:ln>
            <a:effectLst/>
          </c:spPr>
          <c:invertIfNegative val="0"/>
          <c:cat>
            <c:strRef>
              <c:f>'chemické prvky'!$G$24:$G$29</c:f>
              <c:strCache>
                <c:ptCount val="6"/>
                <c:pt idx="0">
                  <c:v>Ovoce</c:v>
                </c:pt>
                <c:pt idx="1">
                  <c:v>Houby pěstované</c:v>
                </c:pt>
                <c:pt idx="2">
                  <c:v>Zelenina</c:v>
                </c:pt>
                <c:pt idx="3">
                  <c:v>Brambory</c:v>
                </c:pt>
                <c:pt idx="4">
                  <c:v>Obiloviny</c:v>
                </c:pt>
                <c:pt idx="5">
                  <c:v>Mák</c:v>
                </c:pt>
              </c:strCache>
            </c:strRef>
          </c:cat>
          <c:val>
            <c:numRef>
              <c:f>'chemické prvky'!$I$24:$I$29</c:f>
              <c:numCache>
                <c:formatCode>General</c:formatCode>
                <c:ptCount val="6"/>
                <c:pt idx="0">
                  <c:v>5.4</c:v>
                </c:pt>
                <c:pt idx="1">
                  <c:v>8.1</c:v>
                </c:pt>
                <c:pt idx="2">
                  <c:v>9.1999999999999993</c:v>
                </c:pt>
                <c:pt idx="3">
                  <c:v>7.2</c:v>
                </c:pt>
                <c:pt idx="4">
                  <c:v>14.3</c:v>
                </c:pt>
                <c:pt idx="5">
                  <c:v>22</c:v>
                </c:pt>
              </c:numCache>
            </c:numRef>
          </c:val>
          <c:extLst>
            <c:ext xmlns:c16="http://schemas.microsoft.com/office/drawing/2014/chart" uri="{C3380CC4-5D6E-409C-BE32-E72D297353CC}">
              <c16:uniqueId val="{00000001-4680-1841-86D3-9D24FC0A90BB}"/>
            </c:ext>
          </c:extLst>
        </c:ser>
        <c:dLbls>
          <c:showLegendKey val="0"/>
          <c:showVal val="0"/>
          <c:showCatName val="0"/>
          <c:showSerName val="0"/>
          <c:showPercent val="0"/>
          <c:showBubbleSize val="0"/>
        </c:dLbls>
        <c:gapWidth val="80"/>
        <c:overlap val="25"/>
        <c:axId val="1484008175"/>
        <c:axId val="1681370415"/>
      </c:barChart>
      <c:catAx>
        <c:axId val="1484008175"/>
        <c:scaling>
          <c:orientation val="minMax"/>
        </c:scaling>
        <c:delete val="0"/>
        <c:axPos val="b"/>
        <c:numFmt formatCode="General" sourceLinked="1"/>
        <c:majorTickMark val="none"/>
        <c:minorTickMark val="none"/>
        <c:tickLblPos val="nextTo"/>
        <c:spPr>
          <a:noFill/>
          <a:ln w="15875" cap="flat" cmpd="sng" algn="ctr">
            <a:solidFill>
              <a:schemeClr val="tx1">
                <a:lumMod val="25000"/>
                <a:lumOff val="75000"/>
              </a:schemeClr>
            </a:solidFill>
            <a:round/>
          </a:ln>
          <a:effectLst/>
        </c:spPr>
        <c:txPr>
          <a:bodyPr rot="-60000000" spcFirstLastPara="1" vertOverflow="ellipsis" vert="horz" wrap="square" anchor="ctr" anchorCtr="1"/>
          <a:lstStyle/>
          <a:p>
            <a:pPr>
              <a:defRPr sz="1050" b="1" i="0" u="none" strike="noStrike" kern="1200" cap="none" spc="20" normalizeH="0" baseline="0">
                <a:solidFill>
                  <a:schemeClr val="tx1">
                    <a:lumMod val="65000"/>
                    <a:lumOff val="35000"/>
                  </a:schemeClr>
                </a:solidFill>
                <a:latin typeface="+mn-lt"/>
                <a:ea typeface="+mn-ea"/>
                <a:cs typeface="+mn-cs"/>
              </a:defRPr>
            </a:pPr>
            <a:endParaRPr lang="cs-CZ"/>
          </a:p>
        </c:txPr>
        <c:crossAx val="1681370415"/>
        <c:crosses val="autoZero"/>
        <c:auto val="1"/>
        <c:lblAlgn val="ctr"/>
        <c:lblOffset val="100"/>
        <c:noMultiLvlLbl val="0"/>
      </c:catAx>
      <c:valAx>
        <c:axId val="1681370415"/>
        <c:scaling>
          <c:orientation val="minMax"/>
        </c:scaling>
        <c:delete val="0"/>
        <c:axPos val="l"/>
        <c:majorGridlines>
          <c:spPr>
            <a:ln w="9525" cap="flat" cmpd="sng" algn="ctr">
              <a:solidFill>
                <a:schemeClr val="bg1">
                  <a:lumMod val="65000"/>
                </a:schemeClr>
              </a:solidFill>
              <a:round/>
            </a:ln>
            <a:effectLst/>
          </c:spPr>
        </c:maj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cs-CZ"/>
                  <a:t>vzorky s rezidui v %</a:t>
                </a:r>
              </a:p>
            </c:rich>
          </c:tx>
          <c:layout>
            <c:manualLayout>
              <c:xMode val="edge"/>
              <c:yMode val="edge"/>
              <c:x val="1.282051282051282E-2"/>
              <c:y val="0.25016951006124233"/>
            </c:manualLayout>
          </c:layout>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cs-CZ"/>
            </a:p>
          </c:txPr>
        </c:title>
        <c:numFmt formatCode="General" sourceLinked="1"/>
        <c:majorTickMark val="none"/>
        <c:minorTickMark val="none"/>
        <c:tickLblPos val="nextTo"/>
        <c:spPr>
          <a:noFill/>
          <a:ln>
            <a:solidFill>
              <a:schemeClr val="bg2">
                <a:lumMod val="75000"/>
              </a:schemeClr>
            </a:solidFill>
          </a:ln>
          <a:effectLst/>
        </c:spPr>
        <c:txPr>
          <a:bodyPr rot="-60000000" spcFirstLastPara="1" vertOverflow="ellipsis" vert="horz" wrap="square" anchor="ctr" anchorCtr="1"/>
          <a:lstStyle/>
          <a:p>
            <a:pPr>
              <a:defRPr sz="900" b="0" i="0" u="none" strike="noStrike" kern="1200" spc="20" baseline="0">
                <a:solidFill>
                  <a:schemeClr val="tx1">
                    <a:lumMod val="65000"/>
                    <a:lumOff val="35000"/>
                  </a:schemeClr>
                </a:solidFill>
                <a:latin typeface="+mn-lt"/>
                <a:ea typeface="+mn-ea"/>
                <a:cs typeface="+mn-cs"/>
              </a:defRPr>
            </a:pPr>
            <a:endParaRPr lang="cs-CZ"/>
          </a:p>
        </c:txPr>
        <c:crossAx val="1484008175"/>
        <c:crosses val="autoZero"/>
        <c:crossBetween val="between"/>
      </c:valAx>
      <c:spPr>
        <a:noFill/>
        <a:ln>
          <a:noFill/>
        </a:ln>
        <a:effectLst/>
      </c:spPr>
    </c:plotArea>
    <c:legend>
      <c:legendPos val="b"/>
      <c:layout/>
      <c:overlay val="0"/>
      <c:spPr>
        <a:no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tx1">
          <a:lumMod val="50000"/>
          <a:lumOff val="50000"/>
        </a:schemeClr>
      </a:solidFill>
      <a:round/>
    </a:ln>
    <a:effectLst>
      <a:outerShdw blurRad="50800" dist="38100" dir="2700000" algn="tl" rotWithShape="0">
        <a:prstClr val="black">
          <a:alpha val="40000"/>
        </a:prstClr>
      </a:outerShdw>
    </a:effectLst>
  </c:spPr>
  <c:txPr>
    <a:bodyPr/>
    <a:lstStyle/>
    <a:p>
      <a:pPr>
        <a:defRPr/>
      </a:pPr>
      <a:endParaRPr lang="cs-CZ"/>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2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dk1">
            <a:lumMod val="75000"/>
            <a:lumOff val="25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dk1">
            <a:lumMod val="75000"/>
            <a:lumOff val="25000"/>
          </a:schemeClr>
        </a:solidFill>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0.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1.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4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9.xml><?xml version="1.0" encoding="utf-8"?>
<cs:chartStyle xmlns:cs="http://schemas.microsoft.com/office/drawing/2012/chartStyle" xmlns:a="http://schemas.openxmlformats.org/drawingml/2006/main" id="215">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28575" cap="rnd">
        <a:solidFill>
          <a:schemeClr val="phClr">
            <a:alpha val="70000"/>
          </a:schemeClr>
        </a:solidFill>
        <a:round/>
      </a:ln>
    </cs:spPr>
  </cs:dataPointLine>
  <cs:dataPointMarker>
    <cs:lnRef idx="0"/>
    <cs:fillRef idx="0">
      <cs:styleClr val="auto"/>
    </cs:fillRef>
    <cs:effectRef idx="0"/>
    <cs:fontRef idx="minor">
      <a:schemeClr val="dk1"/>
    </cs:fontRef>
    <cs:spPr>
      <a:solidFill>
        <a:schemeClr val="phClr">
          <a:alpha val="70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drawings/drawing1.xml><?xml version="1.0" encoding="utf-8"?>
<c:userShapes xmlns:c="http://schemas.openxmlformats.org/drawingml/2006/chart">
  <cdr:relSizeAnchor xmlns:cdr="http://schemas.openxmlformats.org/drawingml/2006/chartDrawing">
    <cdr:from>
      <cdr:x>0.11154</cdr:x>
      <cdr:y>0.03299</cdr:y>
    </cdr:from>
    <cdr:to>
      <cdr:x>0.97308</cdr:x>
      <cdr:y>0.13715</cdr:y>
    </cdr:to>
    <cdr:sp macro="" textlink="">
      <cdr:nvSpPr>
        <cdr:cNvPr id="2" name="TextovéPole 1">
          <a:extLst xmlns:a="http://schemas.openxmlformats.org/drawingml/2006/main">
            <a:ext uri="{FF2B5EF4-FFF2-40B4-BE49-F238E27FC236}">
              <a16:creationId xmlns:a16="http://schemas.microsoft.com/office/drawing/2014/main" id="{773EF136-3D1D-4BAB-9F07-19C038A2366A}"/>
            </a:ext>
          </a:extLst>
        </cdr:cNvPr>
        <cdr:cNvSpPr txBox="1"/>
      </cdr:nvSpPr>
      <cdr:spPr>
        <a:xfrm xmlns:a="http://schemas.openxmlformats.org/drawingml/2006/main">
          <a:off x="552450" y="90488"/>
          <a:ext cx="4267200" cy="285750"/>
        </a:xfrm>
        <a:prstGeom xmlns:a="http://schemas.openxmlformats.org/drawingml/2006/main" prst="rect">
          <a:avLst/>
        </a:prstGeom>
        <a:solidFill xmlns:a="http://schemas.openxmlformats.org/drawingml/2006/main">
          <a:schemeClr val="accent5">
            <a:lumMod val="20000"/>
            <a:lumOff val="80000"/>
          </a:schemeClr>
        </a:solidFill>
      </cdr:spPr>
      <cdr:txBody>
        <a:bodyPr xmlns:a="http://schemas.openxmlformats.org/drawingml/2006/main" vertOverflow="clip" wrap="square" rtlCol="0"/>
        <a:lstStyle xmlns:a="http://schemas.openxmlformats.org/drawingml/2006/main"/>
        <a:p xmlns:a="http://schemas.openxmlformats.org/drawingml/2006/main">
          <a:r>
            <a:rPr lang="cs-CZ" sz="1100"/>
            <a:t>Nejnižší počet vzorků s</a:t>
          </a:r>
          <a:r>
            <a:rPr lang="cs-CZ" sz="1100" baseline="0"/>
            <a:t> rezidui Cd a Pb obsahovalo ovoce</a:t>
          </a:r>
          <a:endParaRPr lang="cs-CZ" sz="1100"/>
        </a:p>
      </cdr:txBody>
    </cdr:sp>
  </cdr:relSizeAnchor>
</c:userShape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0A6C73-C2FA-4F7C-91CD-BB27D0514F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294</TotalTime>
  <Pages>145</Pages>
  <Words>47474</Words>
  <Characters>280100</Characters>
  <Application>Microsoft Office Word</Application>
  <DocSecurity>0</DocSecurity>
  <Lines>2334</Lines>
  <Paragraphs>653</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326921</CharactersWithSpaces>
  <SharedDoc>false</SharedDoc>
  <HLinks>
    <vt:vector size="378" baseType="variant">
      <vt:variant>
        <vt:i4>1900595</vt:i4>
      </vt:variant>
      <vt:variant>
        <vt:i4>374</vt:i4>
      </vt:variant>
      <vt:variant>
        <vt:i4>0</vt:i4>
      </vt:variant>
      <vt:variant>
        <vt:i4>5</vt:i4>
      </vt:variant>
      <vt:variant>
        <vt:lpwstr/>
      </vt:variant>
      <vt:variant>
        <vt:lpwstr>_Toc80798340</vt:lpwstr>
      </vt:variant>
      <vt:variant>
        <vt:i4>1310772</vt:i4>
      </vt:variant>
      <vt:variant>
        <vt:i4>368</vt:i4>
      </vt:variant>
      <vt:variant>
        <vt:i4>0</vt:i4>
      </vt:variant>
      <vt:variant>
        <vt:i4>5</vt:i4>
      </vt:variant>
      <vt:variant>
        <vt:lpwstr/>
      </vt:variant>
      <vt:variant>
        <vt:lpwstr>_Toc80798339</vt:lpwstr>
      </vt:variant>
      <vt:variant>
        <vt:i4>1376308</vt:i4>
      </vt:variant>
      <vt:variant>
        <vt:i4>362</vt:i4>
      </vt:variant>
      <vt:variant>
        <vt:i4>0</vt:i4>
      </vt:variant>
      <vt:variant>
        <vt:i4>5</vt:i4>
      </vt:variant>
      <vt:variant>
        <vt:lpwstr/>
      </vt:variant>
      <vt:variant>
        <vt:lpwstr>_Toc80798338</vt:lpwstr>
      </vt:variant>
      <vt:variant>
        <vt:i4>1703988</vt:i4>
      </vt:variant>
      <vt:variant>
        <vt:i4>356</vt:i4>
      </vt:variant>
      <vt:variant>
        <vt:i4>0</vt:i4>
      </vt:variant>
      <vt:variant>
        <vt:i4>5</vt:i4>
      </vt:variant>
      <vt:variant>
        <vt:lpwstr/>
      </vt:variant>
      <vt:variant>
        <vt:lpwstr>_Toc80798337</vt:lpwstr>
      </vt:variant>
      <vt:variant>
        <vt:i4>1769524</vt:i4>
      </vt:variant>
      <vt:variant>
        <vt:i4>350</vt:i4>
      </vt:variant>
      <vt:variant>
        <vt:i4>0</vt:i4>
      </vt:variant>
      <vt:variant>
        <vt:i4>5</vt:i4>
      </vt:variant>
      <vt:variant>
        <vt:lpwstr/>
      </vt:variant>
      <vt:variant>
        <vt:lpwstr>_Toc80798336</vt:lpwstr>
      </vt:variant>
      <vt:variant>
        <vt:i4>1572916</vt:i4>
      </vt:variant>
      <vt:variant>
        <vt:i4>344</vt:i4>
      </vt:variant>
      <vt:variant>
        <vt:i4>0</vt:i4>
      </vt:variant>
      <vt:variant>
        <vt:i4>5</vt:i4>
      </vt:variant>
      <vt:variant>
        <vt:lpwstr/>
      </vt:variant>
      <vt:variant>
        <vt:lpwstr>_Toc80798335</vt:lpwstr>
      </vt:variant>
      <vt:variant>
        <vt:i4>1638452</vt:i4>
      </vt:variant>
      <vt:variant>
        <vt:i4>338</vt:i4>
      </vt:variant>
      <vt:variant>
        <vt:i4>0</vt:i4>
      </vt:variant>
      <vt:variant>
        <vt:i4>5</vt:i4>
      </vt:variant>
      <vt:variant>
        <vt:lpwstr/>
      </vt:variant>
      <vt:variant>
        <vt:lpwstr>_Toc80798334</vt:lpwstr>
      </vt:variant>
      <vt:variant>
        <vt:i4>1966132</vt:i4>
      </vt:variant>
      <vt:variant>
        <vt:i4>332</vt:i4>
      </vt:variant>
      <vt:variant>
        <vt:i4>0</vt:i4>
      </vt:variant>
      <vt:variant>
        <vt:i4>5</vt:i4>
      </vt:variant>
      <vt:variant>
        <vt:lpwstr/>
      </vt:variant>
      <vt:variant>
        <vt:lpwstr>_Toc80798333</vt:lpwstr>
      </vt:variant>
      <vt:variant>
        <vt:i4>2031668</vt:i4>
      </vt:variant>
      <vt:variant>
        <vt:i4>326</vt:i4>
      </vt:variant>
      <vt:variant>
        <vt:i4>0</vt:i4>
      </vt:variant>
      <vt:variant>
        <vt:i4>5</vt:i4>
      </vt:variant>
      <vt:variant>
        <vt:lpwstr/>
      </vt:variant>
      <vt:variant>
        <vt:lpwstr>_Toc80798332</vt:lpwstr>
      </vt:variant>
      <vt:variant>
        <vt:i4>1835060</vt:i4>
      </vt:variant>
      <vt:variant>
        <vt:i4>320</vt:i4>
      </vt:variant>
      <vt:variant>
        <vt:i4>0</vt:i4>
      </vt:variant>
      <vt:variant>
        <vt:i4>5</vt:i4>
      </vt:variant>
      <vt:variant>
        <vt:lpwstr/>
      </vt:variant>
      <vt:variant>
        <vt:lpwstr>_Toc80798331</vt:lpwstr>
      </vt:variant>
      <vt:variant>
        <vt:i4>1900596</vt:i4>
      </vt:variant>
      <vt:variant>
        <vt:i4>314</vt:i4>
      </vt:variant>
      <vt:variant>
        <vt:i4>0</vt:i4>
      </vt:variant>
      <vt:variant>
        <vt:i4>5</vt:i4>
      </vt:variant>
      <vt:variant>
        <vt:lpwstr/>
      </vt:variant>
      <vt:variant>
        <vt:lpwstr>_Toc80798330</vt:lpwstr>
      </vt:variant>
      <vt:variant>
        <vt:i4>1310773</vt:i4>
      </vt:variant>
      <vt:variant>
        <vt:i4>308</vt:i4>
      </vt:variant>
      <vt:variant>
        <vt:i4>0</vt:i4>
      </vt:variant>
      <vt:variant>
        <vt:i4>5</vt:i4>
      </vt:variant>
      <vt:variant>
        <vt:lpwstr/>
      </vt:variant>
      <vt:variant>
        <vt:lpwstr>_Toc80798329</vt:lpwstr>
      </vt:variant>
      <vt:variant>
        <vt:i4>1376309</vt:i4>
      </vt:variant>
      <vt:variant>
        <vt:i4>302</vt:i4>
      </vt:variant>
      <vt:variant>
        <vt:i4>0</vt:i4>
      </vt:variant>
      <vt:variant>
        <vt:i4>5</vt:i4>
      </vt:variant>
      <vt:variant>
        <vt:lpwstr/>
      </vt:variant>
      <vt:variant>
        <vt:lpwstr>_Toc80798328</vt:lpwstr>
      </vt:variant>
      <vt:variant>
        <vt:i4>1703989</vt:i4>
      </vt:variant>
      <vt:variant>
        <vt:i4>296</vt:i4>
      </vt:variant>
      <vt:variant>
        <vt:i4>0</vt:i4>
      </vt:variant>
      <vt:variant>
        <vt:i4>5</vt:i4>
      </vt:variant>
      <vt:variant>
        <vt:lpwstr/>
      </vt:variant>
      <vt:variant>
        <vt:lpwstr>_Toc80798327</vt:lpwstr>
      </vt:variant>
      <vt:variant>
        <vt:i4>1769525</vt:i4>
      </vt:variant>
      <vt:variant>
        <vt:i4>290</vt:i4>
      </vt:variant>
      <vt:variant>
        <vt:i4>0</vt:i4>
      </vt:variant>
      <vt:variant>
        <vt:i4>5</vt:i4>
      </vt:variant>
      <vt:variant>
        <vt:lpwstr/>
      </vt:variant>
      <vt:variant>
        <vt:lpwstr>_Toc80798326</vt:lpwstr>
      </vt:variant>
      <vt:variant>
        <vt:i4>1572917</vt:i4>
      </vt:variant>
      <vt:variant>
        <vt:i4>284</vt:i4>
      </vt:variant>
      <vt:variant>
        <vt:i4>0</vt:i4>
      </vt:variant>
      <vt:variant>
        <vt:i4>5</vt:i4>
      </vt:variant>
      <vt:variant>
        <vt:lpwstr/>
      </vt:variant>
      <vt:variant>
        <vt:lpwstr>_Toc80798325</vt:lpwstr>
      </vt:variant>
      <vt:variant>
        <vt:i4>1638453</vt:i4>
      </vt:variant>
      <vt:variant>
        <vt:i4>278</vt:i4>
      </vt:variant>
      <vt:variant>
        <vt:i4>0</vt:i4>
      </vt:variant>
      <vt:variant>
        <vt:i4>5</vt:i4>
      </vt:variant>
      <vt:variant>
        <vt:lpwstr/>
      </vt:variant>
      <vt:variant>
        <vt:lpwstr>_Toc80798324</vt:lpwstr>
      </vt:variant>
      <vt:variant>
        <vt:i4>1966133</vt:i4>
      </vt:variant>
      <vt:variant>
        <vt:i4>272</vt:i4>
      </vt:variant>
      <vt:variant>
        <vt:i4>0</vt:i4>
      </vt:variant>
      <vt:variant>
        <vt:i4>5</vt:i4>
      </vt:variant>
      <vt:variant>
        <vt:lpwstr/>
      </vt:variant>
      <vt:variant>
        <vt:lpwstr>_Toc80798323</vt:lpwstr>
      </vt:variant>
      <vt:variant>
        <vt:i4>2031669</vt:i4>
      </vt:variant>
      <vt:variant>
        <vt:i4>266</vt:i4>
      </vt:variant>
      <vt:variant>
        <vt:i4>0</vt:i4>
      </vt:variant>
      <vt:variant>
        <vt:i4>5</vt:i4>
      </vt:variant>
      <vt:variant>
        <vt:lpwstr/>
      </vt:variant>
      <vt:variant>
        <vt:lpwstr>_Toc80798322</vt:lpwstr>
      </vt:variant>
      <vt:variant>
        <vt:i4>1835061</vt:i4>
      </vt:variant>
      <vt:variant>
        <vt:i4>260</vt:i4>
      </vt:variant>
      <vt:variant>
        <vt:i4>0</vt:i4>
      </vt:variant>
      <vt:variant>
        <vt:i4>5</vt:i4>
      </vt:variant>
      <vt:variant>
        <vt:lpwstr/>
      </vt:variant>
      <vt:variant>
        <vt:lpwstr>_Toc80798321</vt:lpwstr>
      </vt:variant>
      <vt:variant>
        <vt:i4>1900597</vt:i4>
      </vt:variant>
      <vt:variant>
        <vt:i4>254</vt:i4>
      </vt:variant>
      <vt:variant>
        <vt:i4>0</vt:i4>
      </vt:variant>
      <vt:variant>
        <vt:i4>5</vt:i4>
      </vt:variant>
      <vt:variant>
        <vt:lpwstr/>
      </vt:variant>
      <vt:variant>
        <vt:lpwstr>_Toc80798320</vt:lpwstr>
      </vt:variant>
      <vt:variant>
        <vt:i4>1310774</vt:i4>
      </vt:variant>
      <vt:variant>
        <vt:i4>248</vt:i4>
      </vt:variant>
      <vt:variant>
        <vt:i4>0</vt:i4>
      </vt:variant>
      <vt:variant>
        <vt:i4>5</vt:i4>
      </vt:variant>
      <vt:variant>
        <vt:lpwstr/>
      </vt:variant>
      <vt:variant>
        <vt:lpwstr>_Toc80798319</vt:lpwstr>
      </vt:variant>
      <vt:variant>
        <vt:i4>1376310</vt:i4>
      </vt:variant>
      <vt:variant>
        <vt:i4>242</vt:i4>
      </vt:variant>
      <vt:variant>
        <vt:i4>0</vt:i4>
      </vt:variant>
      <vt:variant>
        <vt:i4>5</vt:i4>
      </vt:variant>
      <vt:variant>
        <vt:lpwstr/>
      </vt:variant>
      <vt:variant>
        <vt:lpwstr>_Toc80798318</vt:lpwstr>
      </vt:variant>
      <vt:variant>
        <vt:i4>1703990</vt:i4>
      </vt:variant>
      <vt:variant>
        <vt:i4>236</vt:i4>
      </vt:variant>
      <vt:variant>
        <vt:i4>0</vt:i4>
      </vt:variant>
      <vt:variant>
        <vt:i4>5</vt:i4>
      </vt:variant>
      <vt:variant>
        <vt:lpwstr/>
      </vt:variant>
      <vt:variant>
        <vt:lpwstr>_Toc80798317</vt:lpwstr>
      </vt:variant>
      <vt:variant>
        <vt:i4>1769526</vt:i4>
      </vt:variant>
      <vt:variant>
        <vt:i4>230</vt:i4>
      </vt:variant>
      <vt:variant>
        <vt:i4>0</vt:i4>
      </vt:variant>
      <vt:variant>
        <vt:i4>5</vt:i4>
      </vt:variant>
      <vt:variant>
        <vt:lpwstr/>
      </vt:variant>
      <vt:variant>
        <vt:lpwstr>_Toc80798316</vt:lpwstr>
      </vt:variant>
      <vt:variant>
        <vt:i4>1572918</vt:i4>
      </vt:variant>
      <vt:variant>
        <vt:i4>224</vt:i4>
      </vt:variant>
      <vt:variant>
        <vt:i4>0</vt:i4>
      </vt:variant>
      <vt:variant>
        <vt:i4>5</vt:i4>
      </vt:variant>
      <vt:variant>
        <vt:lpwstr/>
      </vt:variant>
      <vt:variant>
        <vt:lpwstr>_Toc80798315</vt:lpwstr>
      </vt:variant>
      <vt:variant>
        <vt:i4>1638454</vt:i4>
      </vt:variant>
      <vt:variant>
        <vt:i4>218</vt:i4>
      </vt:variant>
      <vt:variant>
        <vt:i4>0</vt:i4>
      </vt:variant>
      <vt:variant>
        <vt:i4>5</vt:i4>
      </vt:variant>
      <vt:variant>
        <vt:lpwstr/>
      </vt:variant>
      <vt:variant>
        <vt:lpwstr>_Toc80798314</vt:lpwstr>
      </vt:variant>
      <vt:variant>
        <vt:i4>1966134</vt:i4>
      </vt:variant>
      <vt:variant>
        <vt:i4>212</vt:i4>
      </vt:variant>
      <vt:variant>
        <vt:i4>0</vt:i4>
      </vt:variant>
      <vt:variant>
        <vt:i4>5</vt:i4>
      </vt:variant>
      <vt:variant>
        <vt:lpwstr/>
      </vt:variant>
      <vt:variant>
        <vt:lpwstr>_Toc80798313</vt:lpwstr>
      </vt:variant>
      <vt:variant>
        <vt:i4>2031670</vt:i4>
      </vt:variant>
      <vt:variant>
        <vt:i4>206</vt:i4>
      </vt:variant>
      <vt:variant>
        <vt:i4>0</vt:i4>
      </vt:variant>
      <vt:variant>
        <vt:i4>5</vt:i4>
      </vt:variant>
      <vt:variant>
        <vt:lpwstr/>
      </vt:variant>
      <vt:variant>
        <vt:lpwstr>_Toc80798312</vt:lpwstr>
      </vt:variant>
      <vt:variant>
        <vt:i4>1835062</vt:i4>
      </vt:variant>
      <vt:variant>
        <vt:i4>200</vt:i4>
      </vt:variant>
      <vt:variant>
        <vt:i4>0</vt:i4>
      </vt:variant>
      <vt:variant>
        <vt:i4>5</vt:i4>
      </vt:variant>
      <vt:variant>
        <vt:lpwstr/>
      </vt:variant>
      <vt:variant>
        <vt:lpwstr>_Toc80798311</vt:lpwstr>
      </vt:variant>
      <vt:variant>
        <vt:i4>1900598</vt:i4>
      </vt:variant>
      <vt:variant>
        <vt:i4>194</vt:i4>
      </vt:variant>
      <vt:variant>
        <vt:i4>0</vt:i4>
      </vt:variant>
      <vt:variant>
        <vt:i4>5</vt:i4>
      </vt:variant>
      <vt:variant>
        <vt:lpwstr/>
      </vt:variant>
      <vt:variant>
        <vt:lpwstr>_Toc80798310</vt:lpwstr>
      </vt:variant>
      <vt:variant>
        <vt:i4>1310775</vt:i4>
      </vt:variant>
      <vt:variant>
        <vt:i4>188</vt:i4>
      </vt:variant>
      <vt:variant>
        <vt:i4>0</vt:i4>
      </vt:variant>
      <vt:variant>
        <vt:i4>5</vt:i4>
      </vt:variant>
      <vt:variant>
        <vt:lpwstr/>
      </vt:variant>
      <vt:variant>
        <vt:lpwstr>_Toc80798309</vt:lpwstr>
      </vt:variant>
      <vt:variant>
        <vt:i4>1376311</vt:i4>
      </vt:variant>
      <vt:variant>
        <vt:i4>182</vt:i4>
      </vt:variant>
      <vt:variant>
        <vt:i4>0</vt:i4>
      </vt:variant>
      <vt:variant>
        <vt:i4>5</vt:i4>
      </vt:variant>
      <vt:variant>
        <vt:lpwstr/>
      </vt:variant>
      <vt:variant>
        <vt:lpwstr>_Toc80798308</vt:lpwstr>
      </vt:variant>
      <vt:variant>
        <vt:i4>1703991</vt:i4>
      </vt:variant>
      <vt:variant>
        <vt:i4>176</vt:i4>
      </vt:variant>
      <vt:variant>
        <vt:i4>0</vt:i4>
      </vt:variant>
      <vt:variant>
        <vt:i4>5</vt:i4>
      </vt:variant>
      <vt:variant>
        <vt:lpwstr/>
      </vt:variant>
      <vt:variant>
        <vt:lpwstr>_Toc80798307</vt:lpwstr>
      </vt:variant>
      <vt:variant>
        <vt:i4>1769527</vt:i4>
      </vt:variant>
      <vt:variant>
        <vt:i4>170</vt:i4>
      </vt:variant>
      <vt:variant>
        <vt:i4>0</vt:i4>
      </vt:variant>
      <vt:variant>
        <vt:i4>5</vt:i4>
      </vt:variant>
      <vt:variant>
        <vt:lpwstr/>
      </vt:variant>
      <vt:variant>
        <vt:lpwstr>_Toc80798306</vt:lpwstr>
      </vt:variant>
      <vt:variant>
        <vt:i4>1572919</vt:i4>
      </vt:variant>
      <vt:variant>
        <vt:i4>164</vt:i4>
      </vt:variant>
      <vt:variant>
        <vt:i4>0</vt:i4>
      </vt:variant>
      <vt:variant>
        <vt:i4>5</vt:i4>
      </vt:variant>
      <vt:variant>
        <vt:lpwstr/>
      </vt:variant>
      <vt:variant>
        <vt:lpwstr>_Toc80798305</vt:lpwstr>
      </vt:variant>
      <vt:variant>
        <vt:i4>1638455</vt:i4>
      </vt:variant>
      <vt:variant>
        <vt:i4>158</vt:i4>
      </vt:variant>
      <vt:variant>
        <vt:i4>0</vt:i4>
      </vt:variant>
      <vt:variant>
        <vt:i4>5</vt:i4>
      </vt:variant>
      <vt:variant>
        <vt:lpwstr/>
      </vt:variant>
      <vt:variant>
        <vt:lpwstr>_Toc80798304</vt:lpwstr>
      </vt:variant>
      <vt:variant>
        <vt:i4>1966135</vt:i4>
      </vt:variant>
      <vt:variant>
        <vt:i4>152</vt:i4>
      </vt:variant>
      <vt:variant>
        <vt:i4>0</vt:i4>
      </vt:variant>
      <vt:variant>
        <vt:i4>5</vt:i4>
      </vt:variant>
      <vt:variant>
        <vt:lpwstr/>
      </vt:variant>
      <vt:variant>
        <vt:lpwstr>_Toc80798303</vt:lpwstr>
      </vt:variant>
      <vt:variant>
        <vt:i4>2031671</vt:i4>
      </vt:variant>
      <vt:variant>
        <vt:i4>146</vt:i4>
      </vt:variant>
      <vt:variant>
        <vt:i4>0</vt:i4>
      </vt:variant>
      <vt:variant>
        <vt:i4>5</vt:i4>
      </vt:variant>
      <vt:variant>
        <vt:lpwstr/>
      </vt:variant>
      <vt:variant>
        <vt:lpwstr>_Toc80798302</vt:lpwstr>
      </vt:variant>
      <vt:variant>
        <vt:i4>1835063</vt:i4>
      </vt:variant>
      <vt:variant>
        <vt:i4>140</vt:i4>
      </vt:variant>
      <vt:variant>
        <vt:i4>0</vt:i4>
      </vt:variant>
      <vt:variant>
        <vt:i4>5</vt:i4>
      </vt:variant>
      <vt:variant>
        <vt:lpwstr/>
      </vt:variant>
      <vt:variant>
        <vt:lpwstr>_Toc80798301</vt:lpwstr>
      </vt:variant>
      <vt:variant>
        <vt:i4>1900599</vt:i4>
      </vt:variant>
      <vt:variant>
        <vt:i4>134</vt:i4>
      </vt:variant>
      <vt:variant>
        <vt:i4>0</vt:i4>
      </vt:variant>
      <vt:variant>
        <vt:i4>5</vt:i4>
      </vt:variant>
      <vt:variant>
        <vt:lpwstr/>
      </vt:variant>
      <vt:variant>
        <vt:lpwstr>_Toc80798300</vt:lpwstr>
      </vt:variant>
      <vt:variant>
        <vt:i4>1376318</vt:i4>
      </vt:variant>
      <vt:variant>
        <vt:i4>128</vt:i4>
      </vt:variant>
      <vt:variant>
        <vt:i4>0</vt:i4>
      </vt:variant>
      <vt:variant>
        <vt:i4>5</vt:i4>
      </vt:variant>
      <vt:variant>
        <vt:lpwstr/>
      </vt:variant>
      <vt:variant>
        <vt:lpwstr>_Toc80798299</vt:lpwstr>
      </vt:variant>
      <vt:variant>
        <vt:i4>1310782</vt:i4>
      </vt:variant>
      <vt:variant>
        <vt:i4>122</vt:i4>
      </vt:variant>
      <vt:variant>
        <vt:i4>0</vt:i4>
      </vt:variant>
      <vt:variant>
        <vt:i4>5</vt:i4>
      </vt:variant>
      <vt:variant>
        <vt:lpwstr/>
      </vt:variant>
      <vt:variant>
        <vt:lpwstr>_Toc80798298</vt:lpwstr>
      </vt:variant>
      <vt:variant>
        <vt:i4>1769534</vt:i4>
      </vt:variant>
      <vt:variant>
        <vt:i4>116</vt:i4>
      </vt:variant>
      <vt:variant>
        <vt:i4>0</vt:i4>
      </vt:variant>
      <vt:variant>
        <vt:i4>5</vt:i4>
      </vt:variant>
      <vt:variant>
        <vt:lpwstr/>
      </vt:variant>
      <vt:variant>
        <vt:lpwstr>_Toc80798297</vt:lpwstr>
      </vt:variant>
      <vt:variant>
        <vt:i4>1703998</vt:i4>
      </vt:variant>
      <vt:variant>
        <vt:i4>110</vt:i4>
      </vt:variant>
      <vt:variant>
        <vt:i4>0</vt:i4>
      </vt:variant>
      <vt:variant>
        <vt:i4>5</vt:i4>
      </vt:variant>
      <vt:variant>
        <vt:lpwstr/>
      </vt:variant>
      <vt:variant>
        <vt:lpwstr>_Toc80798296</vt:lpwstr>
      </vt:variant>
      <vt:variant>
        <vt:i4>1638462</vt:i4>
      </vt:variant>
      <vt:variant>
        <vt:i4>104</vt:i4>
      </vt:variant>
      <vt:variant>
        <vt:i4>0</vt:i4>
      </vt:variant>
      <vt:variant>
        <vt:i4>5</vt:i4>
      </vt:variant>
      <vt:variant>
        <vt:lpwstr/>
      </vt:variant>
      <vt:variant>
        <vt:lpwstr>_Toc80798295</vt:lpwstr>
      </vt:variant>
      <vt:variant>
        <vt:i4>1572926</vt:i4>
      </vt:variant>
      <vt:variant>
        <vt:i4>98</vt:i4>
      </vt:variant>
      <vt:variant>
        <vt:i4>0</vt:i4>
      </vt:variant>
      <vt:variant>
        <vt:i4>5</vt:i4>
      </vt:variant>
      <vt:variant>
        <vt:lpwstr/>
      </vt:variant>
      <vt:variant>
        <vt:lpwstr>_Toc80798294</vt:lpwstr>
      </vt:variant>
      <vt:variant>
        <vt:i4>2031678</vt:i4>
      </vt:variant>
      <vt:variant>
        <vt:i4>92</vt:i4>
      </vt:variant>
      <vt:variant>
        <vt:i4>0</vt:i4>
      </vt:variant>
      <vt:variant>
        <vt:i4>5</vt:i4>
      </vt:variant>
      <vt:variant>
        <vt:lpwstr/>
      </vt:variant>
      <vt:variant>
        <vt:lpwstr>_Toc80798293</vt:lpwstr>
      </vt:variant>
      <vt:variant>
        <vt:i4>1966142</vt:i4>
      </vt:variant>
      <vt:variant>
        <vt:i4>86</vt:i4>
      </vt:variant>
      <vt:variant>
        <vt:i4>0</vt:i4>
      </vt:variant>
      <vt:variant>
        <vt:i4>5</vt:i4>
      </vt:variant>
      <vt:variant>
        <vt:lpwstr/>
      </vt:variant>
      <vt:variant>
        <vt:lpwstr>_Toc80798292</vt:lpwstr>
      </vt:variant>
      <vt:variant>
        <vt:i4>1900606</vt:i4>
      </vt:variant>
      <vt:variant>
        <vt:i4>80</vt:i4>
      </vt:variant>
      <vt:variant>
        <vt:i4>0</vt:i4>
      </vt:variant>
      <vt:variant>
        <vt:i4>5</vt:i4>
      </vt:variant>
      <vt:variant>
        <vt:lpwstr/>
      </vt:variant>
      <vt:variant>
        <vt:lpwstr>_Toc80798291</vt:lpwstr>
      </vt:variant>
      <vt:variant>
        <vt:i4>1835070</vt:i4>
      </vt:variant>
      <vt:variant>
        <vt:i4>74</vt:i4>
      </vt:variant>
      <vt:variant>
        <vt:i4>0</vt:i4>
      </vt:variant>
      <vt:variant>
        <vt:i4>5</vt:i4>
      </vt:variant>
      <vt:variant>
        <vt:lpwstr/>
      </vt:variant>
      <vt:variant>
        <vt:lpwstr>_Toc80798290</vt:lpwstr>
      </vt:variant>
      <vt:variant>
        <vt:i4>1376319</vt:i4>
      </vt:variant>
      <vt:variant>
        <vt:i4>68</vt:i4>
      </vt:variant>
      <vt:variant>
        <vt:i4>0</vt:i4>
      </vt:variant>
      <vt:variant>
        <vt:i4>5</vt:i4>
      </vt:variant>
      <vt:variant>
        <vt:lpwstr/>
      </vt:variant>
      <vt:variant>
        <vt:lpwstr>_Toc80798289</vt:lpwstr>
      </vt:variant>
      <vt:variant>
        <vt:i4>1507384</vt:i4>
      </vt:variant>
      <vt:variant>
        <vt:i4>59</vt:i4>
      </vt:variant>
      <vt:variant>
        <vt:i4>0</vt:i4>
      </vt:variant>
      <vt:variant>
        <vt:i4>5</vt:i4>
      </vt:variant>
      <vt:variant>
        <vt:lpwstr/>
      </vt:variant>
      <vt:variant>
        <vt:lpwstr>_Toc80797801</vt:lpwstr>
      </vt:variant>
      <vt:variant>
        <vt:i4>1441848</vt:i4>
      </vt:variant>
      <vt:variant>
        <vt:i4>53</vt:i4>
      </vt:variant>
      <vt:variant>
        <vt:i4>0</vt:i4>
      </vt:variant>
      <vt:variant>
        <vt:i4>5</vt:i4>
      </vt:variant>
      <vt:variant>
        <vt:lpwstr/>
      </vt:variant>
      <vt:variant>
        <vt:lpwstr>_Toc80797800</vt:lpwstr>
      </vt:variant>
      <vt:variant>
        <vt:i4>1048625</vt:i4>
      </vt:variant>
      <vt:variant>
        <vt:i4>47</vt:i4>
      </vt:variant>
      <vt:variant>
        <vt:i4>0</vt:i4>
      </vt:variant>
      <vt:variant>
        <vt:i4>5</vt:i4>
      </vt:variant>
      <vt:variant>
        <vt:lpwstr/>
      </vt:variant>
      <vt:variant>
        <vt:lpwstr>_Toc80797799</vt:lpwstr>
      </vt:variant>
      <vt:variant>
        <vt:i4>1114161</vt:i4>
      </vt:variant>
      <vt:variant>
        <vt:i4>41</vt:i4>
      </vt:variant>
      <vt:variant>
        <vt:i4>0</vt:i4>
      </vt:variant>
      <vt:variant>
        <vt:i4>5</vt:i4>
      </vt:variant>
      <vt:variant>
        <vt:lpwstr/>
      </vt:variant>
      <vt:variant>
        <vt:lpwstr>_Toc80797798</vt:lpwstr>
      </vt:variant>
      <vt:variant>
        <vt:i4>1769520</vt:i4>
      </vt:variant>
      <vt:variant>
        <vt:i4>32</vt:i4>
      </vt:variant>
      <vt:variant>
        <vt:i4>0</vt:i4>
      </vt:variant>
      <vt:variant>
        <vt:i4>5</vt:i4>
      </vt:variant>
      <vt:variant>
        <vt:lpwstr/>
      </vt:variant>
      <vt:variant>
        <vt:lpwstr>_Toc80797580</vt:lpwstr>
      </vt:variant>
      <vt:variant>
        <vt:i4>1179711</vt:i4>
      </vt:variant>
      <vt:variant>
        <vt:i4>26</vt:i4>
      </vt:variant>
      <vt:variant>
        <vt:i4>0</vt:i4>
      </vt:variant>
      <vt:variant>
        <vt:i4>5</vt:i4>
      </vt:variant>
      <vt:variant>
        <vt:lpwstr/>
      </vt:variant>
      <vt:variant>
        <vt:lpwstr>_Toc80797579</vt:lpwstr>
      </vt:variant>
      <vt:variant>
        <vt:i4>1245247</vt:i4>
      </vt:variant>
      <vt:variant>
        <vt:i4>20</vt:i4>
      </vt:variant>
      <vt:variant>
        <vt:i4>0</vt:i4>
      </vt:variant>
      <vt:variant>
        <vt:i4>5</vt:i4>
      </vt:variant>
      <vt:variant>
        <vt:lpwstr/>
      </vt:variant>
      <vt:variant>
        <vt:lpwstr>_Toc80797578</vt:lpwstr>
      </vt:variant>
      <vt:variant>
        <vt:i4>1835071</vt:i4>
      </vt:variant>
      <vt:variant>
        <vt:i4>14</vt:i4>
      </vt:variant>
      <vt:variant>
        <vt:i4>0</vt:i4>
      </vt:variant>
      <vt:variant>
        <vt:i4>5</vt:i4>
      </vt:variant>
      <vt:variant>
        <vt:lpwstr/>
      </vt:variant>
      <vt:variant>
        <vt:lpwstr>_Toc80797577</vt:lpwstr>
      </vt:variant>
      <vt:variant>
        <vt:i4>1900607</vt:i4>
      </vt:variant>
      <vt:variant>
        <vt:i4>8</vt:i4>
      </vt:variant>
      <vt:variant>
        <vt:i4>0</vt:i4>
      </vt:variant>
      <vt:variant>
        <vt:i4>5</vt:i4>
      </vt:variant>
      <vt:variant>
        <vt:lpwstr/>
      </vt:variant>
      <vt:variant>
        <vt:lpwstr>_Toc80797576</vt:lpwstr>
      </vt:variant>
      <vt:variant>
        <vt:i4>1966143</vt:i4>
      </vt:variant>
      <vt:variant>
        <vt:i4>2</vt:i4>
      </vt:variant>
      <vt:variant>
        <vt:i4>0</vt:i4>
      </vt:variant>
      <vt:variant>
        <vt:i4>5</vt:i4>
      </vt:variant>
      <vt:variant>
        <vt:lpwstr/>
      </vt:variant>
      <vt:variant>
        <vt:lpwstr>_Toc80797575</vt:lpwstr>
      </vt:variant>
      <vt:variant>
        <vt:i4>458795</vt:i4>
      </vt:variant>
      <vt:variant>
        <vt:i4>0</vt:i4>
      </vt:variant>
      <vt:variant>
        <vt:i4>0</vt:i4>
      </vt:variant>
      <vt:variant>
        <vt:i4>5</vt:i4>
      </vt:variant>
      <vt:variant>
        <vt:lpwstr>https://ec.europa.eu/info/sites/info/files/food-farming-fisheries/events/improving-access-to-funding-young-farmers_en.pdf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Marie Šimpachová Pechrová</dc:creator>
  <cp:keywords/>
  <dc:description/>
  <cp:lastModifiedBy>Dušek Petr</cp:lastModifiedBy>
  <cp:revision>14</cp:revision>
  <dcterms:created xsi:type="dcterms:W3CDTF">2022-01-25T19:05:00Z</dcterms:created>
  <dcterms:modified xsi:type="dcterms:W3CDTF">2022-01-26T12:39:00Z</dcterms:modified>
</cp:coreProperties>
</file>